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4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80" w:after="120" w:line="270" w:lineRule="auto"/>
        <w:rPr>
          <w:rFonts w:hint="default" w:ascii="Calibri" w:hAnsi="Calibri" w:cs="Calibri" w:eastAsiaTheme="majorEastAsia"/>
          <w:color w:val="363636"/>
          <w:sz w:val="42"/>
          <w:szCs w:val="42"/>
        </w:rPr>
      </w:pPr>
      <w:bookmarkStart w:id="0" w:name="_91wwqc2vcfg1" w:colFirst="0" w:colLast="0"/>
      <w:bookmarkEnd w:id="0"/>
      <w:r>
        <w:rPr>
          <w:rFonts w:hint="default" w:ascii="Calibri" w:hAnsi="Calibri" w:cs="Calibri" w:eastAsiaTheme="majorEastAsia"/>
          <w:color w:val="363636"/>
          <w:sz w:val="42"/>
          <w:szCs w:val="42"/>
          <w:rtl w:val="0"/>
        </w:rPr>
        <w:t>Summary</w:t>
      </w:r>
    </w:p>
    <w:p w14:paraId="00000002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Deal Pipedrive ID</w:t>
      </w:r>
    </w:p>
    <w:p w14:paraId="00000003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Title</w:t>
      </w:r>
    </w:p>
    <w:p w14:paraId="00000004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Value</w:t>
      </w:r>
    </w:p>
    <w:p w14:paraId="00000005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Expected Close Date</w:t>
      </w:r>
    </w:p>
    <w:p w14:paraId="00000006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Contact Name</w:t>
      </w:r>
    </w:p>
    <w:p w14:paraId="00000007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Organisation Name</w:t>
      </w:r>
      <w:bookmarkStart w:id="13" w:name="_GoBack"/>
      <w:bookmarkEnd w:id="13"/>
    </w:p>
    <w:p w14:paraId="00000008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Stage</w:t>
      </w:r>
    </w:p>
    <w:p w14:paraId="00000009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Status</w:t>
      </w:r>
    </w:p>
    <w:p w14:paraId="0000000A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Deal Address</w:t>
      </w:r>
    </w:p>
    <w:p w14:paraId="0000000B">
      <w:pPr>
        <w:rPr>
          <w:rFonts w:hint="default" w:ascii="Calibri" w:hAnsi="Calibri" w:cs="Calibri" w:eastAsiaTheme="majorEastAsia"/>
        </w:rPr>
      </w:pPr>
    </w:p>
    <w:p w14:paraId="0000000C">
      <w:pPr>
        <w:pStyle w:val="4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80" w:after="120" w:line="270" w:lineRule="auto"/>
        <w:rPr>
          <w:rFonts w:hint="default" w:ascii="Calibri" w:hAnsi="Calibri" w:cs="Calibri" w:eastAsiaTheme="majorEastAsia"/>
          <w:color w:val="363636"/>
          <w:sz w:val="42"/>
          <w:szCs w:val="42"/>
        </w:rPr>
      </w:pPr>
      <w:bookmarkStart w:id="1" w:name="_w5xszmloe5rv" w:colFirst="0" w:colLast="0"/>
      <w:bookmarkEnd w:id="1"/>
      <w:r>
        <w:rPr>
          <w:rFonts w:hint="default" w:ascii="Calibri" w:hAnsi="Calibri" w:cs="Calibri" w:eastAsiaTheme="majorEastAsia"/>
          <w:color w:val="363636"/>
          <w:sz w:val="42"/>
          <w:szCs w:val="42"/>
          <w:rtl w:val="0"/>
        </w:rPr>
        <w:t>General</w:t>
      </w:r>
    </w:p>
    <w:p w14:paraId="0000000D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FDD Lead</w:t>
      </w:r>
    </w:p>
    <w:p w14:paraId="0000000E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Deal Lead</w:t>
      </w:r>
    </w:p>
    <w:p w14:paraId="0000000F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Basis of Deal</w:t>
      </w:r>
    </w:p>
    <w:p w14:paraId="00000010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Deal Size</w:t>
      </w:r>
    </w:p>
    <w:p w14:paraId="00000011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Vendor &amp; Ownership Structure</w:t>
      </w:r>
    </w:p>
    <w:p w14:paraId="00000012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Deal Source</w:t>
      </w:r>
    </w:p>
    <w:p w14:paraId="00000013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Latest Status (Acquisition Committee)</w:t>
      </w:r>
    </w:p>
    <w:p w14:paraId="00000014">
      <w:pPr>
        <w:spacing w:after="40"/>
        <w:ind w:left="40" w:right="40" w:firstLine="0"/>
        <w:rPr>
          <w:rFonts w:hint="default" w:ascii="Calibri" w:hAnsi="Calibri" w:cs="Calibri" w:eastAsiaTheme="majorEastAsia"/>
          <w:color w:val="363636"/>
          <w:sz w:val="24"/>
          <w:szCs w:val="24"/>
        </w:rPr>
      </w:pPr>
    </w:p>
    <w:p w14:paraId="00000015">
      <w:pPr>
        <w:pStyle w:val="4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80" w:after="120" w:line="270" w:lineRule="auto"/>
        <w:rPr>
          <w:rFonts w:hint="default" w:ascii="Calibri" w:hAnsi="Calibri" w:cs="Calibri" w:eastAsiaTheme="majorEastAsia"/>
          <w:color w:val="363636"/>
          <w:sz w:val="42"/>
          <w:szCs w:val="42"/>
        </w:rPr>
      </w:pPr>
      <w:bookmarkStart w:id="2" w:name="_7tbidstp50s7" w:colFirst="0" w:colLast="0"/>
      <w:bookmarkEnd w:id="2"/>
      <w:r>
        <w:rPr>
          <w:rFonts w:hint="default" w:ascii="Calibri" w:hAnsi="Calibri" w:cs="Calibri" w:eastAsiaTheme="majorEastAsia"/>
          <w:color w:val="363636"/>
          <w:sz w:val="42"/>
          <w:szCs w:val="42"/>
          <w:rtl w:val="0"/>
        </w:rPr>
        <w:t>Transaction Overview</w:t>
      </w:r>
    </w:p>
    <w:p w14:paraId="00000016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Acquisition Type</w:t>
      </w:r>
    </w:p>
    <w:p w14:paraId="00000017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Deal Structure</w:t>
      </w:r>
    </w:p>
    <w:p w14:paraId="00000018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Payment Schedule</w:t>
      </w:r>
    </w:p>
    <w:p w14:paraId="00000019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Completion Payment</w:t>
      </w:r>
    </w:p>
    <w:p w14:paraId="0000001A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Headline Consideration</w:t>
      </w:r>
    </w:p>
    <w:p w14:paraId="0000001B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RI Multiple</w:t>
      </w:r>
    </w:p>
    <w:p w14:paraId="0000001C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Net Turnover Multiple</w:t>
      </w:r>
    </w:p>
    <w:p w14:paraId="0000001D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EBITDA Multiple</w:t>
      </w:r>
    </w:p>
    <w:p w14:paraId="0000001E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EBITDA Multiple (post-Cambridge)</w:t>
      </w:r>
    </w:p>
    <w:p w14:paraId="0000001F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Introduction Date</w:t>
      </w:r>
    </w:p>
    <w:p w14:paraId="00000020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First Meeting Date</w:t>
      </w:r>
    </w:p>
    <w:p w14:paraId="00000021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Offer Made Date</w:t>
      </w:r>
    </w:p>
    <w:p w14:paraId="00000022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HoTs Issued Date</w:t>
      </w:r>
    </w:p>
    <w:p w14:paraId="00000023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HoTs Signed Date</w:t>
      </w:r>
    </w:p>
    <w:p w14:paraId="00000024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Date DD Completed</w:t>
      </w:r>
    </w:p>
    <w:p w14:paraId="00000025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Deal Exchanged Date</w:t>
      </w:r>
    </w:p>
    <w:p w14:paraId="00000026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Deal Complete Date</w:t>
      </w:r>
    </w:p>
    <w:p w14:paraId="00000027">
      <w:pPr>
        <w:rPr>
          <w:rFonts w:hint="default" w:ascii="Calibri" w:hAnsi="Calibri" w:cs="Calibri" w:eastAsiaTheme="majorEastAsia"/>
        </w:rPr>
      </w:pPr>
    </w:p>
    <w:p w14:paraId="00000028">
      <w:pPr>
        <w:pStyle w:val="4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80" w:after="120" w:line="270" w:lineRule="auto"/>
        <w:rPr>
          <w:rFonts w:hint="default" w:ascii="Calibri" w:hAnsi="Calibri" w:cs="Calibri" w:eastAsiaTheme="majorEastAsia"/>
          <w:color w:val="363636"/>
          <w:sz w:val="42"/>
          <w:szCs w:val="42"/>
        </w:rPr>
      </w:pPr>
      <w:bookmarkStart w:id="3" w:name="_r63xhwpvq1v9" w:colFirst="0" w:colLast="0"/>
      <w:bookmarkEnd w:id="3"/>
      <w:r>
        <w:rPr>
          <w:rFonts w:hint="default" w:ascii="Calibri" w:hAnsi="Calibri" w:cs="Calibri" w:eastAsiaTheme="majorEastAsia"/>
          <w:color w:val="363636"/>
          <w:sz w:val="42"/>
          <w:szCs w:val="42"/>
          <w:rtl w:val="0"/>
        </w:rPr>
        <w:t>Intermediary Details</w:t>
      </w:r>
    </w:p>
    <w:p w14:paraId="00000029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Introductory Company</w:t>
      </w:r>
    </w:p>
    <w:p w14:paraId="0000002A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Introductory Contact</w:t>
      </w:r>
    </w:p>
    <w:p w14:paraId="0000002B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Broker Fee</w:t>
      </w:r>
    </w:p>
    <w:p w14:paraId="0000002C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Broker Fee (£)</w:t>
      </w:r>
    </w:p>
    <w:p w14:paraId="0000002D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Network Name (if applicable)</w:t>
      </w:r>
    </w:p>
    <w:p w14:paraId="0000002E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Law Firm (Sell Side)</w:t>
      </w:r>
    </w:p>
    <w:p w14:paraId="0000002F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Lawyer Contact (Sell Side)</w:t>
      </w:r>
    </w:p>
    <w:p w14:paraId="00000030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Law Firm (Buy Side)</w:t>
      </w:r>
    </w:p>
    <w:p w14:paraId="00000031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Lawyer Contact (Buy Side)</w:t>
      </w:r>
    </w:p>
    <w:p w14:paraId="00000032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Legal Team Lead</w:t>
      </w:r>
    </w:p>
    <w:p w14:paraId="00000033">
      <w:pPr>
        <w:pStyle w:val="4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80" w:after="120" w:line="270" w:lineRule="auto"/>
        <w:rPr>
          <w:rFonts w:hint="default" w:ascii="Calibri" w:hAnsi="Calibri" w:cs="Calibri" w:eastAsiaTheme="majorEastAsia"/>
          <w:color w:val="363636"/>
          <w:sz w:val="42"/>
          <w:szCs w:val="42"/>
        </w:rPr>
      </w:pPr>
      <w:bookmarkStart w:id="4" w:name="_usm8ayuxsz8u" w:colFirst="0" w:colLast="0"/>
      <w:bookmarkEnd w:id="4"/>
      <w:r>
        <w:rPr>
          <w:rFonts w:hint="default" w:ascii="Calibri" w:hAnsi="Calibri" w:cs="Calibri" w:eastAsiaTheme="majorEastAsia"/>
          <w:color w:val="363636"/>
          <w:sz w:val="42"/>
          <w:szCs w:val="42"/>
          <w:rtl w:val="0"/>
        </w:rPr>
        <w:t>Financial Overview and KPIs</w:t>
      </w:r>
    </w:p>
    <w:p w14:paraId="00000034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RI / Adviser</w:t>
      </w:r>
    </w:p>
    <w:p w14:paraId="00000035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NB / Adviser</w:t>
      </w:r>
    </w:p>
    <w:p w14:paraId="00000036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Latest Recurring Income</w:t>
      </w:r>
    </w:p>
    <w:p w14:paraId="00000037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Latest New Business</w:t>
      </w:r>
    </w:p>
    <w:p w14:paraId="00000038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Latest Turnover</w:t>
      </w:r>
    </w:p>
    <w:p w14:paraId="00000039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Organic Growth in RI %</w:t>
      </w:r>
    </w:p>
    <w:p w14:paraId="0000003A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Forecast Recurring Income</w:t>
      </w:r>
    </w:p>
    <w:p w14:paraId="0000003B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Forecast New Business</w:t>
      </w:r>
    </w:p>
    <w:p w14:paraId="0000003C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Forecast Turnover</w:t>
      </w:r>
    </w:p>
    <w:p w14:paraId="0000003D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Expected Adviser Cost</w:t>
      </w:r>
    </w:p>
    <w:p w14:paraId="0000003E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Existing EBITDA</w:t>
      </w:r>
    </w:p>
    <w:p w14:paraId="0000003F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Perspective EBITDA</w:t>
      </w:r>
    </w:p>
    <w:p w14:paraId="00000040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Perspective EBITDA (post-Cambridge)</w:t>
      </w:r>
    </w:p>
    <w:p w14:paraId="00000041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EBITDA Margin %</w:t>
      </w:r>
    </w:p>
    <w:p w14:paraId="00000042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Assets Under Advice</w:t>
      </w:r>
    </w:p>
    <w:p w14:paraId="00000043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Expected Cambridge Opportunity (AuM)</w:t>
      </w:r>
    </w:p>
    <w:p w14:paraId="00000044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Expected Cambridge Opportunity (EBITDA)</w:t>
      </w:r>
    </w:p>
    <w:p w14:paraId="00000045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Households per Adviser</w:t>
      </w:r>
    </w:p>
    <w:p w14:paraId="00000046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Support Staff to Advisor Cost Ratio %</w:t>
      </w:r>
    </w:p>
    <w:p w14:paraId="00000047">
      <w:pPr>
        <w:pStyle w:val="4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80" w:after="120" w:line="270" w:lineRule="auto"/>
        <w:rPr>
          <w:rFonts w:hint="default" w:ascii="Calibri" w:hAnsi="Calibri" w:cs="Calibri" w:eastAsiaTheme="majorEastAsia"/>
          <w:color w:val="363636"/>
          <w:sz w:val="42"/>
          <w:szCs w:val="42"/>
        </w:rPr>
      </w:pPr>
      <w:bookmarkStart w:id="5" w:name="_9s76yzf0dxwc" w:colFirst="0" w:colLast="0"/>
      <w:bookmarkEnd w:id="5"/>
      <w:r>
        <w:rPr>
          <w:rFonts w:hint="default" w:ascii="Calibri" w:hAnsi="Calibri" w:cs="Calibri" w:eastAsiaTheme="majorEastAsia"/>
          <w:color w:val="363636"/>
          <w:sz w:val="42"/>
          <w:szCs w:val="42"/>
          <w:rtl w:val="0"/>
        </w:rPr>
        <w:t>HoTs Stage - Key Dates</w:t>
      </w:r>
    </w:p>
    <w:p w14:paraId="00000048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Board Report Issued</w:t>
      </w:r>
    </w:p>
    <w:p w14:paraId="00000049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Target Exchange</w:t>
      </w:r>
    </w:p>
    <w:p w14:paraId="0000004A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Target Completion</w:t>
      </w:r>
    </w:p>
    <w:p w14:paraId="0000004B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Confirmed Completion.</w:t>
      </w:r>
    </w:p>
    <w:p w14:paraId="0000004C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FDD / RDD Kick-Off Call</w:t>
      </w:r>
    </w:p>
    <w:p w14:paraId="0000004D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FDD IRL Sent</w:t>
      </w:r>
    </w:p>
    <w:p w14:paraId="0000004E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DB Suitability / Redress Review Complete</w:t>
      </w:r>
    </w:p>
    <w:p w14:paraId="0000004F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RDD Data Book Complete</w:t>
      </w:r>
    </w:p>
    <w:p w14:paraId="00000050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File Review Sample (non-DB) Complete</w:t>
      </w:r>
    </w:p>
    <w:p w14:paraId="00000051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RDD Question Pack Response Received</w:t>
      </w:r>
    </w:p>
    <w:p w14:paraId="00000052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FDD Additional Data Request Sent</w:t>
      </w:r>
    </w:p>
    <w:p w14:paraId="00000053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Snapshot Email Circulated</w:t>
      </w:r>
    </w:p>
    <w:p w14:paraId="00000054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FDD Question Pack Sent</w:t>
      </w:r>
    </w:p>
    <w:p w14:paraId="00000055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FDD Question Pack Call</w:t>
      </w:r>
    </w:p>
    <w:p w14:paraId="00000056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Lawyers Appointed</w:t>
      </w:r>
    </w:p>
    <w:p w14:paraId="00000057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Adviser Contracts Requested</w:t>
      </w:r>
    </w:p>
    <w:p w14:paraId="00000058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SPA Issued</w:t>
      </w:r>
    </w:p>
    <w:p w14:paraId="00000059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SPA Mark-Up Received</w:t>
      </w:r>
    </w:p>
    <w:p w14:paraId="0000005A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HR and Ops DD Complete</w:t>
      </w:r>
    </w:p>
    <w:p w14:paraId="0000005B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FDD Report Drafted</w:t>
      </w:r>
    </w:p>
    <w:p w14:paraId="0000005C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RDD Report Drafted</w:t>
      </w:r>
    </w:p>
    <w:p w14:paraId="0000005D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FDD Report Reviewed</w:t>
      </w:r>
    </w:p>
    <w:p w14:paraId="0000005E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RDD Report Reviewed</w:t>
      </w:r>
    </w:p>
    <w:p w14:paraId="0000005F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LDD Finalised</w:t>
      </w:r>
    </w:p>
    <w:p w14:paraId="00000060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FDD / RDD Reports Approved</w:t>
      </w:r>
    </w:p>
    <w:p w14:paraId="00000061">
      <w:pPr>
        <w:pStyle w:val="4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80" w:after="120" w:line="270" w:lineRule="auto"/>
        <w:rPr>
          <w:rFonts w:hint="default" w:ascii="Calibri" w:hAnsi="Calibri" w:cs="Calibri" w:eastAsiaTheme="majorEastAsia"/>
          <w:color w:val="363636"/>
          <w:sz w:val="42"/>
          <w:szCs w:val="42"/>
        </w:rPr>
      </w:pPr>
      <w:bookmarkStart w:id="6" w:name="_l8oqgnxhbt5" w:colFirst="0" w:colLast="0"/>
      <w:bookmarkEnd w:id="6"/>
      <w:r>
        <w:rPr>
          <w:rFonts w:hint="default" w:ascii="Calibri" w:hAnsi="Calibri" w:cs="Calibri" w:eastAsiaTheme="majorEastAsia"/>
          <w:color w:val="363636"/>
          <w:sz w:val="42"/>
          <w:szCs w:val="42"/>
          <w:rtl w:val="0"/>
        </w:rPr>
        <w:t>Clients</w:t>
      </w:r>
    </w:p>
    <w:p w14:paraId="00000062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AuA / Household</w:t>
      </w:r>
    </w:p>
    <w:p w14:paraId="00000063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AuA / Client</w:t>
      </w:r>
    </w:p>
    <w:p w14:paraId="00000064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Number of Clients</w:t>
      </w:r>
    </w:p>
    <w:p w14:paraId="00000065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Number of Households</w:t>
      </w:r>
    </w:p>
    <w:p w14:paraId="00000066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Average Age of Clients</w:t>
      </w:r>
    </w:p>
    <w:p w14:paraId="00000067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Average Age of Clients (Weighted)</w:t>
      </w:r>
    </w:p>
    <w:p w14:paraId="00000068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Typical Initial Fee</w:t>
      </w:r>
    </w:p>
    <w:p w14:paraId="00000069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Typical OAC % / Fixed Fees</w:t>
      </w:r>
    </w:p>
    <w:p w14:paraId="0000006A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Platforms</w:t>
      </w:r>
    </w:p>
    <w:p w14:paraId="0000006B">
      <w:pPr>
        <w:pStyle w:val="4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80" w:after="120" w:line="270" w:lineRule="auto"/>
        <w:rPr>
          <w:rFonts w:hint="default" w:ascii="Calibri" w:hAnsi="Calibri" w:cs="Calibri" w:eastAsiaTheme="majorEastAsia"/>
          <w:color w:val="363636"/>
          <w:sz w:val="42"/>
          <w:szCs w:val="42"/>
        </w:rPr>
      </w:pPr>
      <w:bookmarkStart w:id="7" w:name="_vjbryh4qa4b" w:colFirst="0" w:colLast="0"/>
      <w:bookmarkEnd w:id="7"/>
      <w:r>
        <w:rPr>
          <w:rFonts w:hint="default" w:ascii="Calibri" w:hAnsi="Calibri" w:cs="Calibri" w:eastAsiaTheme="majorEastAsia"/>
          <w:color w:val="363636"/>
          <w:sz w:val="42"/>
          <w:szCs w:val="42"/>
          <w:rtl w:val="0"/>
        </w:rPr>
        <w:t>Staff</w:t>
      </w:r>
    </w:p>
    <w:p w14:paraId="0000006C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Number of Advisers Required</w:t>
      </w:r>
    </w:p>
    <w:p w14:paraId="0000006D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Number of Employed Advisors Retained</w:t>
      </w:r>
    </w:p>
    <w:p w14:paraId="0000006E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Number of Self-Employed Advisors Retained</w:t>
      </w:r>
    </w:p>
    <w:p w14:paraId="0000006F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Number of Paraplanners Retained</w:t>
      </w:r>
    </w:p>
    <w:p w14:paraId="00000070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Number of Administrators Retained</w:t>
      </w:r>
    </w:p>
    <w:p w14:paraId="00000071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Number of Other Staff Retained</w:t>
      </w:r>
    </w:p>
    <w:p w14:paraId="00000072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Number of Staff Exiting on Completion</w:t>
      </w:r>
    </w:p>
    <w:p w14:paraId="00000073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Number of Staff to be Redeployed to Group Roles</w:t>
      </w:r>
    </w:p>
    <w:p w14:paraId="00000074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Recruitment Requirements</w:t>
      </w:r>
    </w:p>
    <w:p w14:paraId="00000075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People Team Lead</w:t>
      </w:r>
    </w:p>
    <w:p w14:paraId="00000076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Adviser Contracts Sent</w:t>
      </w:r>
    </w:p>
    <w:p w14:paraId="00000077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ELI Sent</w:t>
      </w:r>
    </w:p>
    <w:p w14:paraId="00000078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ELI Received</w:t>
      </w:r>
    </w:p>
    <w:p w14:paraId="00000079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TUPE Measures Sent</w:t>
      </w:r>
    </w:p>
    <w:p w14:paraId="0000007A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Contact 2 Name</w:t>
      </w:r>
    </w:p>
    <w:p w14:paraId="0000007B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Contact 2 Phone</w:t>
      </w:r>
    </w:p>
    <w:p w14:paraId="0000007C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Contact 2 Email</w:t>
      </w:r>
    </w:p>
    <w:p w14:paraId="0000007D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Contact 3 Name</w:t>
      </w:r>
    </w:p>
    <w:p w14:paraId="0000007E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Contact 3 Phone</w:t>
      </w:r>
    </w:p>
    <w:p w14:paraId="0000007F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Contact 3 Email</w:t>
      </w:r>
    </w:p>
    <w:p w14:paraId="00000080">
      <w:pPr>
        <w:pStyle w:val="4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80" w:after="120" w:line="270" w:lineRule="auto"/>
        <w:rPr>
          <w:rFonts w:hint="default" w:ascii="Calibri" w:hAnsi="Calibri" w:cs="Calibri" w:eastAsiaTheme="majorEastAsia"/>
          <w:color w:val="363636"/>
          <w:sz w:val="42"/>
          <w:szCs w:val="42"/>
        </w:rPr>
      </w:pPr>
      <w:bookmarkStart w:id="8" w:name="_cn0761jft9he" w:colFirst="0" w:colLast="0"/>
      <w:bookmarkEnd w:id="8"/>
      <w:r>
        <w:rPr>
          <w:rFonts w:hint="default" w:ascii="Calibri" w:hAnsi="Calibri" w:cs="Calibri" w:eastAsiaTheme="majorEastAsia"/>
          <w:color w:val="363636"/>
          <w:sz w:val="42"/>
          <w:szCs w:val="42"/>
          <w:rtl w:val="0"/>
        </w:rPr>
        <w:t>Property</w:t>
      </w:r>
    </w:p>
    <w:p w14:paraId="00000081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Details of Property</w:t>
      </w:r>
    </w:p>
    <w:p w14:paraId="00000082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Lease Details</w:t>
      </w:r>
    </w:p>
    <w:p w14:paraId="00000083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Ownership of Property</w:t>
      </w:r>
    </w:p>
    <w:p w14:paraId="00000084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Post-Acquisition Office Plans</w:t>
      </w:r>
    </w:p>
    <w:p w14:paraId="00000085">
      <w:pPr>
        <w:pStyle w:val="4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80" w:after="120" w:line="270" w:lineRule="auto"/>
        <w:rPr>
          <w:rFonts w:hint="default" w:ascii="Calibri" w:hAnsi="Calibri" w:cs="Calibri" w:eastAsiaTheme="majorEastAsia"/>
          <w:color w:val="363636"/>
          <w:sz w:val="42"/>
          <w:szCs w:val="42"/>
        </w:rPr>
      </w:pPr>
      <w:bookmarkStart w:id="9" w:name="_527a18unvlnc" w:colFirst="0" w:colLast="0"/>
      <w:bookmarkEnd w:id="9"/>
      <w:r>
        <w:rPr>
          <w:rFonts w:hint="default" w:ascii="Calibri" w:hAnsi="Calibri" w:cs="Calibri" w:eastAsiaTheme="majorEastAsia"/>
          <w:color w:val="363636"/>
          <w:sz w:val="42"/>
          <w:szCs w:val="42"/>
          <w:rtl w:val="0"/>
        </w:rPr>
        <w:t>Costs</w:t>
      </w:r>
    </w:p>
    <w:p w14:paraId="00000086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FCA / PI %</w:t>
      </w:r>
    </w:p>
    <w:p w14:paraId="00000087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Variable Cost %</w:t>
      </w:r>
    </w:p>
    <w:p w14:paraId="00000088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Fixed Costs</w:t>
      </w:r>
    </w:p>
    <w:p w14:paraId="00000089">
      <w:pPr>
        <w:pStyle w:val="4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80" w:after="120" w:line="270" w:lineRule="auto"/>
        <w:rPr>
          <w:rFonts w:hint="default" w:ascii="Calibri" w:hAnsi="Calibri" w:cs="Calibri" w:eastAsiaTheme="majorEastAsia"/>
          <w:color w:val="363636"/>
          <w:sz w:val="42"/>
          <w:szCs w:val="42"/>
        </w:rPr>
      </w:pPr>
      <w:bookmarkStart w:id="10" w:name="_fdo6va4nt48e" w:colFirst="0" w:colLast="0"/>
      <w:bookmarkEnd w:id="10"/>
      <w:r>
        <w:rPr>
          <w:rFonts w:hint="default" w:ascii="Calibri" w:hAnsi="Calibri" w:cs="Calibri" w:eastAsiaTheme="majorEastAsia"/>
          <w:color w:val="363636"/>
          <w:sz w:val="42"/>
          <w:szCs w:val="42"/>
          <w:rtl w:val="0"/>
        </w:rPr>
        <w:t>Regulatory</w:t>
      </w:r>
    </w:p>
    <w:p w14:paraId="0000008A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RDD Lead</w:t>
      </w:r>
    </w:p>
    <w:p w14:paraId="0000008B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Defined Benefit Transfers</w:t>
      </w:r>
    </w:p>
    <w:p w14:paraId="0000008C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Defined Benefit Transfer Total (£)</w:t>
      </w:r>
    </w:p>
    <w:p w14:paraId="0000008D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Other Regulatory Items of Note</w:t>
      </w:r>
    </w:p>
    <w:p w14:paraId="0000008E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Consumer Duty Plan Signed Off</w:t>
      </w:r>
    </w:p>
    <w:p w14:paraId="0000008F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CiC Submitted</w:t>
      </w:r>
    </w:p>
    <w:p w14:paraId="00000090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CiC Submitted Date</w:t>
      </w:r>
    </w:p>
    <w:p w14:paraId="00000091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Deauthorisation Application Submitted</w:t>
      </w:r>
    </w:p>
    <w:p w14:paraId="00000092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Deauthorisation Target Date</w:t>
      </w:r>
    </w:p>
    <w:p w14:paraId="00000093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Deauthorisation Approved</w:t>
      </w:r>
    </w:p>
    <w:p w14:paraId="00000094">
      <w:pPr>
        <w:pStyle w:val="4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80" w:after="120" w:line="270" w:lineRule="auto"/>
        <w:rPr>
          <w:rFonts w:hint="default" w:ascii="Calibri" w:hAnsi="Calibri" w:cs="Calibri" w:eastAsiaTheme="majorEastAsia"/>
          <w:color w:val="363636"/>
          <w:sz w:val="42"/>
          <w:szCs w:val="42"/>
        </w:rPr>
      </w:pPr>
      <w:bookmarkStart w:id="11" w:name="_9a2jq0iv5fgb" w:colFirst="0" w:colLast="0"/>
      <w:bookmarkEnd w:id="11"/>
      <w:r>
        <w:rPr>
          <w:rFonts w:hint="default" w:ascii="Calibri" w:hAnsi="Calibri" w:cs="Calibri" w:eastAsiaTheme="majorEastAsia"/>
          <w:color w:val="363636"/>
          <w:sz w:val="42"/>
          <w:szCs w:val="42"/>
          <w:rtl w:val="0"/>
        </w:rPr>
        <w:t>Back Office</w:t>
      </w:r>
    </w:p>
    <w:p w14:paraId="00000095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Perspective Regional Director</w:t>
      </w:r>
    </w:p>
    <w:p w14:paraId="00000096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Perspective Regional Manager</w:t>
      </w:r>
    </w:p>
    <w:p w14:paraId="00000097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Perspective Principal</w:t>
      </w:r>
    </w:p>
    <w:p w14:paraId="00000098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Perspective Trading Style Registered</w:t>
      </w:r>
    </w:p>
    <w:p w14:paraId="00000099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Agreed Perspective Trading Style</w:t>
      </w:r>
    </w:p>
    <w:p w14:paraId="0000009A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Receiving Office</w:t>
      </w:r>
    </w:p>
    <w:p w14:paraId="0000009B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Perspective Entity</w:t>
      </w:r>
    </w:p>
    <w:p w14:paraId="0000009C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Back Office System</w:t>
      </w:r>
    </w:p>
    <w:p w14:paraId="0000009D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Document Management System</w:t>
      </w:r>
    </w:p>
    <w:p w14:paraId="0000009E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Other Integration Notes</w:t>
      </w:r>
    </w:p>
    <w:p w14:paraId="0000009F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Client Letter Status</w:t>
      </w:r>
    </w:p>
    <w:p w14:paraId="000000A0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Mailing Data Status</w:t>
      </w:r>
    </w:p>
    <w:p w14:paraId="000000A1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 xml:space="preserve">Regional Director / Regional Manager Introduction  </w:t>
      </w:r>
    </w:p>
    <w:p w14:paraId="000000A2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Instruction for Integration Kick Off Date</w:t>
      </w:r>
    </w:p>
    <w:p w14:paraId="000000A3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Data Meeting Held</w:t>
      </w:r>
    </w:p>
    <w:p w14:paraId="000000A4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Core Compliance CA Request Sent</w:t>
      </w:r>
    </w:p>
    <w:p w14:paraId="000000A5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First Data Request Response Received</w:t>
      </w:r>
    </w:p>
    <w:p w14:paraId="000000A6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Client Letter Sign Off Completed</w:t>
      </w:r>
    </w:p>
    <w:p w14:paraId="000000A7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Repapering Finalised and Agreed Date</w:t>
      </w:r>
    </w:p>
    <w:p w14:paraId="000000A8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Printing and Delivery Date</w:t>
      </w:r>
    </w:p>
    <w:p w14:paraId="000000A9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Perspective Project Manager</w:t>
      </w:r>
    </w:p>
    <w:p w14:paraId="000000AA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Data Team Lead</w:t>
      </w:r>
    </w:p>
    <w:p w14:paraId="000000AB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Client Portal</w:t>
      </w:r>
    </w:p>
    <w:p w14:paraId="000000AC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AI Solutions</w:t>
      </w:r>
    </w:p>
    <w:p w14:paraId="000000AD">
      <w:pPr>
        <w:pStyle w:val="4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80" w:after="120" w:line="270" w:lineRule="auto"/>
        <w:rPr>
          <w:rFonts w:hint="default" w:ascii="Calibri" w:hAnsi="Calibri" w:cs="Calibri" w:eastAsiaTheme="majorEastAsia"/>
          <w:color w:val="363636"/>
          <w:sz w:val="42"/>
          <w:szCs w:val="42"/>
        </w:rPr>
      </w:pPr>
      <w:bookmarkStart w:id="12" w:name="_bnqsbnjzc9gj" w:colFirst="0" w:colLast="0"/>
      <w:bookmarkEnd w:id="12"/>
      <w:r>
        <w:rPr>
          <w:rFonts w:hint="default" w:ascii="Calibri" w:hAnsi="Calibri" w:cs="Calibri" w:eastAsiaTheme="majorEastAsia"/>
          <w:color w:val="363636"/>
          <w:sz w:val="42"/>
          <w:szCs w:val="42"/>
          <w:rtl w:val="0"/>
        </w:rPr>
        <w:t>Declined Deals</w:t>
      </w:r>
    </w:p>
    <w:p w14:paraId="000000AE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Date Declined</w:t>
      </w:r>
    </w:p>
    <w:p w14:paraId="000000AF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Loss Driver</w:t>
      </w:r>
    </w:p>
    <w:p w14:paraId="000000B0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Reason for Decline</w:t>
      </w:r>
    </w:p>
    <w:p w14:paraId="000000B1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Reason for Decline Detail</w:t>
      </w:r>
    </w:p>
    <w:p w14:paraId="000000B2">
      <w:pPr>
        <w:shd w:val="clear" w:fill="F2F2F2"/>
        <w:spacing w:after="40"/>
        <w:ind w:left="40" w:right="40" w:firstLine="0"/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</w:rPr>
      </w:pPr>
      <w:r>
        <w:rPr>
          <w:rFonts w:hint="default" w:ascii="Calibri" w:hAnsi="Calibri" w:cs="Calibri" w:eastAsiaTheme="majorEastAsia"/>
          <w:b/>
          <w:bCs/>
          <w:color w:val="363636"/>
          <w:sz w:val="24"/>
          <w:szCs w:val="24"/>
          <w:rtl w:val="0"/>
        </w:rPr>
        <w:t>Other player sold to (if known)</w:t>
      </w:r>
    </w:p>
    <w:p w14:paraId="000000B3">
      <w:pPr>
        <w:rPr>
          <w:rFonts w:hint="default" w:ascii="Calibri" w:hAnsi="Calibri" w:cs="Calibri" w:eastAsiaTheme="majorEastAsia"/>
        </w:rPr>
      </w:pPr>
    </w:p>
    <w:p w14:paraId="000000B4">
      <w:pPr>
        <w:rPr>
          <w:rFonts w:hint="default" w:ascii="Calibri" w:hAnsi="Calibri" w:cs="Calibri" w:eastAsiaTheme="majorEastAsia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74974756-94C3-4BCF-8D50-2DE5CA14114D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DE083DE3-92EF-4DA0-983C-514D1314BDE5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4EA31E04-5FBA-4429-ABFE-1CFA7F0BFE8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81B274DB-AFE9-44CF-AC50-D7545D65CF55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29154B26-ABFD-4B9D-9D3A-9DFE54FA99AD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B0C27B6B-4D96-455F-A703-97CCACFFC22D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7" w:fontKey="{6B6D87F1-604D-4A16-9945-9B56BDA6BB10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8" w:fontKey="{A277A6B6-286F-48E4-BCAE-5FDEFC5E9944}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  <w:embedRegular r:id="rId9" w:fontKey="{630F11C0-005C-496E-BFCC-FF6A46E8AA0F}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  <w:embedRegular r:id="rId10" w:fontKey="{E6D4F7ED-FE08-41AC-9E42-114577E0E3AC}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  <w:embedRegular r:id="rId11" w:fontKey="{9B2936E9-B88A-4069-A0E8-92D702AF28DF}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  <w:embedRegular r:id="rId12" w:fontKey="{E4413905-5F1F-470E-96CB-07B64484C55B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68B924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542</Words>
  <Characters>3204</Characters>
  <TotalTime>1</TotalTime>
  <ScaleCrop>false</ScaleCrop>
  <LinksUpToDate>false</LinksUpToDate>
  <CharactersWithSpaces>3573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2026-07-09T09:59:48Z</dcterms:created>
  <dc:creator>Rupen</dc:creator>
  <cp:lastModifiedBy>Rupendra Kanwar</cp:lastModifiedBy>
  <dcterms:modified xsi:type="dcterms:W3CDTF">2026-07-09T10:00:58Z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eyJoZGlkIjoiZGIxODlhMzQzODM1NmI3NTg4ZWYyNDE3Y2EzNWMxNTgiLCJ1c2VySWQiOiIzODY1OTU3ODIyMDY0In0=</vt:lpwstr>
  </property>
  <property fmtid="{D5CDD505-2E9C-101B-9397-08002B2CF9AE}" pid="3" name="KSOProductBuildVer">
    <vt:lpwstr>1033-12.1.0.25242</vt:lpwstr>
  </property>
  <property fmtid="{D5CDD505-2E9C-101B-9397-08002B2CF9AE}" pid="4" name="ICV">
    <vt:lpwstr>F74E0D97B2304984B652723E44D86D47_12</vt:lpwstr>
  </property>
</Properties>
</file>