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80"/>
      </w:pPr>
      <w:r>
        <w:rPr>
          <w:b/>
          <w:color w:val="2266AA"/>
          <w:sz w:val="24"/>
        </w:rPr>
        <w:t>FLOWTARIS AI</w:t>
      </w:r>
    </w:p>
    <w:p>
      <w:pPr>
        <w:pStyle w:val="Title"/>
      </w:pPr>
      <w:r>
        <w:t>Website Remediation</w:t>
        <w:br/>
        <w:t>and Change Brief</w:t>
      </w:r>
    </w:p>
    <w:p>
      <w:pPr>
        <w:spacing w:after="440"/>
      </w:pPr>
      <w:r>
        <w:rPr>
          <w:color w:val="5E6B78"/>
          <w:sz w:val="28"/>
        </w:rPr>
        <w:t>Issues, exact replacements, implementation priorities, and launch acceptance criteria</w:t>
      </w:r>
    </w:p>
    <w:tbl>
      <w:tblPr>
        <w:tblW w:type="auto" w:w="0"/>
        <w:tblLayout w:type="fixed"/>
        <w:tblLook w:firstColumn="1" w:firstRow="1" w:lastColumn="0" w:lastRow="0" w:noHBand="0" w:noVBand="1" w:val="04A0"/>
        <w:tblBorders>
          <w:top w:val="single" w:sz="6" w:color="A61B1B"/>
          <w:left w:val="single" w:sz="6" w:color="A61B1B"/>
          <w:bottom w:val="single" w:sz="6" w:color="A61B1B"/>
          <w:right w:val="single" w:sz="6" w:color="A61B1B"/>
          <w:insideH w:val="single" w:sz="6" w:color="A61B1B"/>
          <w:insideV w:val="single" w:sz="6" w:color="A61B1B"/>
        </w:tblBorders>
      </w:tblPr>
      <w:tblGrid>
        <w:gridCol w:w="9792"/>
      </w:tblGrid>
      <w:tr>
        <w:trPr>
          <w:tblHeader w:val="true"/>
        </w:trPr>
        <w:tc>
          <w:tcPr>
            <w:tcW w:type="dxa" w:w="9994"/>
            <w:shd w:fill="FDECEC"/>
            <w:tcMar>
              <w:top w:w="120" w:type="dxa"/>
              <w:start w:w="160" w:type="dxa"/>
              <w:bottom w:w="120" w:type="dxa"/>
              <w:end w:w="160" w:type="dxa"/>
            </w:tcMar>
          </w:tcPr>
          <w:p>
            <w:r>
              <w:rPr>
                <w:b/>
                <w:color w:val="A61B1B"/>
                <w:sz w:val="18"/>
              </w:rPr>
              <w:t xml:space="preserve">LAUNCH DECISION  </w:t>
            </w:r>
            <w:r>
              <w:rPr>
                <w:sz w:val="20"/>
              </w:rPr>
              <w:t>Do not promote the current site to prospects until every P0 item is resolved and all material corporate, customer, funding, certification, and performance claims are substantiated or removed.</w:t>
            </w:r>
          </w:p>
        </w:tc>
      </w:tr>
    </w:tbl>
    <w:p>
      <w:pPr>
        <w:spacing w:after="20"/>
      </w:pP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4997"/>
        <w:gridCol w:w="4997"/>
      </w:tblGrid>
      <w:tr>
        <w:trPr>
          <w:tblHeader w:val="true"/>
        </w:trPr>
        <w:tc>
          <w:tcPr>
            <w:tcW w:type="dxa" w:w="2520"/>
            <w:shd w:fill="142B4A"/>
            <w:tcMar>
              <w:top w:w="90" w:type="dxa"/>
              <w:start w:w="110" w:type="dxa"/>
              <w:bottom w:w="90" w:type="dxa"/>
              <w:end w:w="110" w:type="dxa"/>
            </w:tcMar>
          </w:tcPr>
          <w:p>
            <w:r>
              <w:rPr>
                <w:b/>
                <w:color w:val="FFFFFF"/>
                <w:sz w:val="18"/>
              </w:rPr>
              <w:t>Audit fact</w:t>
            </w:r>
          </w:p>
        </w:tc>
        <w:tc>
          <w:tcPr>
            <w:tcW w:type="dxa" w:w="7272"/>
            <w:shd w:fill="142B4A"/>
            <w:tcMar>
              <w:top w:w="90" w:type="dxa"/>
              <w:start w:w="110" w:type="dxa"/>
              <w:bottom w:w="90" w:type="dxa"/>
              <w:end w:w="110" w:type="dxa"/>
            </w:tcMar>
          </w:tcPr>
          <w:p>
            <w:r>
              <w:rPr>
                <w:b/>
                <w:color w:val="FFFFFF"/>
                <w:sz w:val="18"/>
              </w:rPr>
              <w:t>Result</w:t>
            </w:r>
          </w:p>
        </w:tc>
      </w:tr>
      <w:tr>
        <w:tc>
          <w:tcPr>
            <w:tcW w:type="dxa" w:w="2520"/>
            <w:tcMar>
              <w:top w:w="90" w:type="dxa"/>
              <w:start w:w="110" w:type="dxa"/>
              <w:bottom w:w="90" w:type="dxa"/>
              <w:end w:w="110" w:type="dxa"/>
            </w:tcMar>
            <w:vAlign w:val="top"/>
          </w:tcPr>
          <w:p>
            <w:pPr>
              <w:spacing w:after="20" w:line="245" w:lineRule="auto"/>
            </w:pPr>
            <w:r>
              <w:rPr>
                <w:sz w:val="17"/>
              </w:rPr>
              <w:t>Site audited</w:t>
            </w:r>
          </w:p>
        </w:tc>
        <w:tc>
          <w:tcPr>
            <w:tcW w:type="dxa" w:w="7272"/>
            <w:tcMar>
              <w:top w:w="90" w:type="dxa"/>
              <w:start w:w="110" w:type="dxa"/>
              <w:bottom w:w="90" w:type="dxa"/>
              <w:end w:w="110" w:type="dxa"/>
            </w:tcMar>
            <w:vAlign w:val="top"/>
          </w:tcPr>
          <w:p>
            <w:pPr>
              <w:spacing w:after="20" w:line="245" w:lineRule="auto"/>
            </w:pPr>
            <w:r>
              <w:rPr>
                <w:sz w:val="17"/>
              </w:rPr>
              <w:t>flowtaris-ecosystem-flowtaris-ai.vercel.app</w:t>
            </w:r>
          </w:p>
        </w:tc>
      </w:tr>
      <w:tr>
        <w:tc>
          <w:tcPr>
            <w:tcW w:type="dxa" w:w="2520"/>
            <w:tcMar>
              <w:top w:w="90" w:type="dxa"/>
              <w:start w:w="110" w:type="dxa"/>
              <w:bottom w:w="90" w:type="dxa"/>
              <w:end w:w="110" w:type="dxa"/>
            </w:tcMar>
            <w:vAlign w:val="top"/>
            <w:shd w:fill="F5F7FA"/>
          </w:tcPr>
          <w:p>
            <w:pPr>
              <w:spacing w:after="20" w:line="245" w:lineRule="auto"/>
            </w:pPr>
            <w:r>
              <w:rPr>
                <w:sz w:val="17"/>
              </w:rPr>
              <w:t>Coverage</w:t>
            </w:r>
          </w:p>
        </w:tc>
        <w:tc>
          <w:tcPr>
            <w:tcW w:type="dxa" w:w="7272"/>
            <w:tcMar>
              <w:top w:w="90" w:type="dxa"/>
              <w:start w:w="110" w:type="dxa"/>
              <w:bottom w:w="90" w:type="dxa"/>
              <w:end w:w="110" w:type="dxa"/>
            </w:tcMar>
            <w:vAlign w:val="top"/>
            <w:shd w:fill="F5F7FA"/>
          </w:tcPr>
          <w:p>
            <w:pPr>
              <w:spacing w:after="20" w:line="245" w:lineRule="auto"/>
            </w:pPr>
            <w:r>
              <w:rPr>
                <w:sz w:val="17"/>
              </w:rPr>
              <w:t>33 rendered URL variants; 317 link instances; 43 unique destinations</w:t>
            </w:r>
          </w:p>
        </w:tc>
      </w:tr>
      <w:tr>
        <w:tc>
          <w:tcPr>
            <w:tcW w:type="dxa" w:w="2520"/>
            <w:tcMar>
              <w:top w:w="90" w:type="dxa"/>
              <w:start w:w="110" w:type="dxa"/>
              <w:bottom w:w="90" w:type="dxa"/>
              <w:end w:w="110" w:type="dxa"/>
            </w:tcMar>
            <w:vAlign w:val="top"/>
          </w:tcPr>
          <w:p>
            <w:pPr>
              <w:spacing w:after="20" w:line="245" w:lineRule="auto"/>
            </w:pPr>
            <w:r>
              <w:rPr>
                <w:sz w:val="17"/>
              </w:rPr>
              <w:t>Critical failures</w:t>
            </w:r>
          </w:p>
        </w:tc>
        <w:tc>
          <w:tcPr>
            <w:tcW w:type="dxa" w:w="7272"/>
            <w:tcMar>
              <w:top w:w="90" w:type="dxa"/>
              <w:start w:w="110" w:type="dxa"/>
              <w:bottom w:w="90" w:type="dxa"/>
              <w:end w:w="110" w:type="dxa"/>
            </w:tcMar>
            <w:vAlign w:val="top"/>
          </w:tcPr>
          <w:p>
            <w:pPr>
              <w:spacing w:after="20" w:line="245" w:lineRule="auto"/>
            </w:pPr>
            <w:r>
              <w:rPr>
                <w:sz w:val="17"/>
              </w:rPr>
              <w:t>Broken capability CTAs, parked corporate domain, missing privacy page, broken Calendly, unavailable insight pages</w:t>
            </w:r>
          </w:p>
        </w:tc>
      </w:tr>
      <w:tr>
        <w:tc>
          <w:tcPr>
            <w:tcW w:type="dxa" w:w="2520"/>
            <w:tcMar>
              <w:top w:w="90" w:type="dxa"/>
              <w:start w:w="110" w:type="dxa"/>
              <w:bottom w:w="90" w:type="dxa"/>
              <w:end w:w="110" w:type="dxa"/>
            </w:tcMar>
            <w:vAlign w:val="top"/>
            <w:shd w:fill="F5F7FA"/>
          </w:tcPr>
          <w:p>
            <w:pPr>
              <w:spacing w:after="20" w:line="245" w:lineRule="auto"/>
            </w:pPr>
            <w:r>
              <w:rPr>
                <w:sz w:val="17"/>
              </w:rPr>
              <w:t>Interactive checks</w:t>
            </w:r>
          </w:p>
        </w:tc>
        <w:tc>
          <w:tcPr>
            <w:tcW w:type="dxa" w:w="7272"/>
            <w:tcMar>
              <w:top w:w="90" w:type="dxa"/>
              <w:start w:w="110" w:type="dxa"/>
              <w:bottom w:w="90" w:type="dxa"/>
              <w:end w:w="110" w:type="dxa"/>
            </w:tcMar>
            <w:vAlign w:val="top"/>
            <w:shd w:fill="F5F7FA"/>
          </w:tcPr>
          <w:p>
            <w:pPr>
              <w:spacing w:after="20" w:line="245" w:lineRule="auto"/>
            </w:pPr>
            <w:r>
              <w:rPr>
                <w:sz w:val="17"/>
              </w:rPr>
              <w:t>Assessment and calculator controls exercised without submitting personal data</w:t>
            </w:r>
          </w:p>
        </w:tc>
      </w:tr>
      <w:tr>
        <w:tc>
          <w:tcPr>
            <w:tcW w:type="dxa" w:w="2520"/>
            <w:tcMar>
              <w:top w:w="90" w:type="dxa"/>
              <w:start w:w="110" w:type="dxa"/>
              <w:bottom w:w="90" w:type="dxa"/>
              <w:end w:w="110" w:type="dxa"/>
            </w:tcMar>
            <w:vAlign w:val="top"/>
          </w:tcPr>
          <w:p>
            <w:pPr>
              <w:spacing w:after="20" w:line="245" w:lineRule="auto"/>
            </w:pPr>
            <w:r>
              <w:rPr>
                <w:sz w:val="17"/>
              </w:rPr>
              <w:t>Audit date</w:t>
            </w:r>
          </w:p>
        </w:tc>
        <w:tc>
          <w:tcPr>
            <w:tcW w:type="dxa" w:w="7272"/>
            <w:tcMar>
              <w:top w:w="90" w:type="dxa"/>
              <w:start w:w="110" w:type="dxa"/>
              <w:bottom w:w="90" w:type="dxa"/>
              <w:end w:w="110" w:type="dxa"/>
            </w:tcMar>
            <w:vAlign w:val="top"/>
          </w:tcPr>
          <w:p>
            <w:pPr>
              <w:spacing w:after="20" w:line="245" w:lineRule="auto"/>
            </w:pPr>
            <w:r>
              <w:rPr>
                <w:sz w:val="17"/>
              </w:rPr>
              <w:t>27 August 2026</w:t>
            </w:r>
          </w:p>
        </w:tc>
      </w:tr>
    </w:tbl>
    <w:p>
      <w:pPr>
        <w:spacing w:after="20"/>
      </w:pPr>
    </w:p>
    <w:p>
      <w:pPr>
        <w:pStyle w:val="SmallNote"/>
        <w:spacing w:before="320"/>
      </w:pPr>
      <w:r>
        <w:t>Prepared as an implementation handoff for Web Engineering, Content, Legal/Compliance, Marketing, SEO, and Executive stakeholders.</w:t>
      </w:r>
    </w:p>
    <w:p>
      <w:r>
        <w:br w:type="page"/>
      </w:r>
    </w:p>
    <w:p>
      <w:pPr>
        <w:pStyle w:val="Heading1"/>
      </w:pPr>
      <w:r>
        <w:t>1. Executive action plan</w:t>
      </w:r>
    </w:p>
    <w:p>
      <w:r>
        <w:t>The website has a strong visual concept, but its current public experience creates significant conversion, credibility, legal, and reputational risk. The priority is to make every conversion path truthful and functional before expanding content or traffic acquisition.</w:t>
      </w:r>
    </w:p>
    <w:tbl>
      <w:tblPr>
        <w:tblW w:type="auto" w:w="0"/>
        <w:tblLayout w:type="fixed"/>
        <w:tblLook w:firstColumn="1" w:firstRow="1" w:lastColumn="0" w:lastRow="0" w:noHBand="0" w:noVBand="1" w:val="04A0"/>
        <w:tblBorders>
          <w:top w:val="single" w:sz="6" w:color="8A5A00"/>
          <w:left w:val="single" w:sz="6" w:color="8A5A00"/>
          <w:bottom w:val="single" w:sz="6" w:color="8A5A00"/>
          <w:right w:val="single" w:sz="6" w:color="8A5A00"/>
          <w:insideH w:val="single" w:sz="6" w:color="8A5A00"/>
          <w:insideV w:val="single" w:sz="6" w:color="8A5A00"/>
        </w:tblBorders>
      </w:tblPr>
      <w:tblGrid>
        <w:gridCol w:w="9792"/>
      </w:tblGrid>
      <w:tr>
        <w:trPr>
          <w:tblHeader w:val="true"/>
        </w:trPr>
        <w:tc>
          <w:tcPr>
            <w:tcW w:type="dxa" w:w="9994"/>
            <w:shd w:fill="FFF4D6"/>
            <w:tcMar>
              <w:top w:w="120" w:type="dxa"/>
              <w:start w:w="160" w:type="dxa"/>
              <w:bottom w:w="120" w:type="dxa"/>
              <w:end w:w="160" w:type="dxa"/>
            </w:tcMar>
          </w:tcPr>
          <w:p>
            <w:r>
              <w:rPr>
                <w:b/>
                <w:color w:val="8A5A00"/>
                <w:sz w:val="18"/>
              </w:rPr>
              <w:t xml:space="preserve">RECOMMENDED SEQUENCE  </w:t>
            </w:r>
            <w:r>
              <w:rPr>
                <w:sz w:val="20"/>
              </w:rPr>
              <w:t>Stabilize links and legal pages first; verify identity and claims second; correct calculators and content consistency third; finish SEO, accessibility, and responsive QA last.</w:t>
            </w:r>
          </w:p>
        </w:tc>
      </w:tr>
    </w:tbl>
    <w:p>
      <w:pPr>
        <w:spacing w:after="20"/>
      </w:pP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498"/>
        <w:gridCol w:w="2498"/>
        <w:gridCol w:w="2498"/>
        <w:gridCol w:w="2498"/>
      </w:tblGrid>
      <w:tr>
        <w:trPr>
          <w:tblHeader w:val="true"/>
        </w:trPr>
        <w:tc>
          <w:tcPr>
            <w:tcW w:type="dxa" w:w="1440"/>
            <w:shd w:fill="142B4A"/>
            <w:tcMar>
              <w:top w:w="90" w:type="dxa"/>
              <w:start w:w="110" w:type="dxa"/>
              <w:bottom w:w="90" w:type="dxa"/>
              <w:end w:w="110" w:type="dxa"/>
            </w:tcMar>
          </w:tcPr>
          <w:p>
            <w:r>
              <w:rPr>
                <w:b/>
                <w:color w:val="FFFFFF"/>
                <w:sz w:val="18"/>
              </w:rPr>
              <w:t>Phase</w:t>
            </w:r>
          </w:p>
        </w:tc>
        <w:tc>
          <w:tcPr>
            <w:tcW w:type="dxa" w:w="1080"/>
            <w:shd w:fill="142B4A"/>
            <w:tcMar>
              <w:top w:w="90" w:type="dxa"/>
              <w:start w:w="110" w:type="dxa"/>
              <w:bottom w:w="90" w:type="dxa"/>
              <w:end w:w="110" w:type="dxa"/>
            </w:tcMar>
          </w:tcPr>
          <w:p>
            <w:r>
              <w:rPr>
                <w:b/>
                <w:color w:val="FFFFFF"/>
                <w:sz w:val="18"/>
              </w:rPr>
              <w:t>Timing</w:t>
            </w:r>
          </w:p>
        </w:tc>
        <w:tc>
          <w:tcPr>
            <w:tcW w:type="dxa" w:w="4536"/>
            <w:shd w:fill="142B4A"/>
            <w:tcMar>
              <w:top w:w="90" w:type="dxa"/>
              <w:start w:w="110" w:type="dxa"/>
              <w:bottom w:w="90" w:type="dxa"/>
              <w:end w:w="110" w:type="dxa"/>
            </w:tcMar>
          </w:tcPr>
          <w:p>
            <w:r>
              <w:rPr>
                <w:b/>
                <w:color w:val="FFFFFF"/>
                <w:sz w:val="18"/>
              </w:rPr>
              <w:t>Primary work</w:t>
            </w:r>
          </w:p>
        </w:tc>
        <w:tc>
          <w:tcPr>
            <w:tcW w:type="dxa" w:w="2736"/>
            <w:shd w:fill="142B4A"/>
            <w:tcMar>
              <w:top w:w="90" w:type="dxa"/>
              <w:start w:w="110" w:type="dxa"/>
              <w:bottom w:w="90" w:type="dxa"/>
              <w:end w:w="110" w:type="dxa"/>
            </w:tcMar>
          </w:tcPr>
          <w:p>
            <w:r>
              <w:rPr>
                <w:b/>
                <w:color w:val="FFFFFF"/>
                <w:sz w:val="18"/>
              </w:rPr>
              <w:t>Exit criterion</w:t>
            </w:r>
          </w:p>
        </w:tc>
      </w:tr>
      <w:tr>
        <w:tc>
          <w:tcPr>
            <w:tcW w:type="dxa" w:w="1440"/>
            <w:tcMar>
              <w:top w:w="90" w:type="dxa"/>
              <w:start w:w="110" w:type="dxa"/>
              <w:bottom w:w="90" w:type="dxa"/>
              <w:end w:w="110" w:type="dxa"/>
            </w:tcMar>
            <w:vAlign w:val="top"/>
          </w:tcPr>
          <w:p>
            <w:pPr>
              <w:spacing w:after="20" w:line="245" w:lineRule="auto"/>
            </w:pPr>
            <w:r>
              <w:rPr>
                <w:sz w:val="17"/>
              </w:rPr>
              <w:t>1. Contain</w:t>
            </w:r>
          </w:p>
        </w:tc>
        <w:tc>
          <w:tcPr>
            <w:tcW w:type="dxa" w:w="1080"/>
            <w:tcMar>
              <w:top w:w="90" w:type="dxa"/>
              <w:start w:w="110" w:type="dxa"/>
              <w:bottom w:w="90" w:type="dxa"/>
              <w:end w:w="110" w:type="dxa"/>
            </w:tcMar>
            <w:vAlign w:val="top"/>
          </w:tcPr>
          <w:p>
            <w:pPr>
              <w:spacing w:after="20" w:line="245" w:lineRule="auto"/>
            </w:pPr>
            <w:r>
              <w:rPr>
                <w:sz w:val="17"/>
              </w:rPr>
              <w:t>Day 0-2</w:t>
            </w:r>
          </w:p>
        </w:tc>
        <w:tc>
          <w:tcPr>
            <w:tcW w:type="dxa" w:w="4536"/>
            <w:tcMar>
              <w:top w:w="90" w:type="dxa"/>
              <w:start w:w="110" w:type="dxa"/>
              <w:bottom w:w="90" w:type="dxa"/>
              <w:end w:w="110" w:type="dxa"/>
            </w:tcMar>
            <w:vAlign w:val="top"/>
          </w:tcPr>
          <w:p>
            <w:pPr>
              <w:spacing w:after="20" w:line="245" w:lineRule="auto"/>
            </w:pPr>
            <w:r>
              <w:rPr>
                <w:sz w:val="17"/>
              </w:rPr>
              <w:t>Remove/disable broken CTAs and unverifiable high-risk claims.</w:t>
            </w:r>
          </w:p>
        </w:tc>
        <w:tc>
          <w:tcPr>
            <w:tcW w:type="dxa" w:w="2736"/>
            <w:tcMar>
              <w:top w:w="90" w:type="dxa"/>
              <w:start w:w="110" w:type="dxa"/>
              <w:bottom w:w="90" w:type="dxa"/>
              <w:end w:w="110" w:type="dxa"/>
            </w:tcMar>
            <w:vAlign w:val="top"/>
          </w:tcPr>
          <w:p>
            <w:pPr>
              <w:spacing w:after="20" w:line="245" w:lineRule="auto"/>
            </w:pPr>
            <w:r>
              <w:rPr>
                <w:sz w:val="17"/>
              </w:rPr>
              <w:t>No visitor is routed to a 404, server error, parked domain, or false scheduling path.</w:t>
            </w:r>
          </w:p>
        </w:tc>
      </w:tr>
      <w:tr>
        <w:tc>
          <w:tcPr>
            <w:tcW w:type="dxa" w:w="1440"/>
            <w:tcMar>
              <w:top w:w="90" w:type="dxa"/>
              <w:start w:w="110" w:type="dxa"/>
              <w:bottom w:w="90" w:type="dxa"/>
              <w:end w:w="110" w:type="dxa"/>
            </w:tcMar>
            <w:vAlign w:val="top"/>
            <w:shd w:fill="F5F7FA"/>
          </w:tcPr>
          <w:p>
            <w:pPr>
              <w:spacing w:after="20" w:line="245" w:lineRule="auto"/>
            </w:pPr>
            <w:r>
              <w:rPr>
                <w:sz w:val="17"/>
              </w:rPr>
              <w:t>2. Repair</w:t>
            </w:r>
          </w:p>
        </w:tc>
        <w:tc>
          <w:tcPr>
            <w:tcW w:type="dxa" w:w="1080"/>
            <w:tcMar>
              <w:top w:w="90" w:type="dxa"/>
              <w:start w:w="110" w:type="dxa"/>
              <w:bottom w:w="90" w:type="dxa"/>
              <w:end w:w="110" w:type="dxa"/>
            </w:tcMar>
            <w:vAlign w:val="top"/>
            <w:shd w:fill="F5F7FA"/>
          </w:tcPr>
          <w:p>
            <w:pPr>
              <w:spacing w:after="20" w:line="245" w:lineRule="auto"/>
            </w:pPr>
            <w:r>
              <w:rPr>
                <w:sz w:val="17"/>
              </w:rPr>
              <w:t>Day 2-7</w:t>
            </w:r>
          </w:p>
        </w:tc>
        <w:tc>
          <w:tcPr>
            <w:tcW w:type="dxa" w:w="4536"/>
            <w:tcMar>
              <w:top w:w="90" w:type="dxa"/>
              <w:start w:w="110" w:type="dxa"/>
              <w:bottom w:w="90" w:type="dxa"/>
              <w:end w:w="110" w:type="dxa"/>
            </w:tcMar>
            <w:vAlign w:val="top"/>
            <w:shd w:fill="F5F7FA"/>
          </w:tcPr>
          <w:p>
            <w:pPr>
              <w:spacing w:after="20" w:line="245" w:lineRule="auto"/>
            </w:pPr>
            <w:r>
              <w:rPr>
                <w:sz w:val="17"/>
              </w:rPr>
              <w:t>Correct routes; publish legal pages; connect working contact and scheduling endpoints.</w:t>
            </w:r>
          </w:p>
        </w:tc>
        <w:tc>
          <w:tcPr>
            <w:tcW w:type="dxa" w:w="2736"/>
            <w:tcMar>
              <w:top w:w="90" w:type="dxa"/>
              <w:start w:w="110" w:type="dxa"/>
              <w:bottom w:w="90" w:type="dxa"/>
              <w:end w:w="110" w:type="dxa"/>
            </w:tcMar>
            <w:vAlign w:val="top"/>
            <w:shd w:fill="F5F7FA"/>
          </w:tcPr>
          <w:p>
            <w:pPr>
              <w:spacing w:after="20" w:line="245" w:lineRule="auto"/>
            </w:pPr>
            <w:r>
              <w:rPr>
                <w:sz w:val="17"/>
              </w:rPr>
              <w:t>All P0 journeys pass end-to-end QA.</w:t>
            </w:r>
          </w:p>
        </w:tc>
      </w:tr>
      <w:tr>
        <w:tc>
          <w:tcPr>
            <w:tcW w:type="dxa" w:w="1440"/>
            <w:tcMar>
              <w:top w:w="90" w:type="dxa"/>
              <w:start w:w="110" w:type="dxa"/>
              <w:bottom w:w="90" w:type="dxa"/>
              <w:end w:w="110" w:type="dxa"/>
            </w:tcMar>
            <w:vAlign w:val="top"/>
          </w:tcPr>
          <w:p>
            <w:pPr>
              <w:spacing w:after="20" w:line="245" w:lineRule="auto"/>
            </w:pPr>
            <w:r>
              <w:rPr>
                <w:sz w:val="17"/>
              </w:rPr>
              <w:t>3. Substantiate</w:t>
            </w:r>
          </w:p>
        </w:tc>
        <w:tc>
          <w:tcPr>
            <w:tcW w:type="dxa" w:w="1080"/>
            <w:tcMar>
              <w:top w:w="90" w:type="dxa"/>
              <w:start w:w="110" w:type="dxa"/>
              <w:bottom w:w="90" w:type="dxa"/>
              <w:end w:w="110" w:type="dxa"/>
            </w:tcMar>
            <w:vAlign w:val="top"/>
          </w:tcPr>
          <w:p>
            <w:pPr>
              <w:spacing w:after="20" w:line="245" w:lineRule="auto"/>
            </w:pPr>
            <w:r>
              <w:rPr>
                <w:sz w:val="17"/>
              </w:rPr>
              <w:t>Week 1-2</w:t>
            </w:r>
          </w:p>
        </w:tc>
        <w:tc>
          <w:tcPr>
            <w:tcW w:type="dxa" w:w="4536"/>
            <w:tcMar>
              <w:top w:w="90" w:type="dxa"/>
              <w:start w:w="110" w:type="dxa"/>
              <w:bottom w:w="90" w:type="dxa"/>
              <w:end w:w="110" w:type="dxa"/>
            </w:tcMar>
            <w:vAlign w:val="top"/>
          </w:tcPr>
          <w:p>
            <w:pPr>
              <w:spacing w:after="20" w:line="245" w:lineRule="auto"/>
            </w:pPr>
            <w:r>
              <w:rPr>
                <w:sz w:val="17"/>
              </w:rPr>
              <w:t>Evidence review for identity, funding, customers, investors, team, locations, case studies, metrics, and certifications.</w:t>
            </w:r>
          </w:p>
        </w:tc>
        <w:tc>
          <w:tcPr>
            <w:tcW w:type="dxa" w:w="2736"/>
            <w:tcMar>
              <w:top w:w="90" w:type="dxa"/>
              <w:start w:w="110" w:type="dxa"/>
              <w:bottom w:w="90" w:type="dxa"/>
              <w:end w:w="110" w:type="dxa"/>
            </w:tcMar>
            <w:vAlign w:val="top"/>
          </w:tcPr>
          <w:p>
            <w:pPr>
              <w:spacing w:after="20" w:line="245" w:lineRule="auto"/>
            </w:pPr>
            <w:r>
              <w:rPr>
                <w:sz w:val="17"/>
              </w:rPr>
              <w:t>Every material claim has approved evidence or is removed/reframed.</w:t>
            </w:r>
          </w:p>
        </w:tc>
      </w:tr>
      <w:tr>
        <w:tc>
          <w:tcPr>
            <w:tcW w:type="dxa" w:w="1440"/>
            <w:tcMar>
              <w:top w:w="90" w:type="dxa"/>
              <w:start w:w="110" w:type="dxa"/>
              <w:bottom w:w="90" w:type="dxa"/>
              <w:end w:w="110" w:type="dxa"/>
            </w:tcMar>
            <w:vAlign w:val="top"/>
            <w:shd w:fill="F5F7FA"/>
          </w:tcPr>
          <w:p>
            <w:pPr>
              <w:spacing w:after="20" w:line="245" w:lineRule="auto"/>
            </w:pPr>
            <w:r>
              <w:rPr>
                <w:sz w:val="17"/>
              </w:rPr>
              <w:t>4. Rebuild trust</w:t>
            </w:r>
          </w:p>
        </w:tc>
        <w:tc>
          <w:tcPr>
            <w:tcW w:type="dxa" w:w="1080"/>
            <w:tcMar>
              <w:top w:w="90" w:type="dxa"/>
              <w:start w:w="110" w:type="dxa"/>
              <w:bottom w:w="90" w:type="dxa"/>
              <w:end w:w="110" w:type="dxa"/>
            </w:tcMar>
            <w:vAlign w:val="top"/>
            <w:shd w:fill="F5F7FA"/>
          </w:tcPr>
          <w:p>
            <w:pPr>
              <w:spacing w:after="20" w:line="245" w:lineRule="auto"/>
            </w:pPr>
            <w:r>
              <w:rPr>
                <w:sz w:val="17"/>
              </w:rPr>
              <w:t>Week 2-3</w:t>
            </w:r>
          </w:p>
        </w:tc>
        <w:tc>
          <w:tcPr>
            <w:tcW w:type="dxa" w:w="4536"/>
            <w:tcMar>
              <w:top w:w="90" w:type="dxa"/>
              <w:start w:w="110" w:type="dxa"/>
              <w:bottom w:w="90" w:type="dxa"/>
              <w:end w:w="110" w:type="dxa"/>
            </w:tcMar>
            <w:vAlign w:val="top"/>
            <w:shd w:fill="F5F7FA"/>
          </w:tcPr>
          <w:p>
            <w:pPr>
              <w:spacing w:after="20" w:line="245" w:lineRule="auto"/>
            </w:pPr>
            <w:r>
              <w:rPr>
                <w:sz w:val="17"/>
              </w:rPr>
              <w:t>Fix calculators, insights, SEO metadata, accessibility, responsive behavior, and copy consistency.</w:t>
            </w:r>
          </w:p>
        </w:tc>
        <w:tc>
          <w:tcPr>
            <w:tcW w:type="dxa" w:w="2736"/>
            <w:tcMar>
              <w:top w:w="90" w:type="dxa"/>
              <w:start w:w="110" w:type="dxa"/>
              <w:bottom w:w="90" w:type="dxa"/>
              <w:end w:w="110" w:type="dxa"/>
            </w:tcMar>
            <w:vAlign w:val="top"/>
            <w:shd w:fill="F5F7FA"/>
          </w:tcPr>
          <w:p>
            <w:pPr>
              <w:spacing w:after="20" w:line="245" w:lineRule="auto"/>
            </w:pPr>
            <w:r>
              <w:rPr>
                <w:sz w:val="17"/>
              </w:rPr>
              <w:t>P1/P2 acceptance checklist passes.</w:t>
            </w:r>
          </w:p>
        </w:tc>
      </w:tr>
      <w:tr>
        <w:tc>
          <w:tcPr>
            <w:tcW w:type="dxa" w:w="1440"/>
            <w:tcMar>
              <w:top w:w="90" w:type="dxa"/>
              <w:start w:w="110" w:type="dxa"/>
              <w:bottom w:w="90" w:type="dxa"/>
              <w:end w:w="110" w:type="dxa"/>
            </w:tcMar>
            <w:vAlign w:val="top"/>
          </w:tcPr>
          <w:p>
            <w:pPr>
              <w:spacing w:after="20" w:line="245" w:lineRule="auto"/>
            </w:pPr>
            <w:r>
              <w:rPr>
                <w:sz w:val="17"/>
              </w:rPr>
              <w:t>5. Relaunch</w:t>
            </w:r>
          </w:p>
        </w:tc>
        <w:tc>
          <w:tcPr>
            <w:tcW w:type="dxa" w:w="1080"/>
            <w:tcMar>
              <w:top w:w="90" w:type="dxa"/>
              <w:start w:w="110" w:type="dxa"/>
              <w:bottom w:w="90" w:type="dxa"/>
              <w:end w:w="110" w:type="dxa"/>
            </w:tcMar>
            <w:vAlign w:val="top"/>
          </w:tcPr>
          <w:p>
            <w:pPr>
              <w:spacing w:after="20" w:line="245" w:lineRule="auto"/>
            </w:pPr>
            <w:r>
              <w:rPr>
                <w:sz w:val="17"/>
              </w:rPr>
              <w:t>After sign-off</w:t>
            </w:r>
          </w:p>
        </w:tc>
        <w:tc>
          <w:tcPr>
            <w:tcW w:type="dxa" w:w="4536"/>
            <w:tcMar>
              <w:top w:w="90" w:type="dxa"/>
              <w:start w:w="110" w:type="dxa"/>
              <w:bottom w:w="90" w:type="dxa"/>
              <w:end w:w="110" w:type="dxa"/>
            </w:tcMar>
            <w:vAlign w:val="top"/>
          </w:tcPr>
          <w:p>
            <w:pPr>
              <w:spacing w:after="20" w:line="245" w:lineRule="auto"/>
            </w:pPr>
            <w:r>
              <w:rPr>
                <w:sz w:val="17"/>
              </w:rPr>
              <w:t>Regression crawl and stakeholder approval.</w:t>
            </w:r>
          </w:p>
        </w:tc>
        <w:tc>
          <w:tcPr>
            <w:tcW w:type="dxa" w:w="2736"/>
            <w:tcMar>
              <w:top w:w="90" w:type="dxa"/>
              <w:start w:w="110" w:type="dxa"/>
              <w:bottom w:w="90" w:type="dxa"/>
              <w:end w:w="110" w:type="dxa"/>
            </w:tcMar>
            <w:vAlign w:val="top"/>
          </w:tcPr>
          <w:p>
            <w:pPr>
              <w:spacing w:after="20" w:line="245" w:lineRule="auto"/>
            </w:pPr>
            <w:r>
              <w:rPr>
                <w:sz w:val="17"/>
              </w:rPr>
              <w:t>Web, Legal, Marketing, and Executive owners sign off.</w:t>
            </w:r>
          </w:p>
        </w:tc>
      </w:tr>
    </w:tbl>
    <w:p>
      <w:pPr>
        <w:spacing w:after="20"/>
      </w:pPr>
    </w:p>
    <w:p>
      <w:pPr>
        <w:pStyle w:val="Heading1"/>
      </w:pPr>
      <w:r>
        <w:t>2. P0 launch blockers - exact changes</w:t>
      </w:r>
    </w:p>
    <w:p>
      <w:pPr>
        <w:keepNext/>
      </w:pPr>
      <w:r>
        <w:rPr>
          <w:b/>
          <w:color w:val="A61B1B"/>
          <w:sz w:val="20"/>
        </w:rPr>
        <w:t xml:space="preserve">P0-01  </w:t>
      </w:r>
      <w:r>
        <w:rPr>
          <w:b/>
          <w:color w:val="142B4A"/>
          <w:sz w:val="23"/>
        </w:rPr>
        <w:t>Four broken homepage capability CTAs</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4997"/>
        <w:gridCol w:w="4997"/>
      </w:tblGrid>
      <w:tr>
        <w:trPr>
          <w:tblHeader w:val="true"/>
        </w:trPr>
        <w:tc>
          <w:tcPr>
            <w:tcW w:type="dxa" w:w="1757"/>
            <w:shd w:fill="142B4A"/>
            <w:tcMar>
              <w:top w:w="90" w:type="dxa"/>
              <w:start w:w="110" w:type="dxa"/>
              <w:bottom w:w="90" w:type="dxa"/>
              <w:end w:w="110" w:type="dxa"/>
            </w:tcMar>
          </w:tcPr>
          <w:p>
            <w:r>
              <w:rPr>
                <w:b/>
                <w:color w:val="FFFFFF"/>
                <w:sz w:val="18"/>
              </w:rPr>
              <w:t>Field</w:t>
            </w:r>
          </w:p>
        </w:tc>
        <w:tc>
          <w:tcPr>
            <w:tcW w:type="dxa" w:w="8035"/>
            <w:shd w:fill="142B4A"/>
            <w:tcMar>
              <w:top w:w="90" w:type="dxa"/>
              <w:start w:w="110" w:type="dxa"/>
              <w:bottom w:w="90" w:type="dxa"/>
              <w:end w:w="110" w:type="dxa"/>
            </w:tcMar>
          </w:tcPr>
          <w:p>
            <w:r>
              <w:rPr>
                <w:b/>
                <w:color w:val="FFFFFF"/>
                <w:sz w:val="18"/>
              </w:rPr>
              <w:t>Required action</w:t>
            </w:r>
          </w:p>
        </w:tc>
      </w:tr>
      <w:tr>
        <w:tc>
          <w:tcPr>
            <w:tcW w:type="dxa" w:w="1757"/>
            <w:tcMar>
              <w:top w:w="90" w:type="dxa"/>
              <w:start w:w="110" w:type="dxa"/>
              <w:bottom w:w="90" w:type="dxa"/>
              <w:end w:w="110" w:type="dxa"/>
            </w:tcMar>
            <w:vAlign w:val="top"/>
          </w:tcPr>
          <w:p>
            <w:pPr>
              <w:spacing w:after="20" w:line="245" w:lineRule="auto"/>
            </w:pPr>
            <w:r>
              <w:rPr>
                <w:sz w:val="17"/>
              </w:rPr>
              <w:t>Observed</w:t>
            </w:r>
          </w:p>
        </w:tc>
        <w:tc>
          <w:tcPr>
            <w:tcW w:type="dxa" w:w="8035"/>
            <w:tcMar>
              <w:top w:w="90" w:type="dxa"/>
              <w:start w:w="110" w:type="dxa"/>
              <w:bottom w:w="90" w:type="dxa"/>
              <w:end w:w="110" w:type="dxa"/>
            </w:tcMar>
            <w:vAlign w:val="top"/>
          </w:tcPr>
          <w:p>
            <w:pPr>
              <w:spacing w:after="20" w:line="245" w:lineRule="auto"/>
            </w:pPr>
            <w:r>
              <w:rPr>
                <w:sz w:val="17"/>
              </w:rPr>
              <w:t>Homepage “See how it works” links render 404 pages for Document Intelligence, Workflow Engine, Integration Monitoring, and Governance.</w:t>
            </w:r>
          </w:p>
        </w:tc>
      </w:tr>
      <w:tr>
        <w:tc>
          <w:tcPr>
            <w:tcW w:type="dxa" w:w="1757"/>
            <w:tcMar>
              <w:top w:w="90" w:type="dxa"/>
              <w:start w:w="110" w:type="dxa"/>
              <w:bottom w:w="90" w:type="dxa"/>
              <w:end w:w="110" w:type="dxa"/>
            </w:tcMar>
            <w:vAlign w:val="top"/>
            <w:shd w:fill="F5F7FA"/>
          </w:tcPr>
          <w:p>
            <w:pPr>
              <w:spacing w:after="20" w:line="245" w:lineRule="auto"/>
            </w:pPr>
            <w:r>
              <w:rPr>
                <w:sz w:val="17"/>
              </w:rPr>
              <w:t>Change</w:t>
            </w:r>
          </w:p>
        </w:tc>
        <w:tc>
          <w:tcPr>
            <w:tcW w:type="dxa" w:w="8035"/>
            <w:tcMar>
              <w:top w:w="90" w:type="dxa"/>
              <w:start w:w="110" w:type="dxa"/>
              <w:bottom w:w="90" w:type="dxa"/>
              <w:end w:w="110" w:type="dxa"/>
            </w:tcMar>
            <w:vAlign w:val="top"/>
            <w:shd w:fill="F5F7FA"/>
          </w:tcPr>
          <w:p>
            <w:pPr>
              <w:spacing w:after="20" w:line="245" w:lineRule="auto"/>
            </w:pPr>
            <w:r>
              <w:rPr>
                <w:sz w:val="17"/>
              </w:rPr>
              <w:t>Update the href values in the homepage capability component. Do not create redirect-only workarounds unless old URLs are already indexed or distributed.</w:t>
            </w:r>
          </w:p>
        </w:tc>
      </w:tr>
      <w:tr>
        <w:tc>
          <w:tcPr>
            <w:tcW w:type="dxa" w:w="1757"/>
            <w:tcMar>
              <w:top w:w="90" w:type="dxa"/>
              <w:start w:w="110" w:type="dxa"/>
              <w:bottom w:w="90" w:type="dxa"/>
              <w:end w:w="110" w:type="dxa"/>
            </w:tcMar>
            <w:vAlign w:val="top"/>
          </w:tcPr>
          <w:p>
            <w:pPr>
              <w:spacing w:after="20" w:line="245" w:lineRule="auto"/>
            </w:pPr>
            <w:r>
              <w:rPr>
                <w:sz w:val="17"/>
              </w:rPr>
              <w:t>Replace / update</w:t>
            </w:r>
          </w:p>
        </w:tc>
        <w:tc>
          <w:tcPr>
            <w:tcW w:type="dxa" w:w="8035"/>
            <w:tcMar>
              <w:top w:w="90" w:type="dxa"/>
              <w:start w:w="110" w:type="dxa"/>
              <w:bottom w:w="90" w:type="dxa"/>
              <w:end w:w="110" w:type="dxa"/>
            </w:tcMar>
            <w:vAlign w:val="top"/>
          </w:tcPr>
          <w:p>
            <w:pPr>
              <w:spacing w:after="20" w:line="245" w:lineRule="auto"/>
            </w:pPr>
            <w:r>
              <w:rPr>
                <w:sz w:val="17"/>
              </w:rPr>
              <w:t>/capabilities/document-intelligence -&gt; /capabilities/genai-document-intelligence</w:t>
              <w:br/>
              <w:t>/capabilities/workflow-engine -&gt; /capabilities/autonomous-workflow-engine</w:t>
              <w:br/>
              <w:t>/capabilities/integration-monitoring -&gt; /capabilities/integration-health-monitoring</w:t>
              <w:br/>
              <w:t>/capabilities/governance-compliance -&gt; /capabilities/ai-governance-compliance</w:t>
            </w:r>
          </w:p>
        </w:tc>
      </w:tr>
      <w:tr>
        <w:tc>
          <w:tcPr>
            <w:tcW w:type="dxa" w:w="1757"/>
            <w:tcMar>
              <w:top w:w="90" w:type="dxa"/>
              <w:start w:w="110" w:type="dxa"/>
              <w:bottom w:w="90" w:type="dxa"/>
              <w:end w:w="110" w:type="dxa"/>
            </w:tcMar>
            <w:vAlign w:val="top"/>
            <w:shd w:fill="F5F7FA"/>
          </w:tcPr>
          <w:p>
            <w:pPr>
              <w:spacing w:after="20" w:line="245" w:lineRule="auto"/>
            </w:pPr>
            <w:r>
              <w:rPr>
                <w:sz w:val="17"/>
              </w:rPr>
              <w:t>Acceptance check</w:t>
            </w:r>
          </w:p>
        </w:tc>
        <w:tc>
          <w:tcPr>
            <w:tcW w:type="dxa" w:w="8035"/>
            <w:tcMar>
              <w:top w:w="90" w:type="dxa"/>
              <w:start w:w="110" w:type="dxa"/>
              <w:bottom w:w="90" w:type="dxa"/>
              <w:end w:w="110" w:type="dxa"/>
            </w:tcMar>
            <w:vAlign w:val="top"/>
            <w:shd w:fill="F5F7FA"/>
          </w:tcPr>
          <w:p>
            <w:pPr>
              <w:spacing w:after="20" w:line="245" w:lineRule="auto"/>
            </w:pPr>
            <w:r>
              <w:rPr>
                <w:sz w:val="17"/>
              </w:rPr>
              <w:t>Click all six homepage capability CTAs from a clean session; each must render the intended page with a non-error title and matching H1.</w:t>
            </w:r>
          </w:p>
        </w:tc>
      </w:tr>
      <w:tr>
        <w:tc>
          <w:tcPr>
            <w:tcW w:type="dxa" w:w="1757"/>
            <w:tcMar>
              <w:top w:w="90" w:type="dxa"/>
              <w:start w:w="110" w:type="dxa"/>
              <w:bottom w:w="90" w:type="dxa"/>
              <w:end w:w="110" w:type="dxa"/>
            </w:tcMar>
            <w:vAlign w:val="top"/>
          </w:tcPr>
          <w:p>
            <w:pPr>
              <w:spacing w:after="20" w:line="245" w:lineRule="auto"/>
            </w:pPr>
            <w:r>
              <w:rPr>
                <w:sz w:val="17"/>
              </w:rPr>
              <w:t>Owner</w:t>
            </w:r>
          </w:p>
        </w:tc>
        <w:tc>
          <w:tcPr>
            <w:tcW w:type="dxa" w:w="8035"/>
            <w:tcMar>
              <w:top w:w="90" w:type="dxa"/>
              <w:start w:w="110" w:type="dxa"/>
              <w:bottom w:w="90" w:type="dxa"/>
              <w:end w:w="110" w:type="dxa"/>
            </w:tcMar>
            <w:vAlign w:val="top"/>
          </w:tcPr>
          <w:p>
            <w:pPr>
              <w:spacing w:after="20" w:line="245" w:lineRule="auto"/>
            </w:pPr>
            <w:r>
              <w:rPr>
                <w:sz w:val="17"/>
              </w:rPr>
              <w:t>Web Engineering</w:t>
            </w:r>
          </w:p>
        </w:tc>
      </w:tr>
    </w:tbl>
    <w:p>
      <w:pPr>
        <w:spacing w:after="20"/>
      </w:pPr>
    </w:p>
    <w:p>
      <w:pPr>
        <w:keepNext/>
      </w:pPr>
      <w:r>
        <w:rPr>
          <w:b/>
          <w:color w:val="A61B1B"/>
          <w:sz w:val="20"/>
        </w:rPr>
        <w:t xml:space="preserve">P0-02  </w:t>
      </w:r>
      <w:r>
        <w:rPr>
          <w:b/>
          <w:color w:val="142B4A"/>
          <w:sz w:val="23"/>
        </w:rPr>
        <w:t>“Corporate” opens a parked domain</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4997"/>
        <w:gridCol w:w="4997"/>
      </w:tblGrid>
      <w:tr>
        <w:trPr>
          <w:tblHeader w:val="true"/>
        </w:trPr>
        <w:tc>
          <w:tcPr>
            <w:tcW w:type="dxa" w:w="1757"/>
            <w:shd w:fill="142B4A"/>
            <w:tcMar>
              <w:top w:w="90" w:type="dxa"/>
              <w:start w:w="110" w:type="dxa"/>
              <w:bottom w:w="90" w:type="dxa"/>
              <w:end w:w="110" w:type="dxa"/>
            </w:tcMar>
          </w:tcPr>
          <w:p>
            <w:r>
              <w:rPr>
                <w:b/>
                <w:color w:val="FFFFFF"/>
                <w:sz w:val="18"/>
              </w:rPr>
              <w:t>Field</w:t>
            </w:r>
          </w:p>
        </w:tc>
        <w:tc>
          <w:tcPr>
            <w:tcW w:type="dxa" w:w="8035"/>
            <w:shd w:fill="142B4A"/>
            <w:tcMar>
              <w:top w:w="90" w:type="dxa"/>
              <w:start w:w="110" w:type="dxa"/>
              <w:bottom w:w="90" w:type="dxa"/>
              <w:end w:w="110" w:type="dxa"/>
            </w:tcMar>
          </w:tcPr>
          <w:p>
            <w:r>
              <w:rPr>
                <w:b/>
                <w:color w:val="FFFFFF"/>
                <w:sz w:val="18"/>
              </w:rPr>
              <w:t>Required action</w:t>
            </w:r>
          </w:p>
        </w:tc>
      </w:tr>
      <w:tr>
        <w:tc>
          <w:tcPr>
            <w:tcW w:type="dxa" w:w="1757"/>
            <w:tcMar>
              <w:top w:w="90" w:type="dxa"/>
              <w:start w:w="110" w:type="dxa"/>
              <w:bottom w:w="90" w:type="dxa"/>
              <w:end w:w="110" w:type="dxa"/>
            </w:tcMar>
            <w:vAlign w:val="top"/>
          </w:tcPr>
          <w:p>
            <w:pPr>
              <w:spacing w:after="20" w:line="245" w:lineRule="auto"/>
            </w:pPr>
            <w:r>
              <w:rPr>
                <w:sz w:val="17"/>
              </w:rPr>
              <w:t>Observed</w:t>
            </w:r>
          </w:p>
        </w:tc>
        <w:tc>
          <w:tcPr>
            <w:tcW w:type="dxa" w:w="8035"/>
            <w:tcMar>
              <w:top w:w="90" w:type="dxa"/>
              <w:start w:w="110" w:type="dxa"/>
              <w:bottom w:w="90" w:type="dxa"/>
              <w:end w:w="110" w:type="dxa"/>
            </w:tcMar>
            <w:vAlign w:val="top"/>
          </w:tcPr>
          <w:p>
            <w:pPr>
              <w:spacing w:after="20" w:line="245" w:lineRule="auto"/>
            </w:pPr>
            <w:r>
              <w:rPr>
                <w:sz w:val="17"/>
              </w:rPr>
              <w:t>The shared Corporate link opens flowtaris.ai, which redirects to a GoDaddy parked-domain page.</w:t>
            </w:r>
          </w:p>
        </w:tc>
      </w:tr>
      <w:tr>
        <w:tc>
          <w:tcPr>
            <w:tcW w:type="dxa" w:w="1757"/>
            <w:tcMar>
              <w:top w:w="90" w:type="dxa"/>
              <w:start w:w="110" w:type="dxa"/>
              <w:bottom w:w="90" w:type="dxa"/>
              <w:end w:w="110" w:type="dxa"/>
            </w:tcMar>
            <w:vAlign w:val="top"/>
            <w:shd w:fill="F5F7FA"/>
          </w:tcPr>
          <w:p>
            <w:pPr>
              <w:spacing w:after="20" w:line="245" w:lineRule="auto"/>
            </w:pPr>
            <w:r>
              <w:rPr>
                <w:sz w:val="17"/>
              </w:rPr>
              <w:t>Change</w:t>
            </w:r>
          </w:p>
        </w:tc>
        <w:tc>
          <w:tcPr>
            <w:tcW w:type="dxa" w:w="8035"/>
            <w:tcMar>
              <w:top w:w="90" w:type="dxa"/>
              <w:start w:w="110" w:type="dxa"/>
              <w:bottom w:w="90" w:type="dxa"/>
              <w:end w:w="110" w:type="dxa"/>
            </w:tcMar>
            <w:vAlign w:val="top"/>
            <w:shd w:fill="F5F7FA"/>
          </w:tcPr>
          <w:p>
            <w:pPr>
              <w:spacing w:after="20" w:line="245" w:lineRule="auto"/>
            </w:pPr>
            <w:r>
              <w:rPr>
                <w:sz w:val="17"/>
              </w:rPr>
              <w:t>Replace every Corporate destination with the verified corporate site. If flowtaris.ai will become the production domain, remove the link until DNS and hosting are live.</w:t>
            </w:r>
          </w:p>
        </w:tc>
      </w:tr>
      <w:tr>
        <w:tc>
          <w:tcPr>
            <w:tcW w:type="dxa" w:w="1757"/>
            <w:tcMar>
              <w:top w:w="90" w:type="dxa"/>
              <w:start w:w="110" w:type="dxa"/>
              <w:bottom w:w="90" w:type="dxa"/>
              <w:end w:w="110" w:type="dxa"/>
            </w:tcMar>
            <w:vAlign w:val="top"/>
          </w:tcPr>
          <w:p>
            <w:pPr>
              <w:spacing w:after="20" w:line="245" w:lineRule="auto"/>
            </w:pPr>
            <w:r>
              <w:rPr>
                <w:sz w:val="17"/>
              </w:rPr>
              <w:t>Replace / update</w:t>
            </w:r>
          </w:p>
        </w:tc>
        <w:tc>
          <w:tcPr>
            <w:tcW w:type="dxa" w:w="8035"/>
            <w:tcMar>
              <w:top w:w="90" w:type="dxa"/>
              <w:start w:w="110" w:type="dxa"/>
              <w:bottom w:w="90" w:type="dxa"/>
              <w:end w:w="110" w:type="dxa"/>
            </w:tcMar>
            <w:vAlign w:val="top"/>
          </w:tcPr>
          <w:p>
            <w:pPr>
              <w:spacing w:after="20" w:line="245" w:lineRule="auto"/>
            </w:pPr>
            <w:r>
              <w:rPr>
                <w:sz w:val="17"/>
              </w:rPr>
              <w:t>Temporary verified replacement: https://www.flowtaris.com/</w:t>
              <w:br/>
              <w:t>Preferred long-term replacement: a live, owned flowtaris.ai destination after deployment and verification.</w:t>
            </w:r>
          </w:p>
        </w:tc>
      </w:tr>
      <w:tr>
        <w:tc>
          <w:tcPr>
            <w:tcW w:type="dxa" w:w="1757"/>
            <w:tcMar>
              <w:top w:w="90" w:type="dxa"/>
              <w:start w:w="110" w:type="dxa"/>
              <w:bottom w:w="90" w:type="dxa"/>
              <w:end w:w="110" w:type="dxa"/>
            </w:tcMar>
            <w:vAlign w:val="top"/>
            <w:shd w:fill="F5F7FA"/>
          </w:tcPr>
          <w:p>
            <w:pPr>
              <w:spacing w:after="20" w:line="245" w:lineRule="auto"/>
            </w:pPr>
            <w:r>
              <w:rPr>
                <w:sz w:val="17"/>
              </w:rPr>
              <w:t>Acceptance check</w:t>
            </w:r>
          </w:p>
        </w:tc>
        <w:tc>
          <w:tcPr>
            <w:tcW w:type="dxa" w:w="8035"/>
            <w:tcMar>
              <w:top w:w="90" w:type="dxa"/>
              <w:start w:w="110" w:type="dxa"/>
              <w:bottom w:w="90" w:type="dxa"/>
              <w:end w:w="110" w:type="dxa"/>
            </w:tcMar>
            <w:vAlign w:val="top"/>
            <w:shd w:fill="F5F7FA"/>
          </w:tcPr>
          <w:p>
            <w:pPr>
              <w:spacing w:after="20" w:line="245" w:lineRule="auto"/>
            </w:pPr>
            <w:r>
              <w:rPr>
                <w:sz w:val="17"/>
              </w:rPr>
              <w:t>Open Corporate from Home, Assessment, ROI, Cost of Inaction, Capabilities, Case Studies, Insights, Platforms, About, and Contact. No parked/registrar page may appear.</w:t>
            </w:r>
          </w:p>
        </w:tc>
      </w:tr>
      <w:tr>
        <w:tc>
          <w:tcPr>
            <w:tcW w:type="dxa" w:w="1757"/>
            <w:tcMar>
              <w:top w:w="90" w:type="dxa"/>
              <w:start w:w="110" w:type="dxa"/>
              <w:bottom w:w="90" w:type="dxa"/>
              <w:end w:w="110" w:type="dxa"/>
            </w:tcMar>
            <w:vAlign w:val="top"/>
          </w:tcPr>
          <w:p>
            <w:pPr>
              <w:spacing w:after="20" w:line="245" w:lineRule="auto"/>
            </w:pPr>
            <w:r>
              <w:rPr>
                <w:sz w:val="17"/>
              </w:rPr>
              <w:t>Owner</w:t>
            </w:r>
          </w:p>
        </w:tc>
        <w:tc>
          <w:tcPr>
            <w:tcW w:type="dxa" w:w="8035"/>
            <w:tcMar>
              <w:top w:w="90" w:type="dxa"/>
              <w:start w:w="110" w:type="dxa"/>
              <w:bottom w:w="90" w:type="dxa"/>
              <w:end w:w="110" w:type="dxa"/>
            </w:tcMar>
            <w:vAlign w:val="top"/>
          </w:tcPr>
          <w:p>
            <w:pPr>
              <w:spacing w:after="20" w:line="245" w:lineRule="auto"/>
            </w:pPr>
            <w:r>
              <w:rPr>
                <w:sz w:val="17"/>
              </w:rPr>
              <w:t>Web Engineering + Executive/Domain Owner</w:t>
            </w:r>
          </w:p>
        </w:tc>
      </w:tr>
    </w:tbl>
    <w:p>
      <w:pPr>
        <w:spacing w:after="20"/>
      </w:pPr>
    </w:p>
    <w:p>
      <w:pPr>
        <w:keepNext/>
      </w:pPr>
      <w:r>
        <w:rPr>
          <w:b/>
          <w:color w:val="A61B1B"/>
          <w:sz w:val="20"/>
        </w:rPr>
        <w:t xml:space="preserve">P0-03  </w:t>
      </w:r>
      <w:r>
        <w:rPr>
          <w:b/>
          <w:color w:val="142B4A"/>
          <w:sz w:val="23"/>
        </w:rPr>
        <w:t>Calendly booking link is broken</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4997"/>
        <w:gridCol w:w="4997"/>
      </w:tblGrid>
      <w:tr>
        <w:trPr>
          <w:tblHeader w:val="true"/>
        </w:trPr>
        <w:tc>
          <w:tcPr>
            <w:tcW w:type="dxa" w:w="1757"/>
            <w:shd w:fill="142B4A"/>
            <w:tcMar>
              <w:top w:w="90" w:type="dxa"/>
              <w:start w:w="110" w:type="dxa"/>
              <w:bottom w:w="90" w:type="dxa"/>
              <w:end w:w="110" w:type="dxa"/>
            </w:tcMar>
          </w:tcPr>
          <w:p>
            <w:r>
              <w:rPr>
                <w:b/>
                <w:color w:val="FFFFFF"/>
                <w:sz w:val="18"/>
              </w:rPr>
              <w:t>Field</w:t>
            </w:r>
          </w:p>
        </w:tc>
        <w:tc>
          <w:tcPr>
            <w:tcW w:type="dxa" w:w="8035"/>
            <w:shd w:fill="142B4A"/>
            <w:tcMar>
              <w:top w:w="90" w:type="dxa"/>
              <w:start w:w="110" w:type="dxa"/>
              <w:bottom w:w="90" w:type="dxa"/>
              <w:end w:w="110" w:type="dxa"/>
            </w:tcMar>
          </w:tcPr>
          <w:p>
            <w:r>
              <w:rPr>
                <w:b/>
                <w:color w:val="FFFFFF"/>
                <w:sz w:val="18"/>
              </w:rPr>
              <w:t>Required action</w:t>
            </w:r>
          </w:p>
        </w:tc>
      </w:tr>
      <w:tr>
        <w:tc>
          <w:tcPr>
            <w:tcW w:type="dxa" w:w="1757"/>
            <w:tcMar>
              <w:top w:w="90" w:type="dxa"/>
              <w:start w:w="110" w:type="dxa"/>
              <w:bottom w:w="90" w:type="dxa"/>
              <w:end w:w="110" w:type="dxa"/>
            </w:tcMar>
            <w:vAlign w:val="top"/>
          </w:tcPr>
          <w:p>
            <w:pPr>
              <w:spacing w:after="20" w:line="245" w:lineRule="auto"/>
            </w:pPr>
            <w:r>
              <w:rPr>
                <w:sz w:val="17"/>
              </w:rPr>
              <w:t>Observed</w:t>
            </w:r>
          </w:p>
        </w:tc>
        <w:tc>
          <w:tcPr>
            <w:tcW w:type="dxa" w:w="8035"/>
            <w:tcMar>
              <w:top w:w="90" w:type="dxa"/>
              <w:start w:w="110" w:type="dxa"/>
              <w:bottom w:w="90" w:type="dxa"/>
              <w:end w:w="110" w:type="dxa"/>
            </w:tcMar>
            <w:vAlign w:val="top"/>
          </w:tcPr>
          <w:p>
            <w:pPr>
              <w:spacing w:after="20" w:line="245" w:lineRule="auto"/>
            </w:pPr>
            <w:r>
              <w:rPr>
                <w:sz w:val="17"/>
              </w:rPr>
              <w:t>Contact “Book on Calendly” opens Calendly 404 at calendly.com/flowtaris-ai.</w:t>
            </w:r>
          </w:p>
        </w:tc>
      </w:tr>
      <w:tr>
        <w:tc>
          <w:tcPr>
            <w:tcW w:type="dxa" w:w="1757"/>
            <w:tcMar>
              <w:top w:w="90" w:type="dxa"/>
              <w:start w:w="110" w:type="dxa"/>
              <w:bottom w:w="90" w:type="dxa"/>
              <w:end w:w="110" w:type="dxa"/>
            </w:tcMar>
            <w:vAlign w:val="top"/>
            <w:shd w:fill="F5F7FA"/>
          </w:tcPr>
          <w:p>
            <w:pPr>
              <w:spacing w:after="20" w:line="245" w:lineRule="auto"/>
            </w:pPr>
            <w:r>
              <w:rPr>
                <w:sz w:val="17"/>
              </w:rPr>
              <w:t>Change</w:t>
            </w:r>
          </w:p>
        </w:tc>
        <w:tc>
          <w:tcPr>
            <w:tcW w:type="dxa" w:w="8035"/>
            <w:tcMar>
              <w:top w:w="90" w:type="dxa"/>
              <w:start w:w="110" w:type="dxa"/>
              <w:bottom w:w="90" w:type="dxa"/>
              <w:end w:w="110" w:type="dxa"/>
            </w:tcMar>
            <w:vAlign w:val="top"/>
            <w:shd w:fill="F5F7FA"/>
          </w:tcPr>
          <w:p>
            <w:pPr>
              <w:spacing w:after="20" w:line="245" w:lineRule="auto"/>
            </w:pPr>
            <w:r>
              <w:rPr>
                <w:sz w:val="17"/>
              </w:rPr>
              <w:t>Create or identify the real event URL and replace the CTA. Until then, hide the booking CTA and use a verified contact route.</w:t>
            </w:r>
          </w:p>
        </w:tc>
      </w:tr>
      <w:tr>
        <w:tc>
          <w:tcPr>
            <w:tcW w:type="dxa" w:w="1757"/>
            <w:tcMar>
              <w:top w:w="90" w:type="dxa"/>
              <w:start w:w="110" w:type="dxa"/>
              <w:bottom w:w="90" w:type="dxa"/>
              <w:end w:w="110" w:type="dxa"/>
            </w:tcMar>
            <w:vAlign w:val="top"/>
          </w:tcPr>
          <w:p>
            <w:pPr>
              <w:spacing w:after="20" w:line="245" w:lineRule="auto"/>
            </w:pPr>
            <w:r>
              <w:rPr>
                <w:sz w:val="17"/>
              </w:rPr>
              <w:t>Replace / update</w:t>
            </w:r>
          </w:p>
        </w:tc>
        <w:tc>
          <w:tcPr>
            <w:tcW w:type="dxa" w:w="8035"/>
            <w:tcMar>
              <w:top w:w="90" w:type="dxa"/>
              <w:start w:w="110" w:type="dxa"/>
              <w:bottom w:w="90" w:type="dxa"/>
              <w:end w:w="110" w:type="dxa"/>
            </w:tcMar>
            <w:vAlign w:val="top"/>
          </w:tcPr>
          <w:p>
            <w:pPr>
              <w:spacing w:after="20" w:line="245" w:lineRule="auto"/>
            </w:pPr>
            <w:r>
              <w:rPr>
                <w:sz w:val="17"/>
              </w:rPr>
              <w:t>Replace with the exact live Calendly event URL, e.g. calendly.com/&lt;verified-account&gt;/&lt;verified-event&gt;. Do not publish a guessed slug.</w:t>
            </w:r>
          </w:p>
        </w:tc>
      </w:tr>
      <w:tr>
        <w:tc>
          <w:tcPr>
            <w:tcW w:type="dxa" w:w="1757"/>
            <w:tcMar>
              <w:top w:w="90" w:type="dxa"/>
              <w:start w:w="110" w:type="dxa"/>
              <w:bottom w:w="90" w:type="dxa"/>
              <w:end w:w="110" w:type="dxa"/>
            </w:tcMar>
            <w:vAlign w:val="top"/>
            <w:shd w:fill="F5F7FA"/>
          </w:tcPr>
          <w:p>
            <w:pPr>
              <w:spacing w:after="20" w:line="245" w:lineRule="auto"/>
            </w:pPr>
            <w:r>
              <w:rPr>
                <w:sz w:val="17"/>
              </w:rPr>
              <w:t>Acceptance check</w:t>
            </w:r>
          </w:p>
        </w:tc>
        <w:tc>
          <w:tcPr>
            <w:tcW w:type="dxa" w:w="8035"/>
            <w:tcMar>
              <w:top w:w="90" w:type="dxa"/>
              <w:start w:w="110" w:type="dxa"/>
              <w:bottom w:w="90" w:type="dxa"/>
              <w:end w:w="110" w:type="dxa"/>
            </w:tcMar>
            <w:vAlign w:val="top"/>
            <w:shd w:fill="F5F7FA"/>
          </w:tcPr>
          <w:p>
            <w:pPr>
              <w:spacing w:after="20" w:line="245" w:lineRule="auto"/>
            </w:pPr>
            <w:r>
              <w:rPr>
                <w:sz w:val="17"/>
              </w:rPr>
              <w:t>Open the CTA in an incognito/clean session; confirm event owner, duration, timezone controls, available dates, confirmation flow, and branding. Do not make a live booking during QA.</w:t>
            </w:r>
          </w:p>
        </w:tc>
      </w:tr>
      <w:tr>
        <w:tc>
          <w:tcPr>
            <w:tcW w:type="dxa" w:w="1757"/>
            <w:tcMar>
              <w:top w:w="90" w:type="dxa"/>
              <w:start w:w="110" w:type="dxa"/>
              <w:bottom w:w="90" w:type="dxa"/>
              <w:end w:w="110" w:type="dxa"/>
            </w:tcMar>
            <w:vAlign w:val="top"/>
          </w:tcPr>
          <w:p>
            <w:pPr>
              <w:spacing w:after="20" w:line="245" w:lineRule="auto"/>
            </w:pPr>
            <w:r>
              <w:rPr>
                <w:sz w:val="17"/>
              </w:rPr>
              <w:t>Owner</w:t>
            </w:r>
          </w:p>
        </w:tc>
        <w:tc>
          <w:tcPr>
            <w:tcW w:type="dxa" w:w="8035"/>
            <w:tcMar>
              <w:top w:w="90" w:type="dxa"/>
              <w:start w:w="110" w:type="dxa"/>
              <w:bottom w:w="90" w:type="dxa"/>
              <w:end w:w="110" w:type="dxa"/>
            </w:tcMar>
            <w:vAlign w:val="top"/>
          </w:tcPr>
          <w:p>
            <w:pPr>
              <w:spacing w:after="20" w:line="245" w:lineRule="auto"/>
            </w:pPr>
            <w:r>
              <w:rPr>
                <w:sz w:val="17"/>
              </w:rPr>
              <w:t>Sales Operations + Web Engineering</w:t>
            </w:r>
          </w:p>
        </w:tc>
      </w:tr>
    </w:tbl>
    <w:p>
      <w:pPr>
        <w:spacing w:after="20"/>
      </w:pPr>
    </w:p>
    <w:p>
      <w:pPr>
        <w:keepNext/>
      </w:pPr>
      <w:r>
        <w:rPr>
          <w:b/>
          <w:color w:val="A61B1B"/>
          <w:sz w:val="20"/>
        </w:rPr>
        <w:t xml:space="preserve">P0-04  </w:t>
      </w:r>
      <w:r>
        <w:rPr>
          <w:b/>
          <w:color w:val="142B4A"/>
          <w:sz w:val="23"/>
        </w:rPr>
        <w:t>Privacy Policy is missing</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4997"/>
        <w:gridCol w:w="4997"/>
      </w:tblGrid>
      <w:tr>
        <w:trPr>
          <w:tblHeader w:val="true"/>
        </w:trPr>
        <w:tc>
          <w:tcPr>
            <w:tcW w:type="dxa" w:w="1757"/>
            <w:shd w:fill="142B4A"/>
            <w:tcMar>
              <w:top w:w="90" w:type="dxa"/>
              <w:start w:w="110" w:type="dxa"/>
              <w:bottom w:w="90" w:type="dxa"/>
              <w:end w:w="110" w:type="dxa"/>
            </w:tcMar>
          </w:tcPr>
          <w:p>
            <w:r>
              <w:rPr>
                <w:b/>
                <w:color w:val="FFFFFF"/>
                <w:sz w:val="18"/>
              </w:rPr>
              <w:t>Field</w:t>
            </w:r>
          </w:p>
        </w:tc>
        <w:tc>
          <w:tcPr>
            <w:tcW w:type="dxa" w:w="8035"/>
            <w:shd w:fill="142B4A"/>
            <w:tcMar>
              <w:top w:w="90" w:type="dxa"/>
              <w:start w:w="110" w:type="dxa"/>
              <w:bottom w:w="90" w:type="dxa"/>
              <w:end w:w="110" w:type="dxa"/>
            </w:tcMar>
          </w:tcPr>
          <w:p>
            <w:r>
              <w:rPr>
                <w:b/>
                <w:color w:val="FFFFFF"/>
                <w:sz w:val="18"/>
              </w:rPr>
              <w:t>Required action</w:t>
            </w:r>
          </w:p>
        </w:tc>
      </w:tr>
      <w:tr>
        <w:tc>
          <w:tcPr>
            <w:tcW w:type="dxa" w:w="1757"/>
            <w:tcMar>
              <w:top w:w="90" w:type="dxa"/>
              <w:start w:w="110" w:type="dxa"/>
              <w:bottom w:w="90" w:type="dxa"/>
              <w:end w:w="110" w:type="dxa"/>
            </w:tcMar>
            <w:vAlign w:val="top"/>
          </w:tcPr>
          <w:p>
            <w:pPr>
              <w:spacing w:after="20" w:line="245" w:lineRule="auto"/>
            </w:pPr>
            <w:r>
              <w:rPr>
                <w:sz w:val="17"/>
              </w:rPr>
              <w:t>Observed</w:t>
            </w:r>
          </w:p>
        </w:tc>
        <w:tc>
          <w:tcPr>
            <w:tcW w:type="dxa" w:w="8035"/>
            <w:tcMar>
              <w:top w:w="90" w:type="dxa"/>
              <w:start w:w="110" w:type="dxa"/>
              <w:bottom w:w="90" w:type="dxa"/>
              <w:end w:w="110" w:type="dxa"/>
            </w:tcMar>
            <w:vAlign w:val="top"/>
          </w:tcPr>
          <w:p>
            <w:pPr>
              <w:spacing w:after="20" w:line="245" w:lineRule="auto"/>
            </w:pPr>
            <w:r>
              <w:rPr>
                <w:sz w:val="17"/>
              </w:rPr>
              <w:t>Contact and Insights link to /privacy, which renders a 404. The contact consent language asks users to agree to that missing policy.</w:t>
            </w:r>
          </w:p>
        </w:tc>
      </w:tr>
      <w:tr>
        <w:tc>
          <w:tcPr>
            <w:tcW w:type="dxa" w:w="1757"/>
            <w:tcMar>
              <w:top w:w="90" w:type="dxa"/>
              <w:start w:w="110" w:type="dxa"/>
              <w:bottom w:w="90" w:type="dxa"/>
              <w:end w:w="110" w:type="dxa"/>
            </w:tcMar>
            <w:vAlign w:val="top"/>
            <w:shd w:fill="F5F7FA"/>
          </w:tcPr>
          <w:p>
            <w:pPr>
              <w:spacing w:after="20" w:line="245" w:lineRule="auto"/>
            </w:pPr>
            <w:r>
              <w:rPr>
                <w:sz w:val="17"/>
              </w:rPr>
              <w:t>Change</w:t>
            </w:r>
          </w:p>
        </w:tc>
        <w:tc>
          <w:tcPr>
            <w:tcW w:type="dxa" w:w="8035"/>
            <w:tcMar>
              <w:top w:w="90" w:type="dxa"/>
              <w:start w:w="110" w:type="dxa"/>
              <w:bottom w:w="90" w:type="dxa"/>
              <w:end w:w="110" w:type="dxa"/>
            </w:tcMar>
            <w:vAlign w:val="top"/>
            <w:shd w:fill="F5F7FA"/>
          </w:tcPr>
          <w:p>
            <w:pPr>
              <w:spacing w:after="20" w:line="245" w:lineRule="auto"/>
            </w:pPr>
            <w:r>
              <w:rPr>
                <w:sz w:val="17"/>
              </w:rPr>
              <w:t>Publish a counsel-approved Privacy Policy before collecting any lead or newsletter data. Temporarily disable submission if the policy cannot be published immediately.</w:t>
            </w:r>
          </w:p>
        </w:tc>
      </w:tr>
      <w:tr>
        <w:tc>
          <w:tcPr>
            <w:tcW w:type="dxa" w:w="1757"/>
            <w:tcMar>
              <w:top w:w="90" w:type="dxa"/>
              <w:start w:w="110" w:type="dxa"/>
              <w:bottom w:w="90" w:type="dxa"/>
              <w:end w:w="110" w:type="dxa"/>
            </w:tcMar>
            <w:vAlign w:val="top"/>
          </w:tcPr>
          <w:p>
            <w:pPr>
              <w:spacing w:after="20" w:line="245" w:lineRule="auto"/>
            </w:pPr>
            <w:r>
              <w:rPr>
                <w:sz w:val="17"/>
              </w:rPr>
              <w:t>Replace / update</w:t>
            </w:r>
          </w:p>
        </w:tc>
        <w:tc>
          <w:tcPr>
            <w:tcW w:type="dxa" w:w="8035"/>
            <w:tcMar>
              <w:top w:w="90" w:type="dxa"/>
              <w:start w:w="110" w:type="dxa"/>
              <w:bottom w:w="90" w:type="dxa"/>
              <w:end w:w="110" w:type="dxa"/>
            </w:tcMar>
            <w:vAlign w:val="top"/>
          </w:tcPr>
          <w:p>
            <w:pPr>
              <w:spacing w:after="20" w:line="245" w:lineRule="auto"/>
            </w:pPr>
            <w:r>
              <w:rPr>
                <w:sz w:val="17"/>
              </w:rPr>
              <w:t>Replace /privacy with a complete policy covering controller identity, collected data, purposes, lawful bases, processors, retention, international transfers, security, cookies, user rights, contact details, and effective date.</w:t>
            </w:r>
          </w:p>
        </w:tc>
      </w:tr>
      <w:tr>
        <w:tc>
          <w:tcPr>
            <w:tcW w:type="dxa" w:w="1757"/>
            <w:tcMar>
              <w:top w:w="90" w:type="dxa"/>
              <w:start w:w="110" w:type="dxa"/>
              <w:bottom w:w="90" w:type="dxa"/>
              <w:end w:w="110" w:type="dxa"/>
            </w:tcMar>
            <w:vAlign w:val="top"/>
            <w:shd w:fill="F5F7FA"/>
          </w:tcPr>
          <w:p>
            <w:pPr>
              <w:spacing w:after="20" w:line="245" w:lineRule="auto"/>
            </w:pPr>
            <w:r>
              <w:rPr>
                <w:sz w:val="17"/>
              </w:rPr>
              <w:t>Acceptance check</w:t>
            </w:r>
          </w:p>
        </w:tc>
        <w:tc>
          <w:tcPr>
            <w:tcW w:type="dxa" w:w="8035"/>
            <w:tcMar>
              <w:top w:w="90" w:type="dxa"/>
              <w:start w:w="110" w:type="dxa"/>
              <w:bottom w:w="90" w:type="dxa"/>
              <w:end w:w="110" w:type="dxa"/>
            </w:tcMar>
            <w:vAlign w:val="top"/>
            <w:shd w:fill="F5F7FA"/>
          </w:tcPr>
          <w:p>
            <w:pPr>
              <w:spacing w:after="20" w:line="245" w:lineRule="auto"/>
            </w:pPr>
            <w:r>
              <w:rPr>
                <w:sz w:val="17"/>
              </w:rPr>
              <w:t>Privacy link works from every form; legal owner approves content; submission cannot proceed without required consent; no 404/noindex conflict.</w:t>
            </w:r>
          </w:p>
        </w:tc>
      </w:tr>
      <w:tr>
        <w:tc>
          <w:tcPr>
            <w:tcW w:type="dxa" w:w="1757"/>
            <w:tcMar>
              <w:top w:w="90" w:type="dxa"/>
              <w:start w:w="110" w:type="dxa"/>
              <w:bottom w:w="90" w:type="dxa"/>
              <w:end w:w="110" w:type="dxa"/>
            </w:tcMar>
            <w:vAlign w:val="top"/>
          </w:tcPr>
          <w:p>
            <w:pPr>
              <w:spacing w:after="20" w:line="245" w:lineRule="auto"/>
            </w:pPr>
            <w:r>
              <w:rPr>
                <w:sz w:val="17"/>
              </w:rPr>
              <w:t>Owner</w:t>
            </w:r>
          </w:p>
        </w:tc>
        <w:tc>
          <w:tcPr>
            <w:tcW w:type="dxa" w:w="8035"/>
            <w:tcMar>
              <w:top w:w="90" w:type="dxa"/>
              <w:start w:w="110" w:type="dxa"/>
              <w:bottom w:w="90" w:type="dxa"/>
              <w:end w:w="110" w:type="dxa"/>
            </w:tcMar>
            <w:vAlign w:val="top"/>
          </w:tcPr>
          <w:p>
            <w:pPr>
              <w:spacing w:after="20" w:line="245" w:lineRule="auto"/>
            </w:pPr>
            <w:r>
              <w:rPr>
                <w:sz w:val="17"/>
              </w:rPr>
              <w:t>Legal/Privacy + Web Engineering</w:t>
            </w:r>
          </w:p>
        </w:tc>
      </w:tr>
    </w:tbl>
    <w:p>
      <w:pPr>
        <w:spacing w:after="20"/>
      </w:pPr>
    </w:p>
    <w:p>
      <w:pPr>
        <w:keepNext/>
      </w:pPr>
      <w:r>
        <w:rPr>
          <w:b/>
          <w:color w:val="A61B1B"/>
          <w:sz w:val="20"/>
        </w:rPr>
        <w:t xml:space="preserve">P0-05  </w:t>
      </w:r>
      <w:r>
        <w:rPr>
          <w:b/>
          <w:color w:val="142B4A"/>
          <w:sz w:val="23"/>
        </w:rPr>
        <w:t>Partner Program path is missing</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4997"/>
        <w:gridCol w:w="4997"/>
      </w:tblGrid>
      <w:tr>
        <w:trPr>
          <w:tblHeader w:val="true"/>
        </w:trPr>
        <w:tc>
          <w:tcPr>
            <w:tcW w:type="dxa" w:w="1757"/>
            <w:shd w:fill="142B4A"/>
            <w:tcMar>
              <w:top w:w="90" w:type="dxa"/>
              <w:start w:w="110" w:type="dxa"/>
              <w:bottom w:w="90" w:type="dxa"/>
              <w:end w:w="110" w:type="dxa"/>
            </w:tcMar>
          </w:tcPr>
          <w:p>
            <w:r>
              <w:rPr>
                <w:b/>
                <w:color w:val="FFFFFF"/>
                <w:sz w:val="18"/>
              </w:rPr>
              <w:t>Field</w:t>
            </w:r>
          </w:p>
        </w:tc>
        <w:tc>
          <w:tcPr>
            <w:tcW w:type="dxa" w:w="8035"/>
            <w:shd w:fill="142B4A"/>
            <w:tcMar>
              <w:top w:w="90" w:type="dxa"/>
              <w:start w:w="110" w:type="dxa"/>
              <w:bottom w:w="90" w:type="dxa"/>
              <w:end w:w="110" w:type="dxa"/>
            </w:tcMar>
          </w:tcPr>
          <w:p>
            <w:r>
              <w:rPr>
                <w:b/>
                <w:color w:val="FFFFFF"/>
                <w:sz w:val="18"/>
              </w:rPr>
              <w:t>Required action</w:t>
            </w:r>
          </w:p>
        </w:tc>
      </w:tr>
      <w:tr>
        <w:tc>
          <w:tcPr>
            <w:tcW w:type="dxa" w:w="1757"/>
            <w:tcMar>
              <w:top w:w="90" w:type="dxa"/>
              <w:start w:w="110" w:type="dxa"/>
              <w:bottom w:w="90" w:type="dxa"/>
              <w:end w:w="110" w:type="dxa"/>
            </w:tcMar>
            <w:vAlign w:val="top"/>
          </w:tcPr>
          <w:p>
            <w:pPr>
              <w:spacing w:after="20" w:line="245" w:lineRule="auto"/>
            </w:pPr>
            <w:r>
              <w:rPr>
                <w:sz w:val="17"/>
              </w:rPr>
              <w:t>Observed</w:t>
            </w:r>
          </w:p>
        </w:tc>
        <w:tc>
          <w:tcPr>
            <w:tcW w:type="dxa" w:w="8035"/>
            <w:tcMar>
              <w:top w:w="90" w:type="dxa"/>
              <w:start w:w="110" w:type="dxa"/>
              <w:bottom w:w="90" w:type="dxa"/>
              <w:end w:w="110" w:type="dxa"/>
            </w:tcMar>
            <w:vAlign w:val="top"/>
          </w:tcPr>
          <w:p>
            <w:pPr>
              <w:spacing w:after="20" w:line="245" w:lineRule="auto"/>
            </w:pPr>
            <w:r>
              <w:rPr>
                <w:sz w:val="17"/>
              </w:rPr>
              <w:t>Contact “Learn More” for Partner Program opens /partners, which renders a 404.</w:t>
            </w:r>
          </w:p>
        </w:tc>
      </w:tr>
      <w:tr>
        <w:tc>
          <w:tcPr>
            <w:tcW w:type="dxa" w:w="1757"/>
            <w:tcMar>
              <w:top w:w="90" w:type="dxa"/>
              <w:start w:w="110" w:type="dxa"/>
              <w:bottom w:w="90" w:type="dxa"/>
              <w:end w:w="110" w:type="dxa"/>
            </w:tcMar>
            <w:vAlign w:val="top"/>
            <w:shd w:fill="F5F7FA"/>
          </w:tcPr>
          <w:p>
            <w:pPr>
              <w:spacing w:after="20" w:line="245" w:lineRule="auto"/>
            </w:pPr>
            <w:r>
              <w:rPr>
                <w:sz w:val="17"/>
              </w:rPr>
              <w:t>Change</w:t>
            </w:r>
          </w:p>
        </w:tc>
        <w:tc>
          <w:tcPr>
            <w:tcW w:type="dxa" w:w="8035"/>
            <w:tcMar>
              <w:top w:w="90" w:type="dxa"/>
              <w:start w:w="110" w:type="dxa"/>
              <w:bottom w:w="90" w:type="dxa"/>
              <w:end w:w="110" w:type="dxa"/>
            </w:tcMar>
            <w:vAlign w:val="top"/>
            <w:shd w:fill="F5F7FA"/>
          </w:tcPr>
          <w:p>
            <w:pPr>
              <w:spacing w:after="20" w:line="245" w:lineRule="auto"/>
            </w:pPr>
            <w:r>
              <w:rPr>
                <w:sz w:val="17"/>
              </w:rPr>
              <w:t>Either publish a real partner-program page or remove the card until the program, qualification criteria, owner, and contact process exist.</w:t>
            </w:r>
          </w:p>
        </w:tc>
      </w:tr>
      <w:tr>
        <w:tc>
          <w:tcPr>
            <w:tcW w:type="dxa" w:w="1757"/>
            <w:tcMar>
              <w:top w:w="90" w:type="dxa"/>
              <w:start w:w="110" w:type="dxa"/>
              <w:bottom w:w="90" w:type="dxa"/>
              <w:end w:w="110" w:type="dxa"/>
            </w:tcMar>
            <w:vAlign w:val="top"/>
          </w:tcPr>
          <w:p>
            <w:pPr>
              <w:spacing w:after="20" w:line="245" w:lineRule="auto"/>
            </w:pPr>
            <w:r>
              <w:rPr>
                <w:sz w:val="17"/>
              </w:rPr>
              <w:t>Replace / update</w:t>
            </w:r>
          </w:p>
        </w:tc>
        <w:tc>
          <w:tcPr>
            <w:tcW w:type="dxa" w:w="8035"/>
            <w:tcMar>
              <w:top w:w="90" w:type="dxa"/>
              <w:start w:w="110" w:type="dxa"/>
              <w:bottom w:w="90" w:type="dxa"/>
              <w:end w:w="110" w:type="dxa"/>
            </w:tcMar>
            <w:vAlign w:val="top"/>
          </w:tcPr>
          <w:p>
            <w:pPr>
              <w:spacing w:after="20" w:line="245" w:lineRule="auto"/>
            </w:pPr>
            <w:r>
              <w:rPr>
                <w:sz w:val="17"/>
              </w:rPr>
              <w:t>Minimum replacement: verified partner types, benefits, requirements, process, response SLA, and a working inquiry route.</w:t>
            </w:r>
          </w:p>
        </w:tc>
      </w:tr>
      <w:tr>
        <w:tc>
          <w:tcPr>
            <w:tcW w:type="dxa" w:w="1757"/>
            <w:tcMar>
              <w:top w:w="90" w:type="dxa"/>
              <w:start w:w="110" w:type="dxa"/>
              <w:bottom w:w="90" w:type="dxa"/>
              <w:end w:w="110" w:type="dxa"/>
            </w:tcMar>
            <w:vAlign w:val="top"/>
            <w:shd w:fill="F5F7FA"/>
          </w:tcPr>
          <w:p>
            <w:pPr>
              <w:spacing w:after="20" w:line="245" w:lineRule="auto"/>
            </w:pPr>
            <w:r>
              <w:rPr>
                <w:sz w:val="17"/>
              </w:rPr>
              <w:t>Acceptance check</w:t>
            </w:r>
          </w:p>
        </w:tc>
        <w:tc>
          <w:tcPr>
            <w:tcW w:type="dxa" w:w="8035"/>
            <w:tcMar>
              <w:top w:w="90" w:type="dxa"/>
              <w:start w:w="110" w:type="dxa"/>
              <w:bottom w:w="90" w:type="dxa"/>
              <w:end w:w="110" w:type="dxa"/>
            </w:tcMar>
            <w:vAlign w:val="top"/>
            <w:shd w:fill="F5F7FA"/>
          </w:tcPr>
          <w:p>
            <w:pPr>
              <w:spacing w:after="20" w:line="245" w:lineRule="auto"/>
            </w:pPr>
            <w:r>
              <w:rPr>
                <w:sz w:val="17"/>
              </w:rPr>
              <w:t>CTA opens a complete page and partner inquiry reaches the verified owner.</w:t>
            </w:r>
          </w:p>
        </w:tc>
      </w:tr>
      <w:tr>
        <w:tc>
          <w:tcPr>
            <w:tcW w:type="dxa" w:w="1757"/>
            <w:tcMar>
              <w:top w:w="90" w:type="dxa"/>
              <w:start w:w="110" w:type="dxa"/>
              <w:bottom w:w="90" w:type="dxa"/>
              <w:end w:w="110" w:type="dxa"/>
            </w:tcMar>
            <w:vAlign w:val="top"/>
          </w:tcPr>
          <w:p>
            <w:pPr>
              <w:spacing w:after="20" w:line="245" w:lineRule="auto"/>
            </w:pPr>
            <w:r>
              <w:rPr>
                <w:sz w:val="17"/>
              </w:rPr>
              <w:t>Owner</w:t>
            </w:r>
          </w:p>
        </w:tc>
        <w:tc>
          <w:tcPr>
            <w:tcW w:type="dxa" w:w="8035"/>
            <w:tcMar>
              <w:top w:w="90" w:type="dxa"/>
              <w:start w:w="110" w:type="dxa"/>
              <w:bottom w:w="90" w:type="dxa"/>
              <w:end w:w="110" w:type="dxa"/>
            </w:tcMar>
            <w:vAlign w:val="top"/>
          </w:tcPr>
          <w:p>
            <w:pPr>
              <w:spacing w:after="20" w:line="245" w:lineRule="auto"/>
            </w:pPr>
            <w:r>
              <w:rPr>
                <w:sz w:val="17"/>
              </w:rPr>
              <w:t>Partnerships + Web Engineering</w:t>
            </w:r>
          </w:p>
        </w:tc>
      </w:tr>
    </w:tbl>
    <w:p>
      <w:pPr>
        <w:spacing w:after="20"/>
      </w:pPr>
    </w:p>
    <w:p>
      <w:pPr>
        <w:keepNext/>
      </w:pPr>
      <w:r>
        <w:rPr>
          <w:b/>
          <w:color w:val="A61B1B"/>
          <w:sz w:val="20"/>
        </w:rPr>
        <w:t xml:space="preserve">P0-06  </w:t>
      </w:r>
      <w:r>
        <w:rPr>
          <w:b/>
          <w:color w:val="142B4A"/>
          <w:sz w:val="23"/>
        </w:rPr>
        <w:t>All featured insight destinations fail</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4997"/>
        <w:gridCol w:w="4997"/>
      </w:tblGrid>
      <w:tr>
        <w:trPr>
          <w:tblHeader w:val="true"/>
        </w:trPr>
        <w:tc>
          <w:tcPr>
            <w:tcW w:type="dxa" w:w="1757"/>
            <w:shd w:fill="142B4A"/>
            <w:tcMar>
              <w:top w:w="90" w:type="dxa"/>
              <w:start w:w="110" w:type="dxa"/>
              <w:bottom w:w="90" w:type="dxa"/>
              <w:end w:w="110" w:type="dxa"/>
            </w:tcMar>
          </w:tcPr>
          <w:p>
            <w:r>
              <w:rPr>
                <w:b/>
                <w:color w:val="FFFFFF"/>
                <w:sz w:val="18"/>
              </w:rPr>
              <w:t>Field</w:t>
            </w:r>
          </w:p>
        </w:tc>
        <w:tc>
          <w:tcPr>
            <w:tcW w:type="dxa" w:w="8035"/>
            <w:shd w:fill="142B4A"/>
            <w:tcMar>
              <w:top w:w="90" w:type="dxa"/>
              <w:start w:w="110" w:type="dxa"/>
              <w:bottom w:w="90" w:type="dxa"/>
              <w:end w:w="110" w:type="dxa"/>
            </w:tcMar>
          </w:tcPr>
          <w:p>
            <w:r>
              <w:rPr>
                <w:b/>
                <w:color w:val="FFFFFF"/>
                <w:sz w:val="18"/>
              </w:rPr>
              <w:t>Required action</w:t>
            </w:r>
          </w:p>
        </w:tc>
      </w:tr>
      <w:tr>
        <w:tc>
          <w:tcPr>
            <w:tcW w:type="dxa" w:w="1757"/>
            <w:tcMar>
              <w:top w:w="90" w:type="dxa"/>
              <w:start w:w="110" w:type="dxa"/>
              <w:bottom w:w="90" w:type="dxa"/>
              <w:end w:w="110" w:type="dxa"/>
            </w:tcMar>
            <w:vAlign w:val="top"/>
          </w:tcPr>
          <w:p>
            <w:pPr>
              <w:spacing w:after="20" w:line="245" w:lineRule="auto"/>
            </w:pPr>
            <w:r>
              <w:rPr>
                <w:sz w:val="17"/>
              </w:rPr>
              <w:t>Observed</w:t>
            </w:r>
          </w:p>
        </w:tc>
        <w:tc>
          <w:tcPr>
            <w:tcW w:type="dxa" w:w="8035"/>
            <w:tcMar>
              <w:top w:w="90" w:type="dxa"/>
              <w:start w:w="110" w:type="dxa"/>
              <w:bottom w:w="90" w:type="dxa"/>
              <w:end w:w="110" w:type="dxa"/>
            </w:tcMar>
            <w:vAlign w:val="top"/>
          </w:tcPr>
          <w:p>
            <w:pPr>
              <w:spacing w:after="20" w:line="245" w:lineRule="auto"/>
            </w:pPr>
            <w:r>
              <w:rPr>
                <w:sz w:val="17"/>
              </w:rPr>
              <w:t>Two featured articles show a server-error page and one renders 404.</w:t>
            </w:r>
          </w:p>
        </w:tc>
      </w:tr>
      <w:tr>
        <w:tc>
          <w:tcPr>
            <w:tcW w:type="dxa" w:w="1757"/>
            <w:tcMar>
              <w:top w:w="90" w:type="dxa"/>
              <w:start w:w="110" w:type="dxa"/>
              <w:bottom w:w="90" w:type="dxa"/>
              <w:end w:w="110" w:type="dxa"/>
            </w:tcMar>
            <w:vAlign w:val="top"/>
            <w:shd w:fill="F5F7FA"/>
          </w:tcPr>
          <w:p>
            <w:pPr>
              <w:spacing w:after="20" w:line="245" w:lineRule="auto"/>
            </w:pPr>
            <w:r>
              <w:rPr>
                <w:sz w:val="17"/>
              </w:rPr>
              <w:t>Change</w:t>
            </w:r>
          </w:p>
        </w:tc>
        <w:tc>
          <w:tcPr>
            <w:tcW w:type="dxa" w:w="8035"/>
            <w:tcMar>
              <w:top w:w="90" w:type="dxa"/>
              <w:start w:w="110" w:type="dxa"/>
              <w:bottom w:w="90" w:type="dxa"/>
              <w:end w:w="110" w:type="dxa"/>
            </w:tcMar>
            <w:vAlign w:val="top"/>
            <w:shd w:fill="F5F7FA"/>
          </w:tcPr>
          <w:p>
            <w:pPr>
              <w:spacing w:after="20" w:line="245" w:lineRule="auto"/>
            </w:pPr>
            <w:r>
              <w:rPr>
                <w:sz w:val="17"/>
              </w:rPr>
              <w:t>Remove failed cards from public display until articles render reliably, or publish complete article pages.</w:t>
            </w:r>
          </w:p>
        </w:tc>
      </w:tr>
      <w:tr>
        <w:tc>
          <w:tcPr>
            <w:tcW w:type="dxa" w:w="1757"/>
            <w:tcMar>
              <w:top w:w="90" w:type="dxa"/>
              <w:start w:w="110" w:type="dxa"/>
              <w:bottom w:w="90" w:type="dxa"/>
              <w:end w:w="110" w:type="dxa"/>
            </w:tcMar>
            <w:vAlign w:val="top"/>
          </w:tcPr>
          <w:p>
            <w:pPr>
              <w:spacing w:after="20" w:line="245" w:lineRule="auto"/>
            </w:pPr>
            <w:r>
              <w:rPr>
                <w:sz w:val="17"/>
              </w:rPr>
              <w:t>Replace / update</w:t>
            </w:r>
          </w:p>
        </w:tc>
        <w:tc>
          <w:tcPr>
            <w:tcW w:type="dxa" w:w="8035"/>
            <w:tcMar>
              <w:top w:w="90" w:type="dxa"/>
              <w:start w:w="110" w:type="dxa"/>
              <w:bottom w:w="90" w:type="dxa"/>
              <w:end w:w="110" w:type="dxa"/>
            </w:tcMar>
            <w:vAlign w:val="top"/>
          </w:tcPr>
          <w:p>
            <w:pPr>
              <w:spacing w:after="20" w:line="245" w:lineRule="auto"/>
            </w:pPr>
            <w:r>
              <w:rPr>
                <w:sz w:val="17"/>
              </w:rPr>
              <w:t>Repair /insights/state-of-ai-automation-2025 and /insights/ap-automation-benchmark-2024; publish or remove /insights/conversational-erp-future.</w:t>
            </w:r>
          </w:p>
        </w:tc>
      </w:tr>
      <w:tr>
        <w:tc>
          <w:tcPr>
            <w:tcW w:type="dxa" w:w="1757"/>
            <w:tcMar>
              <w:top w:w="90" w:type="dxa"/>
              <w:start w:w="110" w:type="dxa"/>
              <w:bottom w:w="90" w:type="dxa"/>
              <w:end w:w="110" w:type="dxa"/>
            </w:tcMar>
            <w:vAlign w:val="top"/>
            <w:shd w:fill="F5F7FA"/>
          </w:tcPr>
          <w:p>
            <w:pPr>
              <w:spacing w:after="20" w:line="245" w:lineRule="auto"/>
            </w:pPr>
            <w:r>
              <w:rPr>
                <w:sz w:val="17"/>
              </w:rPr>
              <w:t>Acceptance check</w:t>
            </w:r>
          </w:p>
        </w:tc>
        <w:tc>
          <w:tcPr>
            <w:tcW w:type="dxa" w:w="8035"/>
            <w:tcMar>
              <w:top w:w="90" w:type="dxa"/>
              <w:start w:w="110" w:type="dxa"/>
              <w:bottom w:w="90" w:type="dxa"/>
              <w:end w:w="110" w:type="dxa"/>
            </w:tcMar>
            <w:vAlign w:val="top"/>
            <w:shd w:fill="F5F7FA"/>
          </w:tcPr>
          <w:p>
            <w:pPr>
              <w:spacing w:after="20" w:line="245" w:lineRule="auto"/>
            </w:pPr>
            <w:r>
              <w:rPr>
                <w:sz w:val="17"/>
              </w:rPr>
              <w:t>Open every article card; verify title, author, date, body, citations, metadata, social preview, related links, and mobile layout.</w:t>
            </w:r>
          </w:p>
        </w:tc>
      </w:tr>
      <w:tr>
        <w:tc>
          <w:tcPr>
            <w:tcW w:type="dxa" w:w="1757"/>
            <w:tcMar>
              <w:top w:w="90" w:type="dxa"/>
              <w:start w:w="110" w:type="dxa"/>
              <w:bottom w:w="90" w:type="dxa"/>
              <w:end w:w="110" w:type="dxa"/>
            </w:tcMar>
            <w:vAlign w:val="top"/>
          </w:tcPr>
          <w:p>
            <w:pPr>
              <w:spacing w:after="20" w:line="245" w:lineRule="auto"/>
            </w:pPr>
            <w:r>
              <w:rPr>
                <w:sz w:val="17"/>
              </w:rPr>
              <w:t>Owner</w:t>
            </w:r>
          </w:p>
        </w:tc>
        <w:tc>
          <w:tcPr>
            <w:tcW w:type="dxa" w:w="8035"/>
            <w:tcMar>
              <w:top w:w="90" w:type="dxa"/>
              <w:start w:w="110" w:type="dxa"/>
              <w:bottom w:w="90" w:type="dxa"/>
              <w:end w:w="110" w:type="dxa"/>
            </w:tcMar>
            <w:vAlign w:val="top"/>
          </w:tcPr>
          <w:p>
            <w:pPr>
              <w:spacing w:after="20" w:line="245" w:lineRule="auto"/>
            </w:pPr>
            <w:r>
              <w:rPr>
                <w:sz w:val="17"/>
              </w:rPr>
              <w:t>Content + Web Engineering</w:t>
            </w:r>
          </w:p>
        </w:tc>
      </w:tr>
    </w:tbl>
    <w:p>
      <w:pPr>
        <w:spacing w:after="20"/>
      </w:pPr>
    </w:p>
    <w:p>
      <w:pPr>
        <w:keepNext/>
      </w:pPr>
      <w:r>
        <w:rPr>
          <w:b/>
          <w:color w:val="A61B1B"/>
          <w:sz w:val="20"/>
        </w:rPr>
        <w:t xml:space="preserve">P0-07  </w:t>
      </w:r>
      <w:r>
        <w:rPr>
          <w:b/>
          <w:color w:val="142B4A"/>
          <w:sz w:val="23"/>
        </w:rPr>
        <w:t>Placeholder-looking contact details and unverified offices</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4997"/>
        <w:gridCol w:w="4997"/>
      </w:tblGrid>
      <w:tr>
        <w:trPr>
          <w:tblHeader w:val="true"/>
        </w:trPr>
        <w:tc>
          <w:tcPr>
            <w:tcW w:type="dxa" w:w="1757"/>
            <w:shd w:fill="142B4A"/>
            <w:tcMar>
              <w:top w:w="90" w:type="dxa"/>
              <w:start w:w="110" w:type="dxa"/>
              <w:bottom w:w="90" w:type="dxa"/>
              <w:end w:w="110" w:type="dxa"/>
            </w:tcMar>
          </w:tcPr>
          <w:p>
            <w:r>
              <w:rPr>
                <w:b/>
                <w:color w:val="FFFFFF"/>
                <w:sz w:val="18"/>
              </w:rPr>
              <w:t>Field</w:t>
            </w:r>
          </w:p>
        </w:tc>
        <w:tc>
          <w:tcPr>
            <w:tcW w:type="dxa" w:w="8035"/>
            <w:shd w:fill="142B4A"/>
            <w:tcMar>
              <w:top w:w="90" w:type="dxa"/>
              <w:start w:w="110" w:type="dxa"/>
              <w:bottom w:w="90" w:type="dxa"/>
              <w:end w:w="110" w:type="dxa"/>
            </w:tcMar>
          </w:tcPr>
          <w:p>
            <w:r>
              <w:rPr>
                <w:b/>
                <w:color w:val="FFFFFF"/>
                <w:sz w:val="18"/>
              </w:rPr>
              <w:t>Required action</w:t>
            </w:r>
          </w:p>
        </w:tc>
      </w:tr>
      <w:tr>
        <w:tc>
          <w:tcPr>
            <w:tcW w:type="dxa" w:w="1757"/>
            <w:tcMar>
              <w:top w:w="90" w:type="dxa"/>
              <w:start w:w="110" w:type="dxa"/>
              <w:bottom w:w="90" w:type="dxa"/>
              <w:end w:w="110" w:type="dxa"/>
            </w:tcMar>
            <w:vAlign w:val="top"/>
          </w:tcPr>
          <w:p>
            <w:pPr>
              <w:spacing w:after="20" w:line="245" w:lineRule="auto"/>
            </w:pPr>
            <w:r>
              <w:rPr>
                <w:sz w:val="17"/>
              </w:rPr>
              <w:t>Observed</w:t>
            </w:r>
          </w:p>
        </w:tc>
        <w:tc>
          <w:tcPr>
            <w:tcW w:type="dxa" w:w="8035"/>
            <w:tcMar>
              <w:top w:w="90" w:type="dxa"/>
              <w:start w:w="110" w:type="dxa"/>
              <w:bottom w:w="90" w:type="dxa"/>
              <w:end w:w="110" w:type="dxa"/>
            </w:tcMar>
            <w:vAlign w:val="top"/>
          </w:tcPr>
          <w:p>
            <w:pPr>
              <w:spacing w:after="20" w:line="245" w:lineRule="auto"/>
            </w:pPr>
            <w:r>
              <w:rPr>
                <w:sz w:val="17"/>
              </w:rPr>
              <w:t>The Contact page displays three office addresses and phone numbers, including +1 (650) 555-0100 and similarly generic patterns.</w:t>
            </w:r>
          </w:p>
        </w:tc>
      </w:tr>
      <w:tr>
        <w:tc>
          <w:tcPr>
            <w:tcW w:type="dxa" w:w="1757"/>
            <w:tcMar>
              <w:top w:w="90" w:type="dxa"/>
              <w:start w:w="110" w:type="dxa"/>
              <w:bottom w:w="90" w:type="dxa"/>
              <w:end w:w="110" w:type="dxa"/>
            </w:tcMar>
            <w:vAlign w:val="top"/>
            <w:shd w:fill="F5F7FA"/>
          </w:tcPr>
          <w:p>
            <w:pPr>
              <w:spacing w:after="20" w:line="245" w:lineRule="auto"/>
            </w:pPr>
            <w:r>
              <w:rPr>
                <w:sz w:val="17"/>
              </w:rPr>
              <w:t>Change</w:t>
            </w:r>
          </w:p>
        </w:tc>
        <w:tc>
          <w:tcPr>
            <w:tcW w:type="dxa" w:w="8035"/>
            <w:tcMar>
              <w:top w:w="90" w:type="dxa"/>
              <w:start w:w="110" w:type="dxa"/>
              <w:bottom w:w="90" w:type="dxa"/>
              <w:end w:w="110" w:type="dxa"/>
            </w:tcMar>
            <w:vAlign w:val="top"/>
            <w:shd w:fill="F5F7FA"/>
          </w:tcPr>
          <w:p>
            <w:pPr>
              <w:spacing w:after="20" w:line="245" w:lineRule="auto"/>
            </w:pPr>
            <w:r>
              <w:rPr>
                <w:sz w:val="17"/>
              </w:rPr>
              <w:t>Replace with verified legal/business contact details. If an office is not staffed or legally attributable to the company, remove it.</w:t>
            </w:r>
          </w:p>
        </w:tc>
      </w:tr>
      <w:tr>
        <w:tc>
          <w:tcPr>
            <w:tcW w:type="dxa" w:w="1757"/>
            <w:tcMar>
              <w:top w:w="90" w:type="dxa"/>
              <w:start w:w="110" w:type="dxa"/>
              <w:bottom w:w="90" w:type="dxa"/>
              <w:end w:w="110" w:type="dxa"/>
            </w:tcMar>
            <w:vAlign w:val="top"/>
          </w:tcPr>
          <w:p>
            <w:pPr>
              <w:spacing w:after="20" w:line="245" w:lineRule="auto"/>
            </w:pPr>
            <w:r>
              <w:rPr>
                <w:sz w:val="17"/>
              </w:rPr>
              <w:t>Replace / update</w:t>
            </w:r>
          </w:p>
        </w:tc>
        <w:tc>
          <w:tcPr>
            <w:tcW w:type="dxa" w:w="8035"/>
            <w:tcMar>
              <w:top w:w="90" w:type="dxa"/>
              <w:start w:w="110" w:type="dxa"/>
              <w:bottom w:w="90" w:type="dxa"/>
              <w:end w:w="110" w:type="dxa"/>
            </w:tcMar>
            <w:vAlign w:val="top"/>
          </w:tcPr>
          <w:p>
            <w:pPr>
              <w:spacing w:after="20" w:line="245" w:lineRule="auto"/>
            </w:pPr>
            <w:r>
              <w:rPr>
                <w:sz w:val="17"/>
              </w:rPr>
              <w:t>Use verified phone numbers, monitored mailboxes, registered/operating addresses, business hours, legal entity name, and registration details where appropriate.</w:t>
            </w:r>
          </w:p>
        </w:tc>
      </w:tr>
      <w:tr>
        <w:tc>
          <w:tcPr>
            <w:tcW w:type="dxa" w:w="1757"/>
            <w:tcMar>
              <w:top w:w="90" w:type="dxa"/>
              <w:start w:w="110" w:type="dxa"/>
              <w:bottom w:w="90" w:type="dxa"/>
              <w:end w:w="110" w:type="dxa"/>
            </w:tcMar>
            <w:vAlign w:val="top"/>
            <w:shd w:fill="F5F7FA"/>
          </w:tcPr>
          <w:p>
            <w:pPr>
              <w:spacing w:after="20" w:line="245" w:lineRule="auto"/>
            </w:pPr>
            <w:r>
              <w:rPr>
                <w:sz w:val="17"/>
              </w:rPr>
              <w:t>Acceptance check</w:t>
            </w:r>
          </w:p>
        </w:tc>
        <w:tc>
          <w:tcPr>
            <w:tcW w:type="dxa" w:w="8035"/>
            <w:tcMar>
              <w:top w:w="90" w:type="dxa"/>
              <w:start w:w="110" w:type="dxa"/>
              <w:bottom w:w="90" w:type="dxa"/>
              <w:end w:w="110" w:type="dxa"/>
            </w:tcMar>
            <w:vAlign w:val="top"/>
            <w:shd w:fill="F5F7FA"/>
          </w:tcPr>
          <w:p>
            <w:pPr>
              <w:spacing w:after="20" w:line="245" w:lineRule="auto"/>
            </w:pPr>
            <w:r>
              <w:rPr>
                <w:sz w:val="17"/>
              </w:rPr>
              <w:t>Call/test numbers internally; send controlled test emails; confirm mailbox ownership and office authorization; review by Legal.</w:t>
            </w:r>
          </w:p>
        </w:tc>
      </w:tr>
      <w:tr>
        <w:tc>
          <w:tcPr>
            <w:tcW w:type="dxa" w:w="1757"/>
            <w:tcMar>
              <w:top w:w="90" w:type="dxa"/>
              <w:start w:w="110" w:type="dxa"/>
              <w:bottom w:w="90" w:type="dxa"/>
              <w:end w:w="110" w:type="dxa"/>
            </w:tcMar>
            <w:vAlign w:val="top"/>
          </w:tcPr>
          <w:p>
            <w:pPr>
              <w:spacing w:after="20" w:line="245" w:lineRule="auto"/>
            </w:pPr>
            <w:r>
              <w:rPr>
                <w:sz w:val="17"/>
              </w:rPr>
              <w:t>Owner</w:t>
            </w:r>
          </w:p>
        </w:tc>
        <w:tc>
          <w:tcPr>
            <w:tcW w:type="dxa" w:w="8035"/>
            <w:tcMar>
              <w:top w:w="90" w:type="dxa"/>
              <w:start w:w="110" w:type="dxa"/>
              <w:bottom w:w="90" w:type="dxa"/>
              <w:end w:w="110" w:type="dxa"/>
            </w:tcMar>
            <w:vAlign w:val="top"/>
          </w:tcPr>
          <w:p>
            <w:pPr>
              <w:spacing w:after="20" w:line="245" w:lineRule="auto"/>
            </w:pPr>
            <w:r>
              <w:rPr>
                <w:sz w:val="17"/>
              </w:rPr>
              <w:t>Operations + Legal + Web Content</w:t>
            </w:r>
          </w:p>
        </w:tc>
      </w:tr>
    </w:tbl>
    <w:p>
      <w:pPr>
        <w:spacing w:after="20"/>
      </w:pPr>
    </w:p>
    <w:p>
      <w:pPr>
        <w:keepNext/>
      </w:pPr>
      <w:r>
        <w:rPr>
          <w:b/>
          <w:color w:val="A61B1B"/>
          <w:sz w:val="20"/>
        </w:rPr>
        <w:t xml:space="preserve">P0-08  </w:t>
      </w:r>
      <w:r>
        <w:rPr>
          <w:b/>
          <w:color w:val="142B4A"/>
          <w:sz w:val="23"/>
        </w:rPr>
        <w:t>Material company claims require evidence</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4997"/>
        <w:gridCol w:w="4997"/>
      </w:tblGrid>
      <w:tr>
        <w:trPr>
          <w:tblHeader w:val="true"/>
        </w:trPr>
        <w:tc>
          <w:tcPr>
            <w:tcW w:type="dxa" w:w="1757"/>
            <w:shd w:fill="142B4A"/>
            <w:tcMar>
              <w:top w:w="90" w:type="dxa"/>
              <w:start w:w="110" w:type="dxa"/>
              <w:bottom w:w="90" w:type="dxa"/>
              <w:end w:w="110" w:type="dxa"/>
            </w:tcMar>
          </w:tcPr>
          <w:p>
            <w:r>
              <w:rPr>
                <w:b/>
                <w:color w:val="FFFFFF"/>
                <w:sz w:val="18"/>
              </w:rPr>
              <w:t>Field</w:t>
            </w:r>
          </w:p>
        </w:tc>
        <w:tc>
          <w:tcPr>
            <w:tcW w:type="dxa" w:w="8035"/>
            <w:shd w:fill="142B4A"/>
            <w:tcMar>
              <w:top w:w="90" w:type="dxa"/>
              <w:start w:w="110" w:type="dxa"/>
              <w:bottom w:w="90" w:type="dxa"/>
              <w:end w:w="110" w:type="dxa"/>
            </w:tcMar>
          </w:tcPr>
          <w:p>
            <w:r>
              <w:rPr>
                <w:b/>
                <w:color w:val="FFFFFF"/>
                <w:sz w:val="18"/>
              </w:rPr>
              <w:t>Required action</w:t>
            </w:r>
          </w:p>
        </w:tc>
      </w:tr>
      <w:tr>
        <w:tc>
          <w:tcPr>
            <w:tcW w:type="dxa" w:w="1757"/>
            <w:tcMar>
              <w:top w:w="90" w:type="dxa"/>
              <w:start w:w="110" w:type="dxa"/>
              <w:bottom w:w="90" w:type="dxa"/>
              <w:end w:w="110" w:type="dxa"/>
            </w:tcMar>
            <w:vAlign w:val="top"/>
          </w:tcPr>
          <w:p>
            <w:pPr>
              <w:spacing w:after="20" w:line="245" w:lineRule="auto"/>
            </w:pPr>
            <w:r>
              <w:rPr>
                <w:sz w:val="17"/>
              </w:rPr>
              <w:t>Observed</w:t>
            </w:r>
          </w:p>
        </w:tc>
        <w:tc>
          <w:tcPr>
            <w:tcW w:type="dxa" w:w="8035"/>
            <w:tcMar>
              <w:top w:w="90" w:type="dxa"/>
              <w:start w:w="110" w:type="dxa"/>
              <w:bottom w:w="90" w:type="dxa"/>
              <w:end w:w="110" w:type="dxa"/>
            </w:tcMar>
            <w:vAlign w:val="top"/>
          </w:tcPr>
          <w:p>
            <w:pPr>
              <w:spacing w:after="20" w:line="245" w:lineRule="auto"/>
            </w:pPr>
            <w:r>
              <w:rPr>
                <w:sz w:val="17"/>
              </w:rPr>
              <w:t>About asserts $52M funding, named investors, 200+ customers, 50+ team members, named executives, multiple credentials, and a detailed company history.</w:t>
            </w:r>
          </w:p>
        </w:tc>
      </w:tr>
      <w:tr>
        <w:tc>
          <w:tcPr>
            <w:tcW w:type="dxa" w:w="1757"/>
            <w:tcMar>
              <w:top w:w="90" w:type="dxa"/>
              <w:start w:w="110" w:type="dxa"/>
              <w:bottom w:w="90" w:type="dxa"/>
              <w:end w:w="110" w:type="dxa"/>
            </w:tcMar>
            <w:vAlign w:val="top"/>
            <w:shd w:fill="F5F7FA"/>
          </w:tcPr>
          <w:p>
            <w:pPr>
              <w:spacing w:after="20" w:line="245" w:lineRule="auto"/>
            </w:pPr>
            <w:r>
              <w:rPr>
                <w:sz w:val="17"/>
              </w:rPr>
              <w:t>Change</w:t>
            </w:r>
          </w:p>
        </w:tc>
        <w:tc>
          <w:tcPr>
            <w:tcW w:type="dxa" w:w="8035"/>
            <w:tcMar>
              <w:top w:w="90" w:type="dxa"/>
              <w:start w:w="110" w:type="dxa"/>
              <w:bottom w:w="90" w:type="dxa"/>
              <w:end w:w="110" w:type="dxa"/>
            </w:tcMar>
            <w:vAlign w:val="top"/>
            <w:shd w:fill="F5F7FA"/>
          </w:tcPr>
          <w:p>
            <w:pPr>
              <w:spacing w:after="20" w:line="245" w:lineRule="auto"/>
            </w:pPr>
            <w:r>
              <w:rPr>
                <w:sz w:val="17"/>
              </w:rPr>
              <w:t>Remove claims from public view until the executive/legal evidence pack is approved. Never “soften” an invented claim into another unsupported statement.</w:t>
            </w:r>
          </w:p>
        </w:tc>
      </w:tr>
      <w:tr>
        <w:tc>
          <w:tcPr>
            <w:tcW w:type="dxa" w:w="1757"/>
            <w:tcMar>
              <w:top w:w="90" w:type="dxa"/>
              <w:start w:w="110" w:type="dxa"/>
              <w:bottom w:w="90" w:type="dxa"/>
              <w:end w:w="110" w:type="dxa"/>
            </w:tcMar>
            <w:vAlign w:val="top"/>
          </w:tcPr>
          <w:p>
            <w:pPr>
              <w:spacing w:after="20" w:line="245" w:lineRule="auto"/>
            </w:pPr>
            <w:r>
              <w:rPr>
                <w:sz w:val="17"/>
              </w:rPr>
              <w:t>Replace / update</w:t>
            </w:r>
          </w:p>
        </w:tc>
        <w:tc>
          <w:tcPr>
            <w:tcW w:type="dxa" w:w="8035"/>
            <w:tcMar>
              <w:top w:w="90" w:type="dxa"/>
              <w:start w:w="110" w:type="dxa"/>
              <w:bottom w:w="90" w:type="dxa"/>
              <w:end w:w="110" w:type="dxa"/>
            </w:tcMar>
            <w:vAlign w:val="top"/>
          </w:tcPr>
          <w:p>
            <w:pPr>
              <w:spacing w:after="20" w:line="245" w:lineRule="auto"/>
            </w:pPr>
            <w:r>
              <w:rPr>
                <w:sz w:val="17"/>
              </w:rPr>
              <w:t>For every claim, retain a source: financing announcements/filings, investor approvals, CRM counts and definition, HR roster, executive consent and biographies, incorporation records, and dated press references.</w:t>
            </w:r>
          </w:p>
        </w:tc>
      </w:tr>
      <w:tr>
        <w:tc>
          <w:tcPr>
            <w:tcW w:type="dxa" w:w="1757"/>
            <w:tcMar>
              <w:top w:w="90" w:type="dxa"/>
              <w:start w:w="110" w:type="dxa"/>
              <w:bottom w:w="90" w:type="dxa"/>
              <w:end w:w="110" w:type="dxa"/>
            </w:tcMar>
            <w:vAlign w:val="top"/>
            <w:shd w:fill="F5F7FA"/>
          </w:tcPr>
          <w:p>
            <w:pPr>
              <w:spacing w:after="20" w:line="245" w:lineRule="auto"/>
            </w:pPr>
            <w:r>
              <w:rPr>
                <w:sz w:val="17"/>
              </w:rPr>
              <w:t>Acceptance check</w:t>
            </w:r>
          </w:p>
        </w:tc>
        <w:tc>
          <w:tcPr>
            <w:tcW w:type="dxa" w:w="8035"/>
            <w:tcMar>
              <w:top w:w="90" w:type="dxa"/>
              <w:start w:w="110" w:type="dxa"/>
              <w:bottom w:w="90" w:type="dxa"/>
              <w:end w:w="110" w:type="dxa"/>
            </w:tcMar>
            <w:vAlign w:val="top"/>
            <w:shd w:fill="F5F7FA"/>
          </w:tcPr>
          <w:p>
            <w:pPr>
              <w:spacing w:after="20" w:line="245" w:lineRule="auto"/>
            </w:pPr>
            <w:r>
              <w:rPr>
                <w:sz w:val="17"/>
              </w:rPr>
              <w:t>Legal and Executive sign a claim register identifying claim text, source, owner, approval date, review date, and permitted placement.</w:t>
            </w:r>
          </w:p>
        </w:tc>
      </w:tr>
      <w:tr>
        <w:tc>
          <w:tcPr>
            <w:tcW w:type="dxa" w:w="1757"/>
            <w:tcMar>
              <w:top w:w="90" w:type="dxa"/>
              <w:start w:w="110" w:type="dxa"/>
              <w:bottom w:w="90" w:type="dxa"/>
              <w:end w:w="110" w:type="dxa"/>
            </w:tcMar>
            <w:vAlign w:val="top"/>
          </w:tcPr>
          <w:p>
            <w:pPr>
              <w:spacing w:after="20" w:line="245" w:lineRule="auto"/>
            </w:pPr>
            <w:r>
              <w:rPr>
                <w:sz w:val="17"/>
              </w:rPr>
              <w:t>Owner</w:t>
            </w:r>
          </w:p>
        </w:tc>
        <w:tc>
          <w:tcPr>
            <w:tcW w:type="dxa" w:w="8035"/>
            <w:tcMar>
              <w:top w:w="90" w:type="dxa"/>
              <w:start w:w="110" w:type="dxa"/>
              <w:bottom w:w="90" w:type="dxa"/>
              <w:end w:w="110" w:type="dxa"/>
            </w:tcMar>
            <w:vAlign w:val="top"/>
          </w:tcPr>
          <w:p>
            <w:pPr>
              <w:spacing w:after="20" w:line="245" w:lineRule="auto"/>
            </w:pPr>
            <w:r>
              <w:rPr>
                <w:sz w:val="17"/>
              </w:rPr>
              <w:t>Executive + Legal + Marketing</w:t>
            </w:r>
          </w:p>
        </w:tc>
      </w:tr>
    </w:tbl>
    <w:p>
      <w:pPr>
        <w:spacing w:after="20"/>
      </w:pPr>
    </w:p>
    <w:p>
      <w:pPr>
        <w:pStyle w:val="Heading1"/>
      </w:pPr>
      <w:r>
        <w:t>3. P1 credibility and conversion corrections</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2498"/>
        <w:gridCol w:w="2498"/>
        <w:gridCol w:w="2498"/>
        <w:gridCol w:w="2498"/>
      </w:tblGrid>
      <w:tr>
        <w:trPr>
          <w:tblHeader w:val="true"/>
        </w:trPr>
        <w:tc>
          <w:tcPr>
            <w:tcW w:type="dxa" w:w="792"/>
            <w:shd w:fill="142B4A"/>
            <w:tcMar>
              <w:top w:w="90" w:type="dxa"/>
              <w:start w:w="110" w:type="dxa"/>
              <w:bottom w:w="90" w:type="dxa"/>
              <w:end w:w="110" w:type="dxa"/>
            </w:tcMar>
          </w:tcPr>
          <w:p>
            <w:r>
              <w:rPr>
                <w:b/>
                <w:color w:val="FFFFFF"/>
                <w:sz w:val="18"/>
              </w:rPr>
              <w:t>ID</w:t>
            </w:r>
          </w:p>
        </w:tc>
        <w:tc>
          <w:tcPr>
            <w:tcW w:type="dxa" w:w="2304"/>
            <w:shd w:fill="142B4A"/>
            <w:tcMar>
              <w:top w:w="90" w:type="dxa"/>
              <w:start w:w="110" w:type="dxa"/>
              <w:bottom w:w="90" w:type="dxa"/>
              <w:end w:w="110" w:type="dxa"/>
            </w:tcMar>
          </w:tcPr>
          <w:p>
            <w:r>
              <w:rPr>
                <w:b/>
                <w:color w:val="FFFFFF"/>
                <w:sz w:val="18"/>
              </w:rPr>
              <w:t>Issue</w:t>
            </w:r>
          </w:p>
        </w:tc>
        <w:tc>
          <w:tcPr>
            <w:tcW w:type="dxa" w:w="4824"/>
            <w:shd w:fill="142B4A"/>
            <w:tcMar>
              <w:top w:w="90" w:type="dxa"/>
              <w:start w:w="110" w:type="dxa"/>
              <w:bottom w:w="90" w:type="dxa"/>
              <w:end w:w="110" w:type="dxa"/>
            </w:tcMar>
          </w:tcPr>
          <w:p>
            <w:r>
              <w:rPr>
                <w:b/>
                <w:color w:val="FFFFFF"/>
                <w:sz w:val="18"/>
              </w:rPr>
              <w:t>Required update</w:t>
            </w:r>
          </w:p>
        </w:tc>
        <w:tc>
          <w:tcPr>
            <w:tcW w:type="dxa" w:w="1872"/>
            <w:shd w:fill="142B4A"/>
            <w:tcMar>
              <w:top w:w="90" w:type="dxa"/>
              <w:start w:w="110" w:type="dxa"/>
              <w:bottom w:w="90" w:type="dxa"/>
              <w:end w:w="110" w:type="dxa"/>
            </w:tcMar>
          </w:tcPr>
          <w:p>
            <w:r>
              <w:rPr>
                <w:b/>
                <w:color w:val="FFFFFF"/>
                <w:sz w:val="18"/>
              </w:rPr>
              <w:t>Acceptance criterion</w:t>
            </w:r>
          </w:p>
        </w:tc>
      </w:tr>
      <w:tr>
        <w:tc>
          <w:tcPr>
            <w:tcW w:type="dxa" w:w="792"/>
            <w:tcMar>
              <w:top w:w="90" w:type="dxa"/>
              <w:start w:w="110" w:type="dxa"/>
              <w:bottom w:w="90" w:type="dxa"/>
              <w:end w:w="110" w:type="dxa"/>
            </w:tcMar>
            <w:vAlign w:val="top"/>
          </w:tcPr>
          <w:p>
            <w:pPr>
              <w:spacing w:after="20" w:line="245" w:lineRule="auto"/>
            </w:pPr>
            <w:r>
              <w:rPr>
                <w:sz w:val="17"/>
              </w:rPr>
              <w:t>P1-01</w:t>
            </w:r>
          </w:p>
        </w:tc>
        <w:tc>
          <w:tcPr>
            <w:tcW w:type="dxa" w:w="2304"/>
            <w:tcMar>
              <w:top w:w="90" w:type="dxa"/>
              <w:start w:w="110" w:type="dxa"/>
              <w:bottom w:w="90" w:type="dxa"/>
              <w:end w:w="110" w:type="dxa"/>
            </w:tcMar>
            <w:vAlign w:val="top"/>
          </w:tcPr>
          <w:p>
            <w:pPr>
              <w:spacing w:after="20" w:line="245" w:lineRule="auto"/>
            </w:pPr>
            <w:r>
              <w:rPr>
                <w:sz w:val="17"/>
              </w:rPr>
              <w:t>Country count conflict: Home says 40+; About says 15.</w:t>
            </w:r>
          </w:p>
        </w:tc>
        <w:tc>
          <w:tcPr>
            <w:tcW w:type="dxa" w:w="4824"/>
            <w:tcMar>
              <w:top w:w="90" w:type="dxa"/>
              <w:start w:w="110" w:type="dxa"/>
              <w:bottom w:w="90" w:type="dxa"/>
              <w:end w:w="110" w:type="dxa"/>
            </w:tcMar>
            <w:vAlign w:val="top"/>
          </w:tcPr>
          <w:p>
            <w:pPr>
              <w:spacing w:after="20" w:line="245" w:lineRule="auto"/>
            </w:pPr>
            <w:r>
              <w:rPr>
                <w:sz w:val="17"/>
              </w:rPr>
              <w:t>Choose one evidence-backed count and define whether it means customers, delivery coverage, or offices. Update every occurrence.</w:t>
            </w:r>
          </w:p>
        </w:tc>
        <w:tc>
          <w:tcPr>
            <w:tcW w:type="dxa" w:w="1872"/>
            <w:tcMar>
              <w:top w:w="90" w:type="dxa"/>
              <w:start w:w="110" w:type="dxa"/>
              <w:bottom w:w="90" w:type="dxa"/>
              <w:end w:w="110" w:type="dxa"/>
            </w:tcMar>
            <w:vAlign w:val="top"/>
          </w:tcPr>
          <w:p>
            <w:pPr>
              <w:spacing w:after="20" w:line="245" w:lineRule="auto"/>
            </w:pPr>
            <w:r>
              <w:rPr>
                <w:sz w:val="17"/>
              </w:rPr>
              <w:t>Global search returns one approved figure and consistent definition.</w:t>
            </w:r>
          </w:p>
        </w:tc>
      </w:tr>
      <w:tr>
        <w:tc>
          <w:tcPr>
            <w:tcW w:type="dxa" w:w="792"/>
            <w:tcMar>
              <w:top w:w="90" w:type="dxa"/>
              <w:start w:w="110" w:type="dxa"/>
              <w:bottom w:w="90" w:type="dxa"/>
              <w:end w:w="110" w:type="dxa"/>
            </w:tcMar>
            <w:vAlign w:val="top"/>
            <w:shd w:fill="F5F7FA"/>
          </w:tcPr>
          <w:p>
            <w:pPr>
              <w:spacing w:after="20" w:line="245" w:lineRule="auto"/>
            </w:pPr>
            <w:r>
              <w:rPr>
                <w:sz w:val="17"/>
              </w:rPr>
              <w:t>P1-02</w:t>
            </w:r>
          </w:p>
        </w:tc>
        <w:tc>
          <w:tcPr>
            <w:tcW w:type="dxa" w:w="2304"/>
            <w:tcMar>
              <w:top w:w="90" w:type="dxa"/>
              <w:start w:w="110" w:type="dxa"/>
              <w:bottom w:w="90" w:type="dxa"/>
              <w:end w:w="110" w:type="dxa"/>
            </w:tcMar>
            <w:vAlign w:val="top"/>
            <w:shd w:fill="F5F7FA"/>
          </w:tcPr>
          <w:p>
            <w:pPr>
              <w:spacing w:after="20" w:line="245" w:lineRule="auto"/>
            </w:pPr>
            <w:r>
              <w:rPr>
                <w:sz w:val="17"/>
              </w:rPr>
              <w:t>Case Studies says 8, but only 3 detail pages exist; CTA says “View All 3.”</w:t>
            </w:r>
          </w:p>
        </w:tc>
        <w:tc>
          <w:tcPr>
            <w:tcW w:type="dxa" w:w="4824"/>
            <w:tcMar>
              <w:top w:w="90" w:type="dxa"/>
              <w:start w:w="110" w:type="dxa"/>
              <w:bottom w:w="90" w:type="dxa"/>
              <w:end w:w="110" w:type="dxa"/>
            </w:tcMar>
            <w:vAlign w:val="top"/>
            <w:shd w:fill="F5F7FA"/>
          </w:tcPr>
          <w:p>
            <w:pPr>
              <w:spacing w:after="20" w:line="245" w:lineRule="auto"/>
            </w:pPr>
            <w:r>
              <w:rPr>
                <w:sz w:val="17"/>
              </w:rPr>
              <w:t>Change all “8” claims to “3 published case studies” or publish the other five.</w:t>
            </w:r>
          </w:p>
        </w:tc>
        <w:tc>
          <w:tcPr>
            <w:tcW w:type="dxa" w:w="1872"/>
            <w:tcMar>
              <w:top w:w="90" w:type="dxa"/>
              <w:start w:w="110" w:type="dxa"/>
              <w:bottom w:w="90" w:type="dxa"/>
              <w:end w:w="110" w:type="dxa"/>
            </w:tcMar>
            <w:vAlign w:val="top"/>
            <w:shd w:fill="F5F7FA"/>
          </w:tcPr>
          <w:p>
            <w:pPr>
              <w:spacing w:after="20" w:line="245" w:lineRule="auto"/>
            </w:pPr>
            <w:r>
              <w:rPr>
                <w:sz w:val="17"/>
              </w:rPr>
              <w:t>Index count equals working detail-page count.</w:t>
            </w:r>
          </w:p>
        </w:tc>
      </w:tr>
      <w:tr>
        <w:tc>
          <w:tcPr>
            <w:tcW w:type="dxa" w:w="792"/>
            <w:tcMar>
              <w:top w:w="90" w:type="dxa"/>
              <w:start w:w="110" w:type="dxa"/>
              <w:bottom w:w="90" w:type="dxa"/>
              <w:end w:w="110" w:type="dxa"/>
            </w:tcMar>
            <w:vAlign w:val="top"/>
          </w:tcPr>
          <w:p>
            <w:pPr>
              <w:spacing w:after="20" w:line="245" w:lineRule="auto"/>
            </w:pPr>
            <w:r>
              <w:rPr>
                <w:sz w:val="17"/>
              </w:rPr>
              <w:t>P1-03</w:t>
            </w:r>
          </w:p>
        </w:tc>
        <w:tc>
          <w:tcPr>
            <w:tcW w:type="dxa" w:w="2304"/>
            <w:tcMar>
              <w:top w:w="90" w:type="dxa"/>
              <w:start w:w="110" w:type="dxa"/>
              <w:bottom w:w="90" w:type="dxa"/>
              <w:end w:w="110" w:type="dxa"/>
            </w:tcMar>
            <w:vAlign w:val="top"/>
          </w:tcPr>
          <w:p>
            <w:pPr>
              <w:spacing w:after="20" w:line="245" w:lineRule="auto"/>
            </w:pPr>
            <w:r>
              <w:rPr>
                <w:sz w:val="17"/>
              </w:rPr>
              <w:t>Accuracy claims vary: 99.8%, 99.5%, 99.4%, plus platform-specific values.</w:t>
            </w:r>
          </w:p>
        </w:tc>
        <w:tc>
          <w:tcPr>
            <w:tcW w:type="dxa" w:w="4824"/>
            <w:tcMar>
              <w:top w:w="90" w:type="dxa"/>
              <w:start w:w="110" w:type="dxa"/>
              <w:bottom w:w="90" w:type="dxa"/>
              <w:end w:w="110" w:type="dxa"/>
            </w:tcMar>
            <w:vAlign w:val="top"/>
          </w:tcPr>
          <w:p>
            <w:pPr>
              <w:spacing w:after="20" w:line="245" w:lineRule="auto"/>
            </w:pPr>
            <w:r>
              <w:rPr>
                <w:sz w:val="17"/>
              </w:rPr>
              <w:t>Create a metrics dictionary: metric, dataset, period, sample size, test conditions, owner, source. Remove values without evidence.</w:t>
            </w:r>
          </w:p>
        </w:tc>
        <w:tc>
          <w:tcPr>
            <w:tcW w:type="dxa" w:w="1872"/>
            <w:tcMar>
              <w:top w:w="90" w:type="dxa"/>
              <w:start w:w="110" w:type="dxa"/>
              <w:bottom w:w="90" w:type="dxa"/>
              <w:end w:w="110" w:type="dxa"/>
            </w:tcMar>
            <w:vAlign w:val="top"/>
          </w:tcPr>
          <w:p>
            <w:pPr>
              <w:spacing w:after="20" w:line="245" w:lineRule="auto"/>
            </w:pPr>
            <w:r>
              <w:rPr>
                <w:sz w:val="17"/>
              </w:rPr>
              <w:t>Every displayed percentage maps to an approved methodology/source.</w:t>
            </w:r>
          </w:p>
        </w:tc>
      </w:tr>
      <w:tr>
        <w:tc>
          <w:tcPr>
            <w:tcW w:type="dxa" w:w="792"/>
            <w:tcMar>
              <w:top w:w="90" w:type="dxa"/>
              <w:start w:w="110" w:type="dxa"/>
              <w:bottom w:w="90" w:type="dxa"/>
              <w:end w:w="110" w:type="dxa"/>
            </w:tcMar>
            <w:vAlign w:val="top"/>
            <w:shd w:fill="F5F7FA"/>
          </w:tcPr>
          <w:p>
            <w:pPr>
              <w:spacing w:after="20" w:line="245" w:lineRule="auto"/>
            </w:pPr>
            <w:r>
              <w:rPr>
                <w:sz w:val="17"/>
              </w:rPr>
              <w:t>P1-04</w:t>
            </w:r>
          </w:p>
        </w:tc>
        <w:tc>
          <w:tcPr>
            <w:tcW w:type="dxa" w:w="2304"/>
            <w:tcMar>
              <w:top w:w="90" w:type="dxa"/>
              <w:start w:w="110" w:type="dxa"/>
              <w:bottom w:w="90" w:type="dxa"/>
              <w:end w:w="110" w:type="dxa"/>
            </w:tcMar>
            <w:vAlign w:val="top"/>
            <w:shd w:fill="F5F7FA"/>
          </w:tcPr>
          <w:p>
            <w:pPr>
              <w:spacing w:after="20" w:line="245" w:lineRule="auto"/>
            </w:pPr>
            <w:r>
              <w:rPr>
                <w:sz w:val="17"/>
              </w:rPr>
              <w:t>Document volume conflict: 2.1M processed vs 18.2M simulation units.</w:t>
            </w:r>
          </w:p>
        </w:tc>
        <w:tc>
          <w:tcPr>
            <w:tcW w:type="dxa" w:w="4824"/>
            <w:tcMar>
              <w:top w:w="90" w:type="dxa"/>
              <w:start w:w="110" w:type="dxa"/>
              <w:bottom w:w="90" w:type="dxa"/>
              <w:end w:w="110" w:type="dxa"/>
            </w:tcMar>
            <w:vAlign w:val="top"/>
            <w:shd w:fill="F5F7FA"/>
          </w:tcPr>
          <w:p>
            <w:pPr>
              <w:spacing w:after="20" w:line="245" w:lineRule="auto"/>
            </w:pPr>
            <w:r>
              <w:rPr>
                <w:sz w:val="17"/>
              </w:rPr>
              <w:t>Separate production, benchmark, and simulation data; label each plainly.</w:t>
            </w:r>
          </w:p>
        </w:tc>
        <w:tc>
          <w:tcPr>
            <w:tcW w:type="dxa" w:w="1872"/>
            <w:tcMar>
              <w:top w:w="90" w:type="dxa"/>
              <w:start w:w="110" w:type="dxa"/>
              <w:bottom w:w="90" w:type="dxa"/>
              <w:end w:w="110" w:type="dxa"/>
            </w:tcMar>
            <w:vAlign w:val="top"/>
            <w:shd w:fill="F5F7FA"/>
          </w:tcPr>
          <w:p>
            <w:pPr>
              <w:spacing w:after="20" w:line="245" w:lineRule="auto"/>
            </w:pPr>
            <w:r>
              <w:rPr>
                <w:sz w:val="17"/>
              </w:rPr>
              <w:t>No simulation figure is presented as customer production volume.</w:t>
            </w:r>
          </w:p>
        </w:tc>
      </w:tr>
      <w:tr>
        <w:tc>
          <w:tcPr>
            <w:tcW w:type="dxa" w:w="792"/>
            <w:tcMar>
              <w:top w:w="90" w:type="dxa"/>
              <w:start w:w="110" w:type="dxa"/>
              <w:bottom w:w="90" w:type="dxa"/>
              <w:end w:w="110" w:type="dxa"/>
            </w:tcMar>
            <w:vAlign w:val="top"/>
          </w:tcPr>
          <w:p>
            <w:pPr>
              <w:spacing w:after="20" w:line="245" w:lineRule="auto"/>
            </w:pPr>
            <w:r>
              <w:rPr>
                <w:sz w:val="17"/>
              </w:rPr>
              <w:t>P1-05</w:t>
            </w:r>
          </w:p>
        </w:tc>
        <w:tc>
          <w:tcPr>
            <w:tcW w:type="dxa" w:w="2304"/>
            <w:tcMar>
              <w:top w:w="90" w:type="dxa"/>
              <w:start w:w="110" w:type="dxa"/>
              <w:bottom w:w="90" w:type="dxa"/>
              <w:end w:w="110" w:type="dxa"/>
            </w:tcMar>
            <w:vAlign w:val="top"/>
          </w:tcPr>
          <w:p>
            <w:pPr>
              <w:spacing w:after="20" w:line="245" w:lineRule="auto"/>
            </w:pPr>
            <w:r>
              <w:rPr>
                <w:sz w:val="17"/>
              </w:rPr>
              <w:t>Predictive accuracy varies: 88%, 94%, 92%.</w:t>
            </w:r>
          </w:p>
        </w:tc>
        <w:tc>
          <w:tcPr>
            <w:tcW w:type="dxa" w:w="4824"/>
            <w:tcMar>
              <w:top w:w="90" w:type="dxa"/>
              <w:start w:w="110" w:type="dxa"/>
              <w:bottom w:w="90" w:type="dxa"/>
              <w:end w:w="110" w:type="dxa"/>
            </w:tcMar>
            <w:vAlign w:val="top"/>
          </w:tcPr>
          <w:p>
            <w:pPr>
              <w:spacing w:after="20" w:line="245" w:lineRule="auto"/>
            </w:pPr>
            <w:r>
              <w:rPr>
                <w:sz w:val="17"/>
              </w:rPr>
              <w:t>Define forecast horizon, dataset, error metric, cohort, and whether each figure is product, benchmark, or case-study specific.</w:t>
            </w:r>
          </w:p>
        </w:tc>
        <w:tc>
          <w:tcPr>
            <w:tcW w:type="dxa" w:w="1872"/>
            <w:tcMar>
              <w:top w:w="90" w:type="dxa"/>
              <w:start w:w="110" w:type="dxa"/>
              <w:bottom w:w="90" w:type="dxa"/>
              <w:end w:w="110" w:type="dxa"/>
            </w:tcMar>
            <w:vAlign w:val="top"/>
          </w:tcPr>
          <w:p>
            <w:pPr>
              <w:spacing w:after="20" w:line="245" w:lineRule="auto"/>
            </w:pPr>
            <w:r>
              <w:rPr>
                <w:sz w:val="17"/>
              </w:rPr>
              <w:t>Figures are scoped and no longer appear contradictory.</w:t>
            </w:r>
          </w:p>
        </w:tc>
      </w:tr>
      <w:tr>
        <w:tc>
          <w:tcPr>
            <w:tcW w:type="dxa" w:w="792"/>
            <w:tcMar>
              <w:top w:w="90" w:type="dxa"/>
              <w:start w:w="110" w:type="dxa"/>
              <w:bottom w:w="90" w:type="dxa"/>
              <w:end w:w="110" w:type="dxa"/>
            </w:tcMar>
            <w:vAlign w:val="top"/>
            <w:shd w:fill="F5F7FA"/>
          </w:tcPr>
          <w:p>
            <w:pPr>
              <w:spacing w:after="20" w:line="245" w:lineRule="auto"/>
            </w:pPr>
            <w:r>
              <w:rPr>
                <w:sz w:val="17"/>
              </w:rPr>
              <w:t>P1-06</w:t>
            </w:r>
          </w:p>
        </w:tc>
        <w:tc>
          <w:tcPr>
            <w:tcW w:type="dxa" w:w="2304"/>
            <w:tcMar>
              <w:top w:w="90" w:type="dxa"/>
              <w:start w:w="110" w:type="dxa"/>
              <w:bottom w:w="90" w:type="dxa"/>
              <w:end w:w="110" w:type="dxa"/>
            </w:tcMar>
            <w:vAlign w:val="top"/>
            <w:shd w:fill="F5F7FA"/>
          </w:tcPr>
          <w:p>
            <w:pPr>
              <w:spacing w:after="20" w:line="245" w:lineRule="auto"/>
            </w:pPr>
            <w:r>
              <w:rPr>
                <w:sz w:val="17"/>
              </w:rPr>
              <w:t>Case studies use generic client archetypes with exact outcomes.</w:t>
            </w:r>
          </w:p>
        </w:tc>
        <w:tc>
          <w:tcPr>
            <w:tcW w:type="dxa" w:w="4824"/>
            <w:tcMar>
              <w:top w:w="90" w:type="dxa"/>
              <w:start w:w="110" w:type="dxa"/>
              <w:bottom w:w="90" w:type="dxa"/>
              <w:end w:w="110" w:type="dxa"/>
            </w:tcMar>
            <w:vAlign w:val="top"/>
            <w:shd w:fill="F5F7FA"/>
          </w:tcPr>
          <w:p>
            <w:pPr>
              <w:spacing w:after="20" w:line="245" w:lineRule="auto"/>
            </w:pPr>
            <w:r>
              <w:rPr>
                <w:sz w:val="17"/>
              </w:rPr>
              <w:t>Add “anonymized verified customer” with approval and methodology, name the client with permission, or relabel as an illustrative scenario.</w:t>
            </w:r>
          </w:p>
        </w:tc>
        <w:tc>
          <w:tcPr>
            <w:tcW w:type="dxa" w:w="1872"/>
            <w:tcMar>
              <w:top w:w="90" w:type="dxa"/>
              <w:start w:w="110" w:type="dxa"/>
              <w:bottom w:w="90" w:type="dxa"/>
              <w:end w:w="110" w:type="dxa"/>
            </w:tcMar>
            <w:vAlign w:val="top"/>
            <w:shd w:fill="F5F7FA"/>
          </w:tcPr>
          <w:p>
            <w:pPr>
              <w:spacing w:after="20" w:line="245" w:lineRule="auto"/>
            </w:pPr>
            <w:r>
              <w:rPr>
                <w:sz w:val="17"/>
              </w:rPr>
              <w:t>Legal/customer approval exists for every outcome claim.</w:t>
            </w:r>
          </w:p>
        </w:tc>
      </w:tr>
      <w:tr>
        <w:tc>
          <w:tcPr>
            <w:tcW w:type="dxa" w:w="792"/>
            <w:tcMar>
              <w:top w:w="90" w:type="dxa"/>
              <w:start w:w="110" w:type="dxa"/>
              <w:bottom w:w="90" w:type="dxa"/>
              <w:end w:w="110" w:type="dxa"/>
            </w:tcMar>
            <w:vAlign w:val="top"/>
          </w:tcPr>
          <w:p>
            <w:pPr>
              <w:spacing w:after="20" w:line="245" w:lineRule="auto"/>
            </w:pPr>
            <w:r>
              <w:rPr>
                <w:sz w:val="17"/>
              </w:rPr>
              <w:t>P1-07</w:t>
            </w:r>
          </w:p>
        </w:tc>
        <w:tc>
          <w:tcPr>
            <w:tcW w:type="dxa" w:w="2304"/>
            <w:tcMar>
              <w:top w:w="90" w:type="dxa"/>
              <w:start w:w="110" w:type="dxa"/>
              <w:bottom w:w="90" w:type="dxa"/>
              <w:end w:w="110" w:type="dxa"/>
            </w:tcMar>
            <w:vAlign w:val="top"/>
          </w:tcPr>
          <w:p>
            <w:pPr>
              <w:spacing w:after="20" w:line="245" w:lineRule="auto"/>
            </w:pPr>
            <w:r>
              <w:rPr>
                <w:sz w:val="17"/>
              </w:rPr>
              <w:t>Certifications/compliance claims lack evidence links.</w:t>
            </w:r>
          </w:p>
        </w:tc>
        <w:tc>
          <w:tcPr>
            <w:tcW w:type="dxa" w:w="4824"/>
            <w:tcMar>
              <w:top w:w="90" w:type="dxa"/>
              <w:start w:w="110" w:type="dxa"/>
              <w:bottom w:w="90" w:type="dxa"/>
              <w:end w:w="110" w:type="dxa"/>
            </w:tcMar>
            <w:vAlign w:val="top"/>
          </w:tcPr>
          <w:p>
            <w:pPr>
              <w:spacing w:after="20" w:line="245" w:lineRule="auto"/>
            </w:pPr>
            <w:r>
              <w:rPr>
                <w:sz w:val="17"/>
              </w:rPr>
              <w:t>Publish a Trust Center or remove SOC 2 Type II, ISO 27001, EU AI Act certification/readiness, certified connector, and similar claims until verified.</w:t>
            </w:r>
          </w:p>
        </w:tc>
        <w:tc>
          <w:tcPr>
            <w:tcW w:type="dxa" w:w="1872"/>
            <w:tcMar>
              <w:top w:w="90" w:type="dxa"/>
              <w:start w:w="110" w:type="dxa"/>
              <w:bottom w:w="90" w:type="dxa"/>
              <w:end w:w="110" w:type="dxa"/>
            </w:tcMar>
            <w:vAlign w:val="top"/>
          </w:tcPr>
          <w:p>
            <w:pPr>
              <w:spacing w:after="20" w:line="245" w:lineRule="auto"/>
            </w:pPr>
            <w:r>
              <w:rPr>
                <w:sz w:val="17"/>
              </w:rPr>
              <w:t>Certificate/audit scope, issuer, entity, dates, and limitations are available.</w:t>
            </w:r>
          </w:p>
        </w:tc>
      </w:tr>
      <w:tr>
        <w:tc>
          <w:tcPr>
            <w:tcW w:type="dxa" w:w="792"/>
            <w:tcMar>
              <w:top w:w="90" w:type="dxa"/>
              <w:start w:w="110" w:type="dxa"/>
              <w:bottom w:w="90" w:type="dxa"/>
              <w:end w:w="110" w:type="dxa"/>
            </w:tcMar>
            <w:vAlign w:val="top"/>
            <w:shd w:fill="F5F7FA"/>
          </w:tcPr>
          <w:p>
            <w:pPr>
              <w:spacing w:after="20" w:line="245" w:lineRule="auto"/>
            </w:pPr>
            <w:r>
              <w:rPr>
                <w:sz w:val="17"/>
              </w:rPr>
              <w:t>P1-08</w:t>
            </w:r>
          </w:p>
        </w:tc>
        <w:tc>
          <w:tcPr>
            <w:tcW w:type="dxa" w:w="2304"/>
            <w:tcMar>
              <w:top w:w="90" w:type="dxa"/>
              <w:start w:w="110" w:type="dxa"/>
              <w:bottom w:w="90" w:type="dxa"/>
              <w:end w:w="110" w:type="dxa"/>
            </w:tcMar>
            <w:vAlign w:val="top"/>
            <w:shd w:fill="F5F7FA"/>
          </w:tcPr>
          <w:p>
            <w:pPr>
              <w:spacing w:after="20" w:line="245" w:lineRule="auto"/>
            </w:pPr>
            <w:r>
              <w:rPr>
                <w:sz w:val="17"/>
              </w:rPr>
              <w:t>Contact form promises four-business-hour response.</w:t>
            </w:r>
          </w:p>
        </w:tc>
        <w:tc>
          <w:tcPr>
            <w:tcW w:type="dxa" w:w="4824"/>
            <w:tcMar>
              <w:top w:w="90" w:type="dxa"/>
              <w:start w:w="110" w:type="dxa"/>
              <w:bottom w:w="90" w:type="dxa"/>
              <w:end w:w="110" w:type="dxa"/>
            </w:tcMar>
            <w:vAlign w:val="top"/>
            <w:shd w:fill="F5F7FA"/>
          </w:tcPr>
          <w:p>
            <w:pPr>
              <w:spacing w:after="20" w:line="245" w:lineRule="auto"/>
            </w:pPr>
            <w:r>
              <w:rPr>
                <w:sz w:val="17"/>
              </w:rPr>
              <w:t>Confirm staffing and measurement; otherwise replace with a realistic response window.</w:t>
            </w:r>
          </w:p>
        </w:tc>
        <w:tc>
          <w:tcPr>
            <w:tcW w:type="dxa" w:w="1872"/>
            <w:tcMar>
              <w:top w:w="90" w:type="dxa"/>
              <w:start w:w="110" w:type="dxa"/>
              <w:bottom w:w="90" w:type="dxa"/>
              <w:end w:w="110" w:type="dxa"/>
            </w:tcMar>
            <w:vAlign w:val="top"/>
            <w:shd w:fill="F5F7FA"/>
          </w:tcPr>
          <w:p>
            <w:pPr>
              <w:spacing w:after="20" w:line="245" w:lineRule="auto"/>
            </w:pPr>
            <w:r>
              <w:rPr>
                <w:sz w:val="17"/>
              </w:rPr>
              <w:t>SLA is owned, monitored, and met.</w:t>
            </w:r>
          </w:p>
        </w:tc>
      </w:tr>
      <w:tr>
        <w:tc>
          <w:tcPr>
            <w:tcW w:type="dxa" w:w="792"/>
            <w:tcMar>
              <w:top w:w="90" w:type="dxa"/>
              <w:start w:w="110" w:type="dxa"/>
              <w:bottom w:w="90" w:type="dxa"/>
              <w:end w:w="110" w:type="dxa"/>
            </w:tcMar>
            <w:vAlign w:val="top"/>
          </w:tcPr>
          <w:p>
            <w:pPr>
              <w:spacing w:after="20" w:line="245" w:lineRule="auto"/>
            </w:pPr>
            <w:r>
              <w:rPr>
                <w:sz w:val="17"/>
              </w:rPr>
              <w:t>P1-09</w:t>
            </w:r>
          </w:p>
        </w:tc>
        <w:tc>
          <w:tcPr>
            <w:tcW w:type="dxa" w:w="2304"/>
            <w:tcMar>
              <w:top w:w="90" w:type="dxa"/>
              <w:start w:w="110" w:type="dxa"/>
              <w:bottom w:w="90" w:type="dxa"/>
              <w:end w:w="110" w:type="dxa"/>
            </w:tcMar>
            <w:vAlign w:val="top"/>
          </w:tcPr>
          <w:p>
            <w:pPr>
              <w:spacing w:after="20" w:line="245" w:lineRule="auto"/>
            </w:pPr>
            <w:r>
              <w:rPr>
                <w:sz w:val="17"/>
              </w:rPr>
              <w:t>No reachable Terms of Service; no social links found.</w:t>
            </w:r>
          </w:p>
        </w:tc>
        <w:tc>
          <w:tcPr>
            <w:tcW w:type="dxa" w:w="4824"/>
            <w:tcMar>
              <w:top w:w="90" w:type="dxa"/>
              <w:start w:w="110" w:type="dxa"/>
              <w:bottom w:w="90" w:type="dxa"/>
              <w:end w:w="110" w:type="dxa"/>
            </w:tcMar>
            <w:vAlign w:val="top"/>
          </w:tcPr>
          <w:p>
            <w:pPr>
              <w:spacing w:after="20" w:line="245" w:lineRule="auto"/>
            </w:pPr>
            <w:r>
              <w:rPr>
                <w:sz w:val="17"/>
              </w:rPr>
              <w:t>Publish appropriate Terms and add only verified, maintained social accounts.</w:t>
            </w:r>
          </w:p>
        </w:tc>
        <w:tc>
          <w:tcPr>
            <w:tcW w:type="dxa" w:w="1872"/>
            <w:tcMar>
              <w:top w:w="90" w:type="dxa"/>
              <w:start w:w="110" w:type="dxa"/>
              <w:bottom w:w="90" w:type="dxa"/>
              <w:end w:w="110" w:type="dxa"/>
            </w:tcMar>
            <w:vAlign w:val="top"/>
          </w:tcPr>
          <w:p>
            <w:pPr>
              <w:spacing w:after="20" w:line="245" w:lineRule="auto"/>
            </w:pPr>
            <w:r>
              <w:rPr>
                <w:sz w:val="17"/>
              </w:rPr>
              <w:t>Legal footer contains working Privacy and Terms links; social links resolve to official profiles.</w:t>
            </w:r>
          </w:p>
        </w:tc>
      </w:tr>
    </w:tbl>
    <w:p>
      <w:pPr>
        <w:spacing w:after="20"/>
      </w:pPr>
    </w:p>
    <w:p>
      <w:pPr>
        <w:pStyle w:val="Heading1"/>
      </w:pPr>
      <w:r>
        <w:t>4. Calculator and assessment changes</w:t>
      </w:r>
    </w:p>
    <w:p>
      <w:r>
        <w:t>The tools operate, but their outputs can undermine trust if presented as decision-grade financial analysis without transparent assumptions and guardrails.</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331"/>
        <w:gridCol w:w="3331"/>
        <w:gridCol w:w="3331"/>
      </w:tblGrid>
      <w:tr>
        <w:trPr>
          <w:tblHeader w:val="true"/>
        </w:trPr>
        <w:tc>
          <w:tcPr>
            <w:tcW w:type="dxa" w:w="1800"/>
            <w:shd w:fill="142B4A"/>
            <w:tcMar>
              <w:top w:w="90" w:type="dxa"/>
              <w:start w:w="110" w:type="dxa"/>
              <w:bottom w:w="90" w:type="dxa"/>
              <w:end w:w="110" w:type="dxa"/>
            </w:tcMar>
          </w:tcPr>
          <w:p>
            <w:r>
              <w:rPr>
                <w:b/>
                <w:color w:val="FFFFFF"/>
                <w:sz w:val="18"/>
              </w:rPr>
              <w:t>Component</w:t>
            </w:r>
          </w:p>
        </w:tc>
        <w:tc>
          <w:tcPr>
            <w:tcW w:type="dxa" w:w="3456"/>
            <w:shd w:fill="142B4A"/>
            <w:tcMar>
              <w:top w:w="90" w:type="dxa"/>
              <w:start w:w="110" w:type="dxa"/>
              <w:bottom w:w="90" w:type="dxa"/>
              <w:end w:w="110" w:type="dxa"/>
            </w:tcMar>
          </w:tcPr>
          <w:p>
            <w:r>
              <w:rPr>
                <w:b/>
                <w:color w:val="FFFFFF"/>
                <w:sz w:val="18"/>
              </w:rPr>
              <w:t>Observed problem</w:t>
            </w:r>
          </w:p>
        </w:tc>
        <w:tc>
          <w:tcPr>
            <w:tcW w:type="dxa" w:w="4896"/>
            <w:shd w:fill="142B4A"/>
            <w:tcMar>
              <w:top w:w="90" w:type="dxa"/>
              <w:start w:w="110" w:type="dxa"/>
              <w:bottom w:w="90" w:type="dxa"/>
              <w:end w:w="110" w:type="dxa"/>
            </w:tcMar>
          </w:tcPr>
          <w:p>
            <w:r>
              <w:rPr>
                <w:b/>
                <w:color w:val="FFFFFF"/>
                <w:sz w:val="18"/>
              </w:rPr>
              <w:t>Required replacement/update</w:t>
            </w:r>
          </w:p>
        </w:tc>
      </w:tr>
      <w:tr>
        <w:tc>
          <w:tcPr>
            <w:tcW w:type="dxa" w:w="1800"/>
            <w:tcMar>
              <w:top w:w="90" w:type="dxa"/>
              <w:start w:w="110" w:type="dxa"/>
              <w:bottom w:w="90" w:type="dxa"/>
              <w:end w:w="110" w:type="dxa"/>
            </w:tcMar>
            <w:vAlign w:val="top"/>
          </w:tcPr>
          <w:p>
            <w:pPr>
              <w:spacing w:after="20" w:line="245" w:lineRule="auto"/>
            </w:pPr>
            <w:r>
              <w:rPr>
                <w:sz w:val="17"/>
              </w:rPr>
              <w:t>Assessment roadmap</w:t>
            </w:r>
          </w:p>
        </w:tc>
        <w:tc>
          <w:tcPr>
            <w:tcW w:type="dxa" w:w="3456"/>
            <w:tcMar>
              <w:top w:w="90" w:type="dxa"/>
              <w:start w:w="110" w:type="dxa"/>
              <w:bottom w:w="90" w:type="dxa"/>
              <w:end w:w="110" w:type="dxa"/>
            </w:tcMar>
            <w:vAlign w:val="top"/>
          </w:tcPr>
          <w:p>
            <w:pPr>
              <w:spacing w:after="20" w:line="245" w:lineRule="auto"/>
            </w:pPr>
            <w:r>
              <w:rPr>
                <w:sz w:val="17"/>
              </w:rPr>
              <w:t>Generated recommendations included 519-, 726-, and 344-month paybacks, yet presented them as recommended strategic initiatives.</w:t>
            </w:r>
          </w:p>
        </w:tc>
        <w:tc>
          <w:tcPr>
            <w:tcW w:type="dxa" w:w="4896"/>
            <w:tcMar>
              <w:top w:w="90" w:type="dxa"/>
              <w:start w:w="110" w:type="dxa"/>
              <w:bottom w:w="90" w:type="dxa"/>
              <w:end w:w="110" w:type="dxa"/>
            </w:tcMar>
            <w:vAlign w:val="top"/>
          </w:tcPr>
          <w:p>
            <w:pPr>
              <w:spacing w:after="20" w:line="245" w:lineRule="auto"/>
            </w:pPr>
            <w:r>
              <w:rPr>
                <w:sz w:val="17"/>
              </w:rPr>
              <w:t>Add viability rules: reject or clearly flag recommendations above an approved payback threshold; explain why an opportunity is not recommended.</w:t>
            </w:r>
          </w:p>
        </w:tc>
      </w:tr>
      <w:tr>
        <w:tc>
          <w:tcPr>
            <w:tcW w:type="dxa" w:w="1800"/>
            <w:tcMar>
              <w:top w:w="90" w:type="dxa"/>
              <w:start w:w="110" w:type="dxa"/>
              <w:bottom w:w="90" w:type="dxa"/>
              <w:end w:w="110" w:type="dxa"/>
            </w:tcMar>
            <w:vAlign w:val="top"/>
            <w:shd w:fill="F5F7FA"/>
          </w:tcPr>
          <w:p>
            <w:pPr>
              <w:spacing w:after="20" w:line="245" w:lineRule="auto"/>
            </w:pPr>
            <w:r>
              <w:rPr>
                <w:sz w:val="17"/>
              </w:rPr>
              <w:t>Assessment state</w:t>
            </w:r>
          </w:p>
        </w:tc>
        <w:tc>
          <w:tcPr>
            <w:tcW w:type="dxa" w:w="3456"/>
            <w:tcMar>
              <w:top w:w="90" w:type="dxa"/>
              <w:start w:w="110" w:type="dxa"/>
              <w:bottom w:w="90" w:type="dxa"/>
              <w:end w:w="110" w:type="dxa"/>
            </w:tcMar>
            <w:vAlign w:val="top"/>
            <w:shd w:fill="F5F7FA"/>
          </w:tcPr>
          <w:p>
            <w:pPr>
              <w:spacing w:after="20" w:line="245" w:lineRule="auto"/>
            </w:pPr>
            <w:r>
              <w:rPr>
                <w:sz w:val="17"/>
              </w:rPr>
              <w:t>The assessment reopened at step 6 with prior values; industry query variants did not clearly restart or personalize the flow.</w:t>
            </w:r>
          </w:p>
        </w:tc>
        <w:tc>
          <w:tcPr>
            <w:tcW w:type="dxa" w:w="4896"/>
            <w:tcMar>
              <w:top w:w="90" w:type="dxa"/>
              <w:start w:w="110" w:type="dxa"/>
              <w:bottom w:w="90" w:type="dxa"/>
              <w:end w:w="110" w:type="dxa"/>
            </w:tcMar>
            <w:vAlign w:val="top"/>
            <w:shd w:fill="F5F7FA"/>
          </w:tcPr>
          <w:p>
            <w:pPr>
              <w:spacing w:after="20" w:line="245" w:lineRule="auto"/>
            </w:pPr>
            <w:r>
              <w:rPr>
                <w:sz w:val="17"/>
              </w:rPr>
              <w:t>Provide “Start new assessment / Reset” control, disclose local persistence, and map query parameters deterministically.</w:t>
            </w:r>
          </w:p>
        </w:tc>
      </w:tr>
      <w:tr>
        <w:tc>
          <w:tcPr>
            <w:tcW w:type="dxa" w:w="1800"/>
            <w:tcMar>
              <w:top w:w="90" w:type="dxa"/>
              <w:start w:w="110" w:type="dxa"/>
              <w:bottom w:w="90" w:type="dxa"/>
              <w:end w:w="110" w:type="dxa"/>
            </w:tcMar>
            <w:vAlign w:val="top"/>
          </w:tcPr>
          <w:p>
            <w:pPr>
              <w:spacing w:after="20" w:line="245" w:lineRule="auto"/>
            </w:pPr>
            <w:r>
              <w:rPr>
                <w:sz w:val="17"/>
              </w:rPr>
              <w:t>Assessment copy</w:t>
            </w:r>
          </w:p>
        </w:tc>
        <w:tc>
          <w:tcPr>
            <w:tcW w:type="dxa" w:w="3456"/>
            <w:tcMar>
              <w:top w:w="90" w:type="dxa"/>
              <w:start w:w="110" w:type="dxa"/>
              <w:bottom w:w="90" w:type="dxa"/>
              <w:end w:w="110" w:type="dxa"/>
            </w:tcMar>
            <w:vAlign w:val="top"/>
          </w:tcPr>
          <w:p>
            <w:pPr>
              <w:spacing w:after="20" w:line="245" w:lineRule="auto"/>
            </w:pPr>
            <w:r>
              <w:rPr>
                <w:sz w:val="17"/>
              </w:rPr>
              <w:t>Mechanical labels such as “Genai Doc Intelligence” and “Conversational Erp.”</w:t>
            </w:r>
          </w:p>
        </w:tc>
        <w:tc>
          <w:tcPr>
            <w:tcW w:type="dxa" w:w="4896"/>
            <w:tcMar>
              <w:top w:w="90" w:type="dxa"/>
              <w:start w:w="110" w:type="dxa"/>
              <w:bottom w:w="90" w:type="dxa"/>
              <w:end w:w="110" w:type="dxa"/>
            </w:tcMar>
            <w:vAlign w:val="top"/>
          </w:tcPr>
          <w:p>
            <w:pPr>
              <w:spacing w:after="20" w:line="245" w:lineRule="auto"/>
            </w:pPr>
            <w:r>
              <w:rPr>
                <w:sz w:val="17"/>
              </w:rPr>
              <w:t>Use approved display-name mapping rather than slug-to-title conversion.</w:t>
            </w:r>
          </w:p>
        </w:tc>
      </w:tr>
      <w:tr>
        <w:tc>
          <w:tcPr>
            <w:tcW w:type="dxa" w:w="1800"/>
            <w:tcMar>
              <w:top w:w="90" w:type="dxa"/>
              <w:start w:w="110" w:type="dxa"/>
              <w:bottom w:w="90" w:type="dxa"/>
              <w:end w:w="110" w:type="dxa"/>
            </w:tcMar>
            <w:vAlign w:val="top"/>
            <w:shd w:fill="F5F7FA"/>
          </w:tcPr>
          <w:p>
            <w:pPr>
              <w:spacing w:after="20" w:line="245" w:lineRule="auto"/>
            </w:pPr>
            <w:r>
              <w:rPr>
                <w:sz w:val="17"/>
              </w:rPr>
              <w:t>ROI model</w:t>
            </w:r>
          </w:p>
        </w:tc>
        <w:tc>
          <w:tcPr>
            <w:tcW w:type="dxa" w:w="3456"/>
            <w:tcMar>
              <w:top w:w="90" w:type="dxa"/>
              <w:start w:w="110" w:type="dxa"/>
              <w:bottom w:w="90" w:type="dxa"/>
              <w:end w:w="110" w:type="dxa"/>
            </w:tcMar>
            <w:vAlign w:val="top"/>
            <w:shd w:fill="F5F7FA"/>
          </w:tcPr>
          <w:p>
            <w:pPr>
              <w:spacing w:after="20" w:line="245" w:lineRule="auto"/>
            </w:pPr>
            <w:r>
              <w:rPr>
                <w:sz w:val="17"/>
              </w:rPr>
              <w:t>Default result showed $1.576M annual savings and 0.6-month payback while FAQ says typical payback is 3-8 months.</w:t>
            </w:r>
          </w:p>
        </w:tc>
        <w:tc>
          <w:tcPr>
            <w:tcW w:type="dxa" w:w="4896"/>
            <w:tcMar>
              <w:top w:w="90" w:type="dxa"/>
              <w:start w:w="110" w:type="dxa"/>
              <w:bottom w:w="90" w:type="dxa"/>
              <w:end w:w="110" w:type="dxa"/>
            </w:tcMar>
            <w:vAlign w:val="top"/>
            <w:shd w:fill="F5F7FA"/>
          </w:tcPr>
          <w:p>
            <w:pPr>
              <w:spacing w:after="20" w:line="245" w:lineRule="auto"/>
            </w:pPr>
            <w:r>
              <w:rPr>
                <w:sz w:val="17"/>
              </w:rPr>
              <w:t>Reconcile formula, implementation cost, ramp time, confidence intervals, and FAQ; show low/base/high scenarios.</w:t>
            </w:r>
          </w:p>
        </w:tc>
      </w:tr>
      <w:tr>
        <w:tc>
          <w:tcPr>
            <w:tcW w:type="dxa" w:w="1800"/>
            <w:tcMar>
              <w:top w:w="90" w:type="dxa"/>
              <w:start w:w="110" w:type="dxa"/>
              <w:bottom w:w="90" w:type="dxa"/>
              <w:end w:w="110" w:type="dxa"/>
            </w:tcMar>
            <w:vAlign w:val="top"/>
          </w:tcPr>
          <w:p>
            <w:pPr>
              <w:spacing w:after="20" w:line="245" w:lineRule="auto"/>
            </w:pPr>
            <w:r>
              <w:rPr>
                <w:sz w:val="17"/>
              </w:rPr>
              <w:t>ROI benchmarks</w:t>
            </w:r>
          </w:p>
        </w:tc>
        <w:tc>
          <w:tcPr>
            <w:tcW w:type="dxa" w:w="3456"/>
            <w:tcMar>
              <w:top w:w="90" w:type="dxa"/>
              <w:start w:w="110" w:type="dxa"/>
              <w:bottom w:w="90" w:type="dxa"/>
              <w:end w:w="110" w:type="dxa"/>
            </w:tcMar>
            <w:vAlign w:val="top"/>
          </w:tcPr>
          <w:p>
            <w:pPr>
              <w:spacing w:after="20" w:line="245" w:lineRule="auto"/>
            </w:pPr>
            <w:r>
              <w:rPr>
                <w:sz w:val="17"/>
              </w:rPr>
              <w:t>“LIVE MARKET BENCHMARKS (AUG 2026)” and “18.2M SIM units” have no citations.</w:t>
            </w:r>
          </w:p>
        </w:tc>
        <w:tc>
          <w:tcPr>
            <w:tcW w:type="dxa" w:w="4896"/>
            <w:tcMar>
              <w:top w:w="90" w:type="dxa"/>
              <w:start w:w="110" w:type="dxa"/>
              <w:bottom w:w="90" w:type="dxa"/>
              <w:end w:w="110" w:type="dxa"/>
            </w:tcMar>
            <w:vAlign w:val="top"/>
          </w:tcPr>
          <w:p>
            <w:pPr>
              <w:spacing w:after="20" w:line="245" w:lineRule="auto"/>
            </w:pPr>
            <w:r>
              <w:rPr>
                <w:sz w:val="17"/>
              </w:rPr>
              <w:t>Replace “live” with a dated, sourced benchmark statement; publish methodology and distinguish simulated from production data.</w:t>
            </w:r>
          </w:p>
        </w:tc>
      </w:tr>
      <w:tr>
        <w:tc>
          <w:tcPr>
            <w:tcW w:type="dxa" w:w="1800"/>
            <w:tcMar>
              <w:top w:w="90" w:type="dxa"/>
              <w:start w:w="110" w:type="dxa"/>
              <w:bottom w:w="90" w:type="dxa"/>
              <w:end w:w="110" w:type="dxa"/>
            </w:tcMar>
            <w:vAlign w:val="top"/>
            <w:shd w:fill="F5F7FA"/>
          </w:tcPr>
          <w:p>
            <w:pPr>
              <w:spacing w:after="20" w:line="245" w:lineRule="auto"/>
            </w:pPr>
            <w:r>
              <w:rPr>
                <w:sz w:val="17"/>
              </w:rPr>
              <w:t>Cost of Inaction</w:t>
            </w:r>
          </w:p>
        </w:tc>
        <w:tc>
          <w:tcPr>
            <w:tcW w:type="dxa" w:w="3456"/>
            <w:tcMar>
              <w:top w:w="90" w:type="dxa"/>
              <w:start w:w="110" w:type="dxa"/>
              <w:bottom w:w="90" w:type="dxa"/>
              <w:end w:w="110" w:type="dxa"/>
            </w:tcMar>
            <w:vAlign w:val="top"/>
            <w:shd w:fill="F5F7FA"/>
          </w:tcPr>
          <w:p>
            <w:pPr>
              <w:spacing w:after="20" w:line="245" w:lineRule="auto"/>
            </w:pPr>
            <w:r>
              <w:rPr>
                <w:sz w:val="17"/>
              </w:rPr>
              <w:t>$2.642M three-year leakage appears precise without sufficient methodology.</w:t>
            </w:r>
          </w:p>
        </w:tc>
        <w:tc>
          <w:tcPr>
            <w:tcW w:type="dxa" w:w="4896"/>
            <w:tcMar>
              <w:top w:w="90" w:type="dxa"/>
              <w:start w:w="110" w:type="dxa"/>
              <w:bottom w:w="90" w:type="dxa"/>
              <w:end w:w="110" w:type="dxa"/>
            </w:tcMar>
            <w:vAlign w:val="top"/>
            <w:shd w:fill="F5F7FA"/>
          </w:tcPr>
          <w:p>
            <w:pPr>
              <w:spacing w:after="20" w:line="245" w:lineRule="auto"/>
            </w:pPr>
            <w:r>
              <w:rPr>
                <w:sz w:val="17"/>
              </w:rPr>
              <w:t>Expose formulas, editable assumptions, source dates, scenario sensitivity, exclusions, and a clear “illustrative estimate” disclaimer.</w:t>
            </w:r>
          </w:p>
        </w:tc>
      </w:tr>
      <w:tr>
        <w:tc>
          <w:tcPr>
            <w:tcW w:type="dxa" w:w="1800"/>
            <w:tcMar>
              <w:top w:w="90" w:type="dxa"/>
              <w:start w:w="110" w:type="dxa"/>
              <w:bottom w:w="90" w:type="dxa"/>
              <w:end w:w="110" w:type="dxa"/>
            </w:tcMar>
            <w:vAlign w:val="top"/>
          </w:tcPr>
          <w:p>
            <w:pPr>
              <w:spacing w:after="20" w:line="245" w:lineRule="auto"/>
            </w:pPr>
            <w:r>
              <w:rPr>
                <w:sz w:val="17"/>
              </w:rPr>
              <w:t>Email/export</w:t>
            </w:r>
          </w:p>
        </w:tc>
        <w:tc>
          <w:tcPr>
            <w:tcW w:type="dxa" w:w="3456"/>
            <w:tcMar>
              <w:top w:w="90" w:type="dxa"/>
              <w:start w:w="110" w:type="dxa"/>
              <w:bottom w:w="90" w:type="dxa"/>
              <w:end w:w="110" w:type="dxa"/>
            </w:tcMar>
            <w:vAlign w:val="top"/>
          </w:tcPr>
          <w:p>
            <w:pPr>
              <w:spacing w:after="20" w:line="245" w:lineRule="auto"/>
            </w:pPr>
            <w:r>
              <w:rPr>
                <w:sz w:val="17"/>
              </w:rPr>
              <w:t>Export and report flows request email.</w:t>
            </w:r>
          </w:p>
        </w:tc>
        <w:tc>
          <w:tcPr>
            <w:tcW w:type="dxa" w:w="4896"/>
            <w:tcMar>
              <w:top w:w="90" w:type="dxa"/>
              <w:start w:w="110" w:type="dxa"/>
              <w:bottom w:w="90" w:type="dxa"/>
              <w:end w:w="110" w:type="dxa"/>
            </w:tcMar>
            <w:vAlign w:val="top"/>
          </w:tcPr>
          <w:p>
            <w:pPr>
              <w:spacing w:after="20" w:line="245" w:lineRule="auto"/>
            </w:pPr>
            <w:r>
              <w:rPr>
                <w:sz w:val="17"/>
              </w:rPr>
              <w:t>Do not enable until Privacy, consent, retention, delivery endpoint, and security testing pass.</w:t>
            </w:r>
          </w:p>
        </w:tc>
      </w:tr>
    </w:tbl>
    <w:p>
      <w:pPr>
        <w:spacing w:after="20"/>
      </w:pPr>
    </w:p>
    <w:p>
      <w:pPr>
        <w:pStyle w:val="Heading1"/>
      </w:pPr>
      <w:r>
        <w:t>5. SEO, content quality, accessibility, and responsive changes</w:t>
      </w:r>
    </w:p>
    <w:p>
      <w:pPr>
        <w:pStyle w:val="ListBullet"/>
        <w:spacing w:after="60"/>
        <w:ind w:left="346" w:hanging="230"/>
      </w:pPr>
      <w:r>
        <w:t>Replace duplicated titles such as “... | Flowtaris AI | Flowtaris AI” with one unique, page-specific title.</w:t>
      </w:r>
    </w:p>
    <w:p>
      <w:pPr>
        <w:pStyle w:val="ListBullet"/>
        <w:spacing w:after="60"/>
        <w:ind w:left="346" w:hanging="230"/>
      </w:pPr>
      <w:r>
        <w:t>Use page-specific canonicals. Do not canonicalize unrelated pages to https://flowtaris.ai/ while that domain is parked.</w:t>
      </w:r>
    </w:p>
    <w:p>
      <w:pPr>
        <w:pStyle w:val="ListBullet"/>
        <w:spacing w:after="60"/>
        <w:ind w:left="346" w:hanging="230"/>
      </w:pPr>
      <w:r>
        <w:t>Add one meaningful H1 to Assessment and ROI Calculator.</w:t>
      </w:r>
    </w:p>
    <w:p>
      <w:pPr>
        <w:pStyle w:val="ListBullet"/>
        <w:spacing w:after="60"/>
        <w:ind w:left="346" w:hanging="230"/>
      </w:pPr>
      <w:r>
        <w:t>Set error pages to noindex and ensure 404s return the correct HTTP status rather than only rendering “404” text.</w:t>
      </w:r>
    </w:p>
    <w:p>
      <w:pPr>
        <w:pStyle w:val="ListBullet"/>
        <w:spacing w:after="60"/>
        <w:ind w:left="346" w:hanging="230"/>
      </w:pPr>
      <w:r>
        <w:t>Render headings as text with layout styling; remove literal “&lt;br/&gt;” from Insights, Platforms, About, and Contact headings.</w:t>
      </w:r>
    </w:p>
    <w:p>
      <w:pPr>
        <w:pStyle w:val="ListBullet"/>
        <w:spacing w:after="60"/>
        <w:ind w:left="346" w:hanging="230"/>
      </w:pPr>
      <w:r>
        <w:t>Remove visible development residue such as “X: 0.0deg Y: 0.0deg.”</w:t>
      </w:r>
    </w:p>
    <w:p>
      <w:pPr>
        <w:pStyle w:val="ListBullet"/>
        <w:spacing w:after="60"/>
        <w:ind w:left="346" w:hanging="230"/>
      </w:pPr>
      <w:r>
        <w:t>Replace internal-facing copy such as “GEO-optimized for AI search visibility” with customer-facing editorial positioning.</w:t>
      </w:r>
    </w:p>
    <w:p>
      <w:pPr>
        <w:pStyle w:val="ListBullet"/>
        <w:spacing w:after="60"/>
        <w:ind w:left="346" w:hanging="230"/>
      </w:pPr>
      <w:r>
        <w:t>Add accessible names to mobile icon controls; verify focus order, keyboard operation, visible focus, labels, contrast, and error messaging.</w:t>
      </w:r>
    </w:p>
    <w:p>
      <w:pPr>
        <w:pStyle w:val="ListBullet"/>
        <w:spacing w:after="60"/>
        <w:ind w:left="346" w:hanging="230"/>
      </w:pPr>
      <w:r>
        <w:t>Re-test Contact from a clean mobile load; its heading appeared displaced above the viewport during the responsive pass.</w:t>
      </w:r>
    </w:p>
    <w:p>
      <w:pPr>
        <w:pStyle w:val="ListBullet"/>
        <w:spacing w:after="60"/>
        <w:ind w:left="346" w:hanging="230"/>
      </w:pPr>
      <w:r>
        <w:t>Add an approved copyright notice and legal entity name in the footer.</w:t>
      </w:r>
    </w:p>
    <w:p>
      <w:pPr>
        <w:pStyle w:val="ListBullet"/>
        <w:spacing w:after="60"/>
        <w:ind w:left="346" w:hanging="230"/>
      </w:pPr>
      <w:r>
        <w:t>Standardize interior/footer navigation so critical legal and contact links appear consistently.</w:t>
      </w:r>
    </w:p>
    <w:p>
      <w:pPr>
        <w:pStyle w:val="Heading1"/>
      </w:pPr>
      <w:r>
        <w:t>6. Page-by-page implementation inventory</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331"/>
        <w:gridCol w:w="3331"/>
        <w:gridCol w:w="3331"/>
      </w:tblGrid>
      <w:tr>
        <w:trPr>
          <w:tblHeader w:val="true"/>
        </w:trPr>
        <w:tc>
          <w:tcPr>
            <w:tcW w:type="dxa" w:w="2376"/>
            <w:shd w:fill="142B4A"/>
            <w:tcMar>
              <w:top w:w="90" w:type="dxa"/>
              <w:start w:w="110" w:type="dxa"/>
              <w:bottom w:w="90" w:type="dxa"/>
              <w:end w:w="110" w:type="dxa"/>
            </w:tcMar>
          </w:tcPr>
          <w:p>
            <w:r>
              <w:rPr>
                <w:b/>
                <w:color w:val="FFFFFF"/>
                <w:sz w:val="18"/>
              </w:rPr>
              <w:t>Page / route</w:t>
            </w:r>
          </w:p>
        </w:tc>
        <w:tc>
          <w:tcPr>
            <w:tcW w:type="dxa" w:w="1800"/>
            <w:shd w:fill="142B4A"/>
            <w:tcMar>
              <w:top w:w="90" w:type="dxa"/>
              <w:start w:w="110" w:type="dxa"/>
              <w:bottom w:w="90" w:type="dxa"/>
              <w:end w:w="110" w:type="dxa"/>
            </w:tcMar>
          </w:tcPr>
          <w:p>
            <w:r>
              <w:rPr>
                <w:b/>
                <w:color w:val="FFFFFF"/>
                <w:sz w:val="18"/>
              </w:rPr>
              <w:t>Current status</w:t>
            </w:r>
          </w:p>
        </w:tc>
        <w:tc>
          <w:tcPr>
            <w:tcW w:type="dxa" w:w="5976"/>
            <w:shd w:fill="142B4A"/>
            <w:tcMar>
              <w:top w:w="90" w:type="dxa"/>
              <w:start w:w="110" w:type="dxa"/>
              <w:bottom w:w="90" w:type="dxa"/>
              <w:end w:w="110" w:type="dxa"/>
            </w:tcMar>
          </w:tcPr>
          <w:p>
            <w:r>
              <w:rPr>
                <w:b/>
                <w:color w:val="FFFFFF"/>
                <w:sz w:val="18"/>
              </w:rPr>
              <w:t>Required work</w:t>
            </w:r>
          </w:p>
        </w:tc>
      </w:tr>
      <w:tr>
        <w:tc>
          <w:tcPr>
            <w:tcW w:type="dxa" w:w="2376"/>
            <w:tcMar>
              <w:top w:w="90" w:type="dxa"/>
              <w:start w:w="110" w:type="dxa"/>
              <w:bottom w:w="90" w:type="dxa"/>
              <w:end w:w="110" w:type="dxa"/>
            </w:tcMar>
            <w:vAlign w:val="top"/>
          </w:tcPr>
          <w:p>
            <w:pPr>
              <w:spacing w:after="20" w:line="245" w:lineRule="auto"/>
            </w:pPr>
            <w:r>
              <w:rPr>
                <w:sz w:val="17"/>
              </w:rPr>
              <w:t>/</w:t>
            </w:r>
          </w:p>
        </w:tc>
        <w:tc>
          <w:tcPr>
            <w:tcW w:type="dxa" w:w="1800"/>
            <w:tcMar>
              <w:top w:w="90" w:type="dxa"/>
              <w:start w:w="110" w:type="dxa"/>
              <w:bottom w:w="90" w:type="dxa"/>
              <w:end w:w="110" w:type="dxa"/>
            </w:tcMar>
            <w:vAlign w:val="top"/>
          </w:tcPr>
          <w:p>
            <w:pPr>
              <w:spacing w:after="20" w:line="245" w:lineRule="auto"/>
            </w:pPr>
            <w:r>
              <w:rPr>
                <w:sz w:val="17"/>
              </w:rPr>
              <w:t>Needs repair</w:t>
            </w:r>
          </w:p>
        </w:tc>
        <w:tc>
          <w:tcPr>
            <w:tcW w:type="dxa" w:w="5976"/>
            <w:tcMar>
              <w:top w:w="90" w:type="dxa"/>
              <w:start w:w="110" w:type="dxa"/>
              <w:bottom w:w="90" w:type="dxa"/>
              <w:end w:w="110" w:type="dxa"/>
            </w:tcMar>
            <w:vAlign w:val="top"/>
          </w:tcPr>
          <w:p>
            <w:pPr>
              <w:spacing w:after="20" w:line="245" w:lineRule="auto"/>
            </w:pPr>
            <w:r>
              <w:rPr>
                <w:sz w:val="17"/>
              </w:rPr>
              <w:t>Fix four capability routes; replace Corporate; reconcile metrics/country claims; verify compliance and customer claims.</w:t>
            </w:r>
          </w:p>
        </w:tc>
      </w:tr>
      <w:tr>
        <w:tc>
          <w:tcPr>
            <w:tcW w:type="dxa" w:w="2376"/>
            <w:tcMar>
              <w:top w:w="90" w:type="dxa"/>
              <w:start w:w="110" w:type="dxa"/>
              <w:bottom w:w="90" w:type="dxa"/>
              <w:end w:w="110" w:type="dxa"/>
            </w:tcMar>
            <w:vAlign w:val="top"/>
            <w:shd w:fill="F5F7FA"/>
          </w:tcPr>
          <w:p>
            <w:pPr>
              <w:spacing w:after="20" w:line="245" w:lineRule="auto"/>
            </w:pPr>
            <w:r>
              <w:rPr>
                <w:sz w:val="17"/>
              </w:rPr>
              <w:t>/assessment</w:t>
            </w:r>
          </w:p>
        </w:tc>
        <w:tc>
          <w:tcPr>
            <w:tcW w:type="dxa" w:w="1800"/>
            <w:tcMar>
              <w:top w:w="90" w:type="dxa"/>
              <w:start w:w="110" w:type="dxa"/>
              <w:bottom w:w="90" w:type="dxa"/>
              <w:end w:w="110" w:type="dxa"/>
            </w:tcMar>
            <w:vAlign w:val="top"/>
            <w:shd w:fill="F5F7FA"/>
          </w:tcPr>
          <w:p>
            <w:pPr>
              <w:spacing w:after="20" w:line="245" w:lineRule="auto"/>
            </w:pPr>
            <w:r>
              <w:rPr>
                <w:sz w:val="17"/>
              </w:rPr>
              <w:t>Functional with logic issues</w:t>
            </w:r>
          </w:p>
        </w:tc>
        <w:tc>
          <w:tcPr>
            <w:tcW w:type="dxa" w:w="5976"/>
            <w:tcMar>
              <w:top w:w="90" w:type="dxa"/>
              <w:start w:w="110" w:type="dxa"/>
              <w:bottom w:w="90" w:type="dxa"/>
              <w:end w:w="110" w:type="dxa"/>
            </w:tcMar>
            <w:vAlign w:val="top"/>
            <w:shd w:fill="F5F7FA"/>
          </w:tcPr>
          <w:p>
            <w:pPr>
              <w:spacing w:after="20" w:line="245" w:lineRule="auto"/>
            </w:pPr>
            <w:r>
              <w:rPr>
                <w:sz w:val="17"/>
              </w:rPr>
              <w:t>Reset/state controls; query behavior; recommendation guardrails; naming; privacy before email report.</w:t>
            </w:r>
          </w:p>
        </w:tc>
      </w:tr>
      <w:tr>
        <w:tc>
          <w:tcPr>
            <w:tcW w:type="dxa" w:w="2376"/>
            <w:tcMar>
              <w:top w:w="90" w:type="dxa"/>
              <w:start w:w="110" w:type="dxa"/>
              <w:bottom w:w="90" w:type="dxa"/>
              <w:end w:w="110" w:type="dxa"/>
            </w:tcMar>
            <w:vAlign w:val="top"/>
          </w:tcPr>
          <w:p>
            <w:pPr>
              <w:spacing w:after="20" w:line="245" w:lineRule="auto"/>
            </w:pPr>
            <w:r>
              <w:rPr>
                <w:sz w:val="17"/>
              </w:rPr>
              <w:t>/roi-calculator</w:t>
            </w:r>
          </w:p>
        </w:tc>
        <w:tc>
          <w:tcPr>
            <w:tcW w:type="dxa" w:w="1800"/>
            <w:tcMar>
              <w:top w:w="90" w:type="dxa"/>
              <w:start w:w="110" w:type="dxa"/>
              <w:bottom w:w="90" w:type="dxa"/>
              <w:end w:w="110" w:type="dxa"/>
            </w:tcMar>
            <w:vAlign w:val="top"/>
          </w:tcPr>
          <w:p>
            <w:pPr>
              <w:spacing w:after="20" w:line="245" w:lineRule="auto"/>
            </w:pPr>
            <w:r>
              <w:rPr>
                <w:sz w:val="17"/>
              </w:rPr>
              <w:t>Functional with credibility issues</w:t>
            </w:r>
          </w:p>
        </w:tc>
        <w:tc>
          <w:tcPr>
            <w:tcW w:type="dxa" w:w="5976"/>
            <w:tcMar>
              <w:top w:w="90" w:type="dxa"/>
              <w:start w:w="110" w:type="dxa"/>
              <w:bottom w:w="90" w:type="dxa"/>
              <w:end w:w="110" w:type="dxa"/>
            </w:tcMar>
            <w:vAlign w:val="top"/>
          </w:tcPr>
          <w:p>
            <w:pPr>
              <w:spacing w:after="20" w:line="245" w:lineRule="auto"/>
            </w:pPr>
            <w:r>
              <w:rPr>
                <w:sz w:val="17"/>
              </w:rPr>
              <w:t>Methodology, citations, scenarios, formula/FAQ consistency, H1, privacy-gated export.</w:t>
            </w:r>
          </w:p>
        </w:tc>
      </w:tr>
      <w:tr>
        <w:tc>
          <w:tcPr>
            <w:tcW w:type="dxa" w:w="2376"/>
            <w:tcMar>
              <w:top w:w="90" w:type="dxa"/>
              <w:start w:w="110" w:type="dxa"/>
              <w:bottom w:w="90" w:type="dxa"/>
              <w:end w:w="110" w:type="dxa"/>
            </w:tcMar>
            <w:vAlign w:val="top"/>
            <w:shd w:fill="F5F7FA"/>
          </w:tcPr>
          <w:p>
            <w:pPr>
              <w:spacing w:after="20" w:line="245" w:lineRule="auto"/>
            </w:pPr>
            <w:r>
              <w:rPr>
                <w:sz w:val="17"/>
              </w:rPr>
              <w:t>/cost-of-inaction</w:t>
            </w:r>
          </w:p>
        </w:tc>
        <w:tc>
          <w:tcPr>
            <w:tcW w:type="dxa" w:w="1800"/>
            <w:tcMar>
              <w:top w:w="90" w:type="dxa"/>
              <w:start w:w="110" w:type="dxa"/>
              <w:bottom w:w="90" w:type="dxa"/>
              <w:end w:w="110" w:type="dxa"/>
            </w:tcMar>
            <w:vAlign w:val="top"/>
            <w:shd w:fill="F5F7FA"/>
          </w:tcPr>
          <w:p>
            <w:pPr>
              <w:spacing w:after="20" w:line="245" w:lineRule="auto"/>
            </w:pPr>
            <w:r>
              <w:rPr>
                <w:sz w:val="17"/>
              </w:rPr>
              <w:t>Functional with credibility issues</w:t>
            </w:r>
          </w:p>
        </w:tc>
        <w:tc>
          <w:tcPr>
            <w:tcW w:type="dxa" w:w="5976"/>
            <w:tcMar>
              <w:top w:w="90" w:type="dxa"/>
              <w:start w:w="110" w:type="dxa"/>
              <w:bottom w:w="90" w:type="dxa"/>
              <w:end w:w="110" w:type="dxa"/>
            </w:tcMar>
            <w:vAlign w:val="top"/>
            <w:shd w:fill="F5F7FA"/>
          </w:tcPr>
          <w:p>
            <w:pPr>
              <w:spacing w:after="20" w:line="245" w:lineRule="auto"/>
            </w:pPr>
            <w:r>
              <w:rPr>
                <w:sz w:val="17"/>
              </w:rPr>
              <w:t>Transparent formulas, sources, sensitivity, disclaimer, working review-booking CTA.</w:t>
            </w:r>
          </w:p>
        </w:tc>
      </w:tr>
      <w:tr>
        <w:tc>
          <w:tcPr>
            <w:tcW w:type="dxa" w:w="2376"/>
            <w:tcMar>
              <w:top w:w="90" w:type="dxa"/>
              <w:start w:w="110" w:type="dxa"/>
              <w:bottom w:w="90" w:type="dxa"/>
              <w:end w:w="110" w:type="dxa"/>
            </w:tcMar>
            <w:vAlign w:val="top"/>
          </w:tcPr>
          <w:p>
            <w:pPr>
              <w:spacing w:after="20" w:line="245" w:lineRule="auto"/>
            </w:pPr>
            <w:r>
              <w:rPr>
                <w:sz w:val="17"/>
              </w:rPr>
              <w:t>/capabilities</w:t>
            </w:r>
          </w:p>
        </w:tc>
        <w:tc>
          <w:tcPr>
            <w:tcW w:type="dxa" w:w="1800"/>
            <w:tcMar>
              <w:top w:w="90" w:type="dxa"/>
              <w:start w:w="110" w:type="dxa"/>
              <w:bottom w:w="90" w:type="dxa"/>
              <w:end w:w="110" w:type="dxa"/>
            </w:tcMar>
            <w:vAlign w:val="top"/>
          </w:tcPr>
          <w:p>
            <w:pPr>
              <w:spacing w:after="20" w:line="245" w:lineRule="auto"/>
            </w:pPr>
            <w:r>
              <w:rPr>
                <w:sz w:val="17"/>
              </w:rPr>
              <w:t>Loads</w:t>
            </w:r>
          </w:p>
        </w:tc>
        <w:tc>
          <w:tcPr>
            <w:tcW w:type="dxa" w:w="5976"/>
            <w:tcMar>
              <w:top w:w="90" w:type="dxa"/>
              <w:start w:w="110" w:type="dxa"/>
              <w:bottom w:w="90" w:type="dxa"/>
              <w:end w:w="110" w:type="dxa"/>
            </w:tcMar>
            <w:vAlign w:val="top"/>
          </w:tcPr>
          <w:p>
            <w:pPr>
              <w:spacing w:after="20" w:line="245" w:lineRule="auto"/>
            </w:pPr>
            <w:r>
              <w:rPr>
                <w:sz w:val="17"/>
              </w:rPr>
              <w:t>Verify “production-ready,” deployment-time, integrations, and ROI claims.</w:t>
            </w:r>
          </w:p>
        </w:tc>
      </w:tr>
      <w:tr>
        <w:tc>
          <w:tcPr>
            <w:tcW w:type="dxa" w:w="2376"/>
            <w:tcMar>
              <w:top w:w="90" w:type="dxa"/>
              <w:start w:w="110" w:type="dxa"/>
              <w:bottom w:w="90" w:type="dxa"/>
              <w:end w:w="110" w:type="dxa"/>
            </w:tcMar>
            <w:vAlign w:val="top"/>
            <w:shd w:fill="F5F7FA"/>
          </w:tcPr>
          <w:p>
            <w:pPr>
              <w:spacing w:after="20" w:line="245" w:lineRule="auto"/>
            </w:pPr>
            <w:r>
              <w:rPr>
                <w:sz w:val="17"/>
              </w:rPr>
              <w:t>Four valid capability pages</w:t>
            </w:r>
          </w:p>
        </w:tc>
        <w:tc>
          <w:tcPr>
            <w:tcW w:type="dxa" w:w="1800"/>
            <w:tcMar>
              <w:top w:w="90" w:type="dxa"/>
              <w:start w:w="110" w:type="dxa"/>
              <w:bottom w:w="90" w:type="dxa"/>
              <w:end w:w="110" w:type="dxa"/>
            </w:tcMar>
            <w:vAlign w:val="top"/>
            <w:shd w:fill="F5F7FA"/>
          </w:tcPr>
          <w:p>
            <w:pPr>
              <w:spacing w:after="20" w:line="245" w:lineRule="auto"/>
            </w:pPr>
            <w:r>
              <w:rPr>
                <w:sz w:val="17"/>
              </w:rPr>
              <w:t>Load</w:t>
            </w:r>
          </w:p>
        </w:tc>
        <w:tc>
          <w:tcPr>
            <w:tcW w:type="dxa" w:w="5976"/>
            <w:tcMar>
              <w:top w:w="90" w:type="dxa"/>
              <w:start w:w="110" w:type="dxa"/>
              <w:bottom w:w="90" w:type="dxa"/>
              <w:end w:w="110" w:type="dxa"/>
            </w:tcMar>
            <w:vAlign w:val="top"/>
            <w:shd w:fill="F5F7FA"/>
          </w:tcPr>
          <w:p>
            <w:pPr>
              <w:spacing w:after="20" w:line="245" w:lineRule="auto"/>
            </w:pPr>
            <w:r>
              <w:rPr>
                <w:sz w:val="17"/>
              </w:rPr>
              <w:t>Verify every product, accuracy, self-healing, time, compliance, and performance claim.</w:t>
            </w:r>
          </w:p>
        </w:tc>
      </w:tr>
      <w:tr>
        <w:tc>
          <w:tcPr>
            <w:tcW w:type="dxa" w:w="2376"/>
            <w:tcMar>
              <w:top w:w="90" w:type="dxa"/>
              <w:start w:w="110" w:type="dxa"/>
              <w:bottom w:w="90" w:type="dxa"/>
              <w:end w:w="110" w:type="dxa"/>
            </w:tcMar>
            <w:vAlign w:val="top"/>
          </w:tcPr>
          <w:p>
            <w:pPr>
              <w:spacing w:after="20" w:line="245" w:lineRule="auto"/>
            </w:pPr>
            <w:r>
              <w:rPr>
                <w:sz w:val="17"/>
              </w:rPr>
              <w:t>Four obsolete capability routes</w:t>
            </w:r>
          </w:p>
        </w:tc>
        <w:tc>
          <w:tcPr>
            <w:tcW w:type="dxa" w:w="1800"/>
            <w:tcMar>
              <w:top w:w="90" w:type="dxa"/>
              <w:start w:w="110" w:type="dxa"/>
              <w:bottom w:w="90" w:type="dxa"/>
              <w:end w:w="110" w:type="dxa"/>
            </w:tcMar>
            <w:vAlign w:val="top"/>
          </w:tcPr>
          <w:p>
            <w:pPr>
              <w:spacing w:after="20" w:line="245" w:lineRule="auto"/>
            </w:pPr>
            <w:r>
              <w:rPr>
                <w:sz w:val="17"/>
              </w:rPr>
              <w:t>404</w:t>
            </w:r>
          </w:p>
        </w:tc>
        <w:tc>
          <w:tcPr>
            <w:tcW w:type="dxa" w:w="5976"/>
            <w:tcMar>
              <w:top w:w="90" w:type="dxa"/>
              <w:start w:w="110" w:type="dxa"/>
              <w:bottom w:w="90" w:type="dxa"/>
              <w:end w:w="110" w:type="dxa"/>
            </w:tcMar>
            <w:vAlign w:val="top"/>
          </w:tcPr>
          <w:p>
            <w:pPr>
              <w:spacing w:after="20" w:line="245" w:lineRule="auto"/>
            </w:pPr>
            <w:r>
              <w:rPr>
                <w:sz w:val="17"/>
              </w:rPr>
              <w:t>Replace homepage hrefs; optionally add permanent redirects if URLs were externally distributed.</w:t>
            </w:r>
          </w:p>
        </w:tc>
      </w:tr>
      <w:tr>
        <w:tc>
          <w:tcPr>
            <w:tcW w:type="dxa" w:w="2376"/>
            <w:tcMar>
              <w:top w:w="90" w:type="dxa"/>
              <w:start w:w="110" w:type="dxa"/>
              <w:bottom w:w="90" w:type="dxa"/>
              <w:end w:w="110" w:type="dxa"/>
            </w:tcMar>
            <w:vAlign w:val="top"/>
            <w:shd w:fill="F5F7FA"/>
          </w:tcPr>
          <w:p>
            <w:pPr>
              <w:spacing w:after="20" w:line="245" w:lineRule="auto"/>
            </w:pPr>
            <w:r>
              <w:rPr>
                <w:sz w:val="17"/>
              </w:rPr>
              <w:t>/case-studies</w:t>
            </w:r>
          </w:p>
        </w:tc>
        <w:tc>
          <w:tcPr>
            <w:tcW w:type="dxa" w:w="1800"/>
            <w:tcMar>
              <w:top w:w="90" w:type="dxa"/>
              <w:start w:w="110" w:type="dxa"/>
              <w:bottom w:w="90" w:type="dxa"/>
              <w:end w:w="110" w:type="dxa"/>
            </w:tcMar>
            <w:vAlign w:val="top"/>
            <w:shd w:fill="F5F7FA"/>
          </w:tcPr>
          <w:p>
            <w:pPr>
              <w:spacing w:after="20" w:line="245" w:lineRule="auto"/>
            </w:pPr>
            <w:r>
              <w:rPr>
                <w:sz w:val="17"/>
              </w:rPr>
              <w:t>Loads, inconsistent</w:t>
            </w:r>
          </w:p>
        </w:tc>
        <w:tc>
          <w:tcPr>
            <w:tcW w:type="dxa" w:w="5976"/>
            <w:tcMar>
              <w:top w:w="90" w:type="dxa"/>
              <w:start w:w="110" w:type="dxa"/>
              <w:bottom w:w="90" w:type="dxa"/>
              <w:end w:w="110" w:type="dxa"/>
            </w:tcMar>
            <w:vAlign w:val="top"/>
            <w:shd w:fill="F5F7FA"/>
          </w:tcPr>
          <w:p>
            <w:pPr>
              <w:spacing w:after="20" w:line="245" w:lineRule="auto"/>
            </w:pPr>
            <w:r>
              <w:rPr>
                <w:sz w:val="17"/>
              </w:rPr>
              <w:t>Change 8 vs 3 count; qualify/anonymize evidence; verify metrics.</w:t>
            </w:r>
          </w:p>
        </w:tc>
      </w:tr>
      <w:tr>
        <w:tc>
          <w:tcPr>
            <w:tcW w:type="dxa" w:w="2376"/>
            <w:tcMar>
              <w:top w:w="90" w:type="dxa"/>
              <w:start w:w="110" w:type="dxa"/>
              <w:bottom w:w="90" w:type="dxa"/>
              <w:end w:w="110" w:type="dxa"/>
            </w:tcMar>
            <w:vAlign w:val="top"/>
          </w:tcPr>
          <w:p>
            <w:pPr>
              <w:spacing w:after="20" w:line="245" w:lineRule="auto"/>
            </w:pPr>
            <w:r>
              <w:rPr>
                <w:sz w:val="17"/>
              </w:rPr>
              <w:t>Three case-study details</w:t>
            </w:r>
          </w:p>
        </w:tc>
        <w:tc>
          <w:tcPr>
            <w:tcW w:type="dxa" w:w="1800"/>
            <w:tcMar>
              <w:top w:w="90" w:type="dxa"/>
              <w:start w:w="110" w:type="dxa"/>
              <w:bottom w:w="90" w:type="dxa"/>
              <w:end w:w="110" w:type="dxa"/>
            </w:tcMar>
            <w:vAlign w:val="top"/>
          </w:tcPr>
          <w:p>
            <w:pPr>
              <w:spacing w:after="20" w:line="245" w:lineRule="auto"/>
            </w:pPr>
            <w:r>
              <w:rPr>
                <w:sz w:val="17"/>
              </w:rPr>
              <w:t>Load</w:t>
            </w:r>
          </w:p>
        </w:tc>
        <w:tc>
          <w:tcPr>
            <w:tcW w:type="dxa" w:w="5976"/>
            <w:tcMar>
              <w:top w:w="90" w:type="dxa"/>
              <w:start w:w="110" w:type="dxa"/>
              <w:bottom w:w="90" w:type="dxa"/>
              <w:end w:w="110" w:type="dxa"/>
            </w:tcMar>
            <w:vAlign w:val="top"/>
          </w:tcPr>
          <w:p>
            <w:pPr>
              <w:spacing w:after="20" w:line="245" w:lineRule="auto"/>
            </w:pPr>
            <w:r>
              <w:rPr>
                <w:sz w:val="17"/>
              </w:rPr>
              <w:t>Customer authorization, outcome methodology, consistent capability naming and figures.</w:t>
            </w:r>
          </w:p>
        </w:tc>
      </w:tr>
      <w:tr>
        <w:tc>
          <w:tcPr>
            <w:tcW w:type="dxa" w:w="2376"/>
            <w:tcMar>
              <w:top w:w="90" w:type="dxa"/>
              <w:start w:w="110" w:type="dxa"/>
              <w:bottom w:w="90" w:type="dxa"/>
              <w:end w:w="110" w:type="dxa"/>
            </w:tcMar>
            <w:vAlign w:val="top"/>
            <w:shd w:fill="F5F7FA"/>
          </w:tcPr>
          <w:p>
            <w:pPr>
              <w:spacing w:after="20" w:line="245" w:lineRule="auto"/>
            </w:pPr>
            <w:r>
              <w:rPr>
                <w:sz w:val="17"/>
              </w:rPr>
              <w:t>/insights</w:t>
            </w:r>
          </w:p>
        </w:tc>
        <w:tc>
          <w:tcPr>
            <w:tcW w:type="dxa" w:w="1800"/>
            <w:tcMar>
              <w:top w:w="90" w:type="dxa"/>
              <w:start w:w="110" w:type="dxa"/>
              <w:bottom w:w="90" w:type="dxa"/>
              <w:end w:w="110" w:type="dxa"/>
            </w:tcMar>
            <w:vAlign w:val="top"/>
            <w:shd w:fill="F5F7FA"/>
          </w:tcPr>
          <w:p>
            <w:pPr>
              <w:spacing w:after="20" w:line="245" w:lineRule="auto"/>
            </w:pPr>
            <w:r>
              <w:rPr>
                <w:sz w:val="17"/>
              </w:rPr>
              <w:t>Index loads</w:t>
            </w:r>
          </w:p>
        </w:tc>
        <w:tc>
          <w:tcPr>
            <w:tcW w:type="dxa" w:w="5976"/>
            <w:tcMar>
              <w:top w:w="90" w:type="dxa"/>
              <w:start w:w="110" w:type="dxa"/>
              <w:bottom w:w="90" w:type="dxa"/>
              <w:end w:w="110" w:type="dxa"/>
            </w:tcMar>
            <w:vAlign w:val="top"/>
            <w:shd w:fill="F5F7FA"/>
          </w:tcPr>
          <w:p>
            <w:pPr>
              <w:spacing w:after="20" w:line="245" w:lineRule="auto"/>
            </w:pPr>
            <w:r>
              <w:rPr>
                <w:sz w:val="17"/>
              </w:rPr>
              <w:t>Remove failed cards; verify author identities, survey/sample claims, dates, and newsletter consent.</w:t>
            </w:r>
          </w:p>
        </w:tc>
      </w:tr>
      <w:tr>
        <w:tc>
          <w:tcPr>
            <w:tcW w:type="dxa" w:w="2376"/>
            <w:tcMar>
              <w:top w:w="90" w:type="dxa"/>
              <w:start w:w="110" w:type="dxa"/>
              <w:bottom w:w="90" w:type="dxa"/>
              <w:end w:w="110" w:type="dxa"/>
            </w:tcMar>
            <w:vAlign w:val="top"/>
          </w:tcPr>
          <w:p>
            <w:pPr>
              <w:spacing w:after="20" w:line="245" w:lineRule="auto"/>
            </w:pPr>
            <w:r>
              <w:rPr>
                <w:sz w:val="17"/>
              </w:rPr>
              <w:t>Three featured article routes</w:t>
            </w:r>
          </w:p>
        </w:tc>
        <w:tc>
          <w:tcPr>
            <w:tcW w:type="dxa" w:w="1800"/>
            <w:tcMar>
              <w:top w:w="90" w:type="dxa"/>
              <w:start w:w="110" w:type="dxa"/>
              <w:bottom w:w="90" w:type="dxa"/>
              <w:end w:w="110" w:type="dxa"/>
            </w:tcMar>
            <w:vAlign w:val="top"/>
          </w:tcPr>
          <w:p>
            <w:pPr>
              <w:spacing w:after="20" w:line="245" w:lineRule="auto"/>
            </w:pPr>
            <w:r>
              <w:rPr>
                <w:sz w:val="17"/>
              </w:rPr>
              <w:t>2 server errors; 1 404</w:t>
            </w:r>
          </w:p>
        </w:tc>
        <w:tc>
          <w:tcPr>
            <w:tcW w:type="dxa" w:w="5976"/>
            <w:tcMar>
              <w:top w:w="90" w:type="dxa"/>
              <w:start w:w="110" w:type="dxa"/>
              <w:bottom w:w="90" w:type="dxa"/>
              <w:end w:w="110" w:type="dxa"/>
            </w:tcMar>
            <w:vAlign w:val="top"/>
          </w:tcPr>
          <w:p>
            <w:pPr>
              <w:spacing w:after="20" w:line="245" w:lineRule="auto"/>
            </w:pPr>
            <w:r>
              <w:rPr>
                <w:sz w:val="17"/>
              </w:rPr>
              <w:t>Repair/publish or remove.</w:t>
            </w:r>
          </w:p>
        </w:tc>
      </w:tr>
      <w:tr>
        <w:tc>
          <w:tcPr>
            <w:tcW w:type="dxa" w:w="2376"/>
            <w:tcMar>
              <w:top w:w="90" w:type="dxa"/>
              <w:start w:w="110" w:type="dxa"/>
              <w:bottom w:w="90" w:type="dxa"/>
              <w:end w:w="110" w:type="dxa"/>
            </w:tcMar>
            <w:vAlign w:val="top"/>
            <w:shd w:fill="F5F7FA"/>
          </w:tcPr>
          <w:p>
            <w:pPr>
              <w:spacing w:after="20" w:line="245" w:lineRule="auto"/>
            </w:pPr>
            <w:r>
              <w:rPr>
                <w:sz w:val="17"/>
              </w:rPr>
              <w:t>/platforms</w:t>
            </w:r>
          </w:p>
        </w:tc>
        <w:tc>
          <w:tcPr>
            <w:tcW w:type="dxa" w:w="1800"/>
            <w:tcMar>
              <w:top w:w="90" w:type="dxa"/>
              <w:start w:w="110" w:type="dxa"/>
              <w:bottom w:w="90" w:type="dxa"/>
              <w:end w:w="110" w:type="dxa"/>
            </w:tcMar>
            <w:vAlign w:val="top"/>
            <w:shd w:fill="F5F7FA"/>
          </w:tcPr>
          <w:p>
            <w:pPr>
              <w:spacing w:after="20" w:line="245" w:lineRule="auto"/>
            </w:pPr>
            <w:r>
              <w:rPr>
                <w:sz w:val="17"/>
              </w:rPr>
              <w:t>Loads</w:t>
            </w:r>
          </w:p>
        </w:tc>
        <w:tc>
          <w:tcPr>
            <w:tcW w:type="dxa" w:w="5976"/>
            <w:tcMar>
              <w:top w:w="90" w:type="dxa"/>
              <w:start w:w="110" w:type="dxa"/>
              <w:bottom w:w="90" w:type="dxa"/>
              <w:end w:w="110" w:type="dxa"/>
            </w:tcMar>
            <w:vAlign w:val="top"/>
            <w:shd w:fill="F5F7FA"/>
          </w:tcPr>
          <w:p>
            <w:pPr>
              <w:spacing w:after="20" w:line="245" w:lineRule="auto"/>
            </w:pPr>
            <w:r>
              <w:rPr>
                <w:sz w:val="17"/>
              </w:rPr>
              <w:t>Verify native/certified/production-ready language and platform metrics.</w:t>
            </w:r>
          </w:p>
        </w:tc>
      </w:tr>
      <w:tr>
        <w:tc>
          <w:tcPr>
            <w:tcW w:type="dxa" w:w="2376"/>
            <w:tcMar>
              <w:top w:w="90" w:type="dxa"/>
              <w:start w:w="110" w:type="dxa"/>
              <w:bottom w:w="90" w:type="dxa"/>
              <w:end w:w="110" w:type="dxa"/>
            </w:tcMar>
            <w:vAlign w:val="top"/>
          </w:tcPr>
          <w:p>
            <w:pPr>
              <w:spacing w:after="20" w:line="245" w:lineRule="auto"/>
            </w:pPr>
            <w:r>
              <w:rPr>
                <w:sz w:val="17"/>
              </w:rPr>
              <w:t>/about</w:t>
            </w:r>
          </w:p>
        </w:tc>
        <w:tc>
          <w:tcPr>
            <w:tcW w:type="dxa" w:w="1800"/>
            <w:tcMar>
              <w:top w:w="90" w:type="dxa"/>
              <w:start w:w="110" w:type="dxa"/>
              <w:bottom w:w="90" w:type="dxa"/>
              <w:end w:w="110" w:type="dxa"/>
            </w:tcMar>
            <w:vAlign w:val="top"/>
          </w:tcPr>
          <w:p>
            <w:pPr>
              <w:spacing w:after="20" w:line="245" w:lineRule="auto"/>
            </w:pPr>
            <w:r>
              <w:rPr>
                <w:sz w:val="17"/>
              </w:rPr>
              <w:t>High-risk content</w:t>
            </w:r>
          </w:p>
        </w:tc>
        <w:tc>
          <w:tcPr>
            <w:tcW w:type="dxa" w:w="5976"/>
            <w:tcMar>
              <w:top w:w="90" w:type="dxa"/>
              <w:start w:w="110" w:type="dxa"/>
              <w:bottom w:w="90" w:type="dxa"/>
              <w:end w:w="110" w:type="dxa"/>
            </w:tcMar>
            <w:vAlign w:val="top"/>
          </w:tcPr>
          <w:p>
            <w:pPr>
              <w:spacing w:after="20" w:line="245" w:lineRule="auto"/>
            </w:pPr>
            <w:r>
              <w:rPr>
                <w:sz w:val="17"/>
              </w:rPr>
              <w:t>Evidence or removal for funding, investors, customers, team, leaders, credentials, history, certifications.</w:t>
            </w:r>
          </w:p>
        </w:tc>
      </w:tr>
      <w:tr>
        <w:tc>
          <w:tcPr>
            <w:tcW w:type="dxa" w:w="2376"/>
            <w:tcMar>
              <w:top w:w="90" w:type="dxa"/>
              <w:start w:w="110" w:type="dxa"/>
              <w:bottom w:w="90" w:type="dxa"/>
              <w:end w:w="110" w:type="dxa"/>
            </w:tcMar>
            <w:vAlign w:val="top"/>
            <w:shd w:fill="F5F7FA"/>
          </w:tcPr>
          <w:p>
            <w:pPr>
              <w:spacing w:after="20" w:line="245" w:lineRule="auto"/>
            </w:pPr>
            <w:r>
              <w:rPr>
                <w:sz w:val="17"/>
              </w:rPr>
              <w:t>/contact</w:t>
            </w:r>
          </w:p>
        </w:tc>
        <w:tc>
          <w:tcPr>
            <w:tcW w:type="dxa" w:w="1800"/>
            <w:tcMar>
              <w:top w:w="90" w:type="dxa"/>
              <w:start w:w="110" w:type="dxa"/>
              <w:bottom w:w="90" w:type="dxa"/>
              <w:end w:w="110" w:type="dxa"/>
            </w:tcMar>
            <w:vAlign w:val="top"/>
            <w:shd w:fill="F5F7FA"/>
          </w:tcPr>
          <w:p>
            <w:pPr>
              <w:spacing w:after="20" w:line="245" w:lineRule="auto"/>
            </w:pPr>
            <w:r>
              <w:rPr>
                <w:sz w:val="17"/>
              </w:rPr>
              <w:t>Conversion failures</w:t>
            </w:r>
          </w:p>
        </w:tc>
        <w:tc>
          <w:tcPr>
            <w:tcW w:type="dxa" w:w="5976"/>
            <w:tcMar>
              <w:top w:w="90" w:type="dxa"/>
              <w:start w:w="110" w:type="dxa"/>
              <w:bottom w:w="90" w:type="dxa"/>
              <w:end w:w="110" w:type="dxa"/>
            </w:tcMar>
            <w:vAlign w:val="top"/>
            <w:shd w:fill="F5F7FA"/>
          </w:tcPr>
          <w:p>
            <w:pPr>
              <w:spacing w:after="20" w:line="245" w:lineRule="auto"/>
            </w:pPr>
            <w:r>
              <w:rPr>
                <w:sz w:val="17"/>
              </w:rPr>
              <w:t>Working Calendly, Privacy, Partner path, verified addresses/phones/emails, legal entity, tested form.</w:t>
            </w:r>
          </w:p>
        </w:tc>
      </w:tr>
      <w:tr>
        <w:tc>
          <w:tcPr>
            <w:tcW w:type="dxa" w:w="2376"/>
            <w:tcMar>
              <w:top w:w="90" w:type="dxa"/>
              <w:start w:w="110" w:type="dxa"/>
              <w:bottom w:w="90" w:type="dxa"/>
              <w:end w:w="110" w:type="dxa"/>
            </w:tcMar>
            <w:vAlign w:val="top"/>
          </w:tcPr>
          <w:p>
            <w:pPr>
              <w:spacing w:after="20" w:line="245" w:lineRule="auto"/>
            </w:pPr>
            <w:r>
              <w:rPr>
                <w:sz w:val="17"/>
              </w:rPr>
              <w:t>/privacy</w:t>
            </w:r>
          </w:p>
        </w:tc>
        <w:tc>
          <w:tcPr>
            <w:tcW w:type="dxa" w:w="1800"/>
            <w:tcMar>
              <w:top w:w="90" w:type="dxa"/>
              <w:start w:w="110" w:type="dxa"/>
              <w:bottom w:w="90" w:type="dxa"/>
              <w:end w:w="110" w:type="dxa"/>
            </w:tcMar>
            <w:vAlign w:val="top"/>
          </w:tcPr>
          <w:p>
            <w:pPr>
              <w:spacing w:after="20" w:line="245" w:lineRule="auto"/>
            </w:pPr>
            <w:r>
              <w:rPr>
                <w:sz w:val="17"/>
              </w:rPr>
              <w:t>404</w:t>
            </w:r>
          </w:p>
        </w:tc>
        <w:tc>
          <w:tcPr>
            <w:tcW w:type="dxa" w:w="5976"/>
            <w:tcMar>
              <w:top w:w="90" w:type="dxa"/>
              <w:start w:w="110" w:type="dxa"/>
              <w:bottom w:w="90" w:type="dxa"/>
              <w:end w:w="110" w:type="dxa"/>
            </w:tcMar>
            <w:vAlign w:val="top"/>
          </w:tcPr>
          <w:p>
            <w:pPr>
              <w:spacing w:after="20" w:line="245" w:lineRule="auto"/>
            </w:pPr>
            <w:r>
              <w:rPr>
                <w:sz w:val="17"/>
              </w:rPr>
              <w:t>Publish counsel-approved policy.</w:t>
            </w:r>
          </w:p>
        </w:tc>
      </w:tr>
      <w:tr>
        <w:tc>
          <w:tcPr>
            <w:tcW w:type="dxa" w:w="2376"/>
            <w:tcMar>
              <w:top w:w="90" w:type="dxa"/>
              <w:start w:w="110" w:type="dxa"/>
              <w:bottom w:w="90" w:type="dxa"/>
              <w:end w:w="110" w:type="dxa"/>
            </w:tcMar>
            <w:vAlign w:val="top"/>
            <w:shd w:fill="F5F7FA"/>
          </w:tcPr>
          <w:p>
            <w:pPr>
              <w:spacing w:after="20" w:line="245" w:lineRule="auto"/>
            </w:pPr>
            <w:r>
              <w:rPr>
                <w:sz w:val="17"/>
              </w:rPr>
              <w:t>/partners</w:t>
            </w:r>
          </w:p>
        </w:tc>
        <w:tc>
          <w:tcPr>
            <w:tcW w:type="dxa" w:w="1800"/>
            <w:tcMar>
              <w:top w:w="90" w:type="dxa"/>
              <w:start w:w="110" w:type="dxa"/>
              <w:bottom w:w="90" w:type="dxa"/>
              <w:end w:w="110" w:type="dxa"/>
            </w:tcMar>
            <w:vAlign w:val="top"/>
            <w:shd w:fill="F5F7FA"/>
          </w:tcPr>
          <w:p>
            <w:pPr>
              <w:spacing w:after="20" w:line="245" w:lineRule="auto"/>
            </w:pPr>
            <w:r>
              <w:rPr>
                <w:sz w:val="17"/>
              </w:rPr>
              <w:t>404</w:t>
            </w:r>
          </w:p>
        </w:tc>
        <w:tc>
          <w:tcPr>
            <w:tcW w:type="dxa" w:w="5976"/>
            <w:tcMar>
              <w:top w:w="90" w:type="dxa"/>
              <w:start w:w="110" w:type="dxa"/>
              <w:bottom w:w="90" w:type="dxa"/>
              <w:end w:w="110" w:type="dxa"/>
            </w:tcMar>
            <w:vAlign w:val="top"/>
            <w:shd w:fill="F5F7FA"/>
          </w:tcPr>
          <w:p>
            <w:pPr>
              <w:spacing w:after="20" w:line="245" w:lineRule="auto"/>
            </w:pPr>
            <w:r>
              <w:rPr>
                <w:sz w:val="17"/>
              </w:rPr>
              <w:t>Publish real program or remove CTA.</w:t>
            </w:r>
          </w:p>
        </w:tc>
      </w:tr>
    </w:tbl>
    <w:p>
      <w:pPr>
        <w:spacing w:after="20"/>
      </w:pPr>
    </w:p>
    <w:p>
      <w:pPr>
        <w:pStyle w:val="Heading1"/>
      </w:pPr>
      <w:r>
        <w:t>7. Claim substantiation register</w:t>
      </w:r>
    </w:p>
    <w:p>
      <w:r>
        <w:t>Create this register before rewriting any material claim. “Marketing supplied it” is not evidence.</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331"/>
        <w:gridCol w:w="3331"/>
        <w:gridCol w:w="3331"/>
      </w:tblGrid>
      <w:tr>
        <w:trPr>
          <w:tblHeader w:val="true"/>
        </w:trPr>
        <w:tc>
          <w:tcPr>
            <w:tcW w:type="dxa" w:w="2376"/>
            <w:shd w:fill="142B4A"/>
            <w:tcMar>
              <w:top w:w="90" w:type="dxa"/>
              <w:start w:w="110" w:type="dxa"/>
              <w:bottom w:w="90" w:type="dxa"/>
              <w:end w:w="110" w:type="dxa"/>
            </w:tcMar>
          </w:tcPr>
          <w:p>
            <w:r>
              <w:rPr>
                <w:b/>
                <w:color w:val="FFFFFF"/>
                <w:sz w:val="18"/>
              </w:rPr>
              <w:t>Claim category</w:t>
            </w:r>
          </w:p>
        </w:tc>
        <w:tc>
          <w:tcPr>
            <w:tcW w:type="dxa" w:w="4824"/>
            <w:shd w:fill="142B4A"/>
            <w:tcMar>
              <w:top w:w="90" w:type="dxa"/>
              <w:start w:w="110" w:type="dxa"/>
              <w:bottom w:w="90" w:type="dxa"/>
              <w:end w:w="110" w:type="dxa"/>
            </w:tcMar>
          </w:tcPr>
          <w:p>
            <w:r>
              <w:rPr>
                <w:b/>
                <w:color w:val="FFFFFF"/>
                <w:sz w:val="18"/>
              </w:rPr>
              <w:t>Evidence required</w:t>
            </w:r>
          </w:p>
        </w:tc>
        <w:tc>
          <w:tcPr>
            <w:tcW w:type="dxa" w:w="2952"/>
            <w:shd w:fill="142B4A"/>
            <w:tcMar>
              <w:top w:w="90" w:type="dxa"/>
              <w:start w:w="110" w:type="dxa"/>
              <w:bottom w:w="90" w:type="dxa"/>
              <w:end w:w="110" w:type="dxa"/>
            </w:tcMar>
          </w:tcPr>
          <w:p>
            <w:r>
              <w:rPr>
                <w:b/>
                <w:color w:val="FFFFFF"/>
                <w:sz w:val="18"/>
              </w:rPr>
              <w:t>Default if evidence is unavailable</w:t>
            </w:r>
          </w:p>
        </w:tc>
      </w:tr>
      <w:tr>
        <w:tc>
          <w:tcPr>
            <w:tcW w:type="dxa" w:w="2376"/>
            <w:tcMar>
              <w:top w:w="90" w:type="dxa"/>
              <w:start w:w="110" w:type="dxa"/>
              <w:bottom w:w="90" w:type="dxa"/>
              <w:end w:w="110" w:type="dxa"/>
            </w:tcMar>
            <w:vAlign w:val="top"/>
          </w:tcPr>
          <w:p>
            <w:pPr>
              <w:spacing w:after="20" w:line="245" w:lineRule="auto"/>
            </w:pPr>
            <w:r>
              <w:rPr>
                <w:sz w:val="17"/>
              </w:rPr>
              <w:t>Funding and investors</w:t>
            </w:r>
          </w:p>
        </w:tc>
        <w:tc>
          <w:tcPr>
            <w:tcW w:type="dxa" w:w="4824"/>
            <w:tcMar>
              <w:top w:w="90" w:type="dxa"/>
              <w:start w:w="110" w:type="dxa"/>
              <w:bottom w:w="90" w:type="dxa"/>
              <w:end w:w="110" w:type="dxa"/>
            </w:tcMar>
            <w:vAlign w:val="top"/>
          </w:tcPr>
          <w:p>
            <w:pPr>
              <w:spacing w:after="20" w:line="245" w:lineRule="auto"/>
            </w:pPr>
            <w:r>
              <w:rPr>
                <w:sz w:val="17"/>
              </w:rPr>
              <w:t>Executed financing records; approved announcement; investor name/brand permission.</w:t>
            </w:r>
          </w:p>
        </w:tc>
        <w:tc>
          <w:tcPr>
            <w:tcW w:type="dxa" w:w="2952"/>
            <w:tcMar>
              <w:top w:w="90" w:type="dxa"/>
              <w:start w:w="110" w:type="dxa"/>
              <w:bottom w:w="90" w:type="dxa"/>
              <w:end w:w="110" w:type="dxa"/>
            </w:tcMar>
            <w:vAlign w:val="top"/>
          </w:tcPr>
          <w:p>
            <w:pPr>
              <w:spacing w:after="20" w:line="245" w:lineRule="auto"/>
            </w:pPr>
            <w:r>
              <w:rPr>
                <w:sz w:val="17"/>
              </w:rPr>
              <w:t>Remove.</w:t>
            </w:r>
          </w:p>
        </w:tc>
      </w:tr>
      <w:tr>
        <w:tc>
          <w:tcPr>
            <w:tcW w:type="dxa" w:w="2376"/>
            <w:tcMar>
              <w:top w:w="90" w:type="dxa"/>
              <w:start w:w="110" w:type="dxa"/>
              <w:bottom w:w="90" w:type="dxa"/>
              <w:end w:w="110" w:type="dxa"/>
            </w:tcMar>
            <w:vAlign w:val="top"/>
            <w:shd w:fill="F5F7FA"/>
          </w:tcPr>
          <w:p>
            <w:pPr>
              <w:spacing w:after="20" w:line="245" w:lineRule="auto"/>
            </w:pPr>
            <w:r>
              <w:rPr>
                <w:sz w:val="17"/>
              </w:rPr>
              <w:t>Customers and countries</w:t>
            </w:r>
          </w:p>
        </w:tc>
        <w:tc>
          <w:tcPr>
            <w:tcW w:type="dxa" w:w="4824"/>
            <w:tcMar>
              <w:top w:w="90" w:type="dxa"/>
              <w:start w:w="110" w:type="dxa"/>
              <w:bottom w:w="90" w:type="dxa"/>
              <w:end w:w="110" w:type="dxa"/>
            </w:tcMar>
            <w:vAlign w:val="top"/>
            <w:shd w:fill="F5F7FA"/>
          </w:tcPr>
          <w:p>
            <w:pPr>
              <w:spacing w:after="20" w:line="245" w:lineRule="auto"/>
            </w:pPr>
            <w:r>
              <w:rPr>
                <w:sz w:val="17"/>
              </w:rPr>
              <w:t>CRM/finance report; counting definition; as-of date; owner approval.</w:t>
            </w:r>
          </w:p>
        </w:tc>
        <w:tc>
          <w:tcPr>
            <w:tcW w:type="dxa" w:w="2952"/>
            <w:tcMar>
              <w:top w:w="90" w:type="dxa"/>
              <w:start w:w="110" w:type="dxa"/>
              <w:bottom w:w="90" w:type="dxa"/>
              <w:end w:w="110" w:type="dxa"/>
            </w:tcMar>
            <w:vAlign w:val="top"/>
            <w:shd w:fill="F5F7FA"/>
          </w:tcPr>
          <w:p>
            <w:pPr>
              <w:spacing w:after="20" w:line="245" w:lineRule="auto"/>
            </w:pPr>
            <w:r>
              <w:rPr>
                <w:sz w:val="17"/>
              </w:rPr>
              <w:t>Use no number or clearly bounded verified count.</w:t>
            </w:r>
          </w:p>
        </w:tc>
      </w:tr>
      <w:tr>
        <w:tc>
          <w:tcPr>
            <w:tcW w:type="dxa" w:w="2376"/>
            <w:tcMar>
              <w:top w:w="90" w:type="dxa"/>
              <w:start w:w="110" w:type="dxa"/>
              <w:bottom w:w="90" w:type="dxa"/>
              <w:end w:w="110" w:type="dxa"/>
            </w:tcMar>
            <w:vAlign w:val="top"/>
          </w:tcPr>
          <w:p>
            <w:pPr>
              <w:spacing w:after="20" w:line="245" w:lineRule="auto"/>
            </w:pPr>
            <w:r>
              <w:rPr>
                <w:sz w:val="17"/>
              </w:rPr>
              <w:t>Team and leadership</w:t>
            </w:r>
          </w:p>
        </w:tc>
        <w:tc>
          <w:tcPr>
            <w:tcW w:type="dxa" w:w="4824"/>
            <w:tcMar>
              <w:top w:w="90" w:type="dxa"/>
              <w:start w:w="110" w:type="dxa"/>
              <w:bottom w:w="90" w:type="dxa"/>
              <w:end w:w="110" w:type="dxa"/>
            </w:tcMar>
            <w:vAlign w:val="top"/>
          </w:tcPr>
          <w:p>
            <w:pPr>
              <w:spacing w:after="20" w:line="245" w:lineRule="auto"/>
            </w:pPr>
            <w:r>
              <w:rPr>
                <w:sz w:val="17"/>
              </w:rPr>
              <w:t>HR roster; biography verification; individual consent; current titles.</w:t>
            </w:r>
          </w:p>
        </w:tc>
        <w:tc>
          <w:tcPr>
            <w:tcW w:type="dxa" w:w="2952"/>
            <w:tcMar>
              <w:top w:w="90" w:type="dxa"/>
              <w:start w:w="110" w:type="dxa"/>
              <w:bottom w:w="90" w:type="dxa"/>
              <w:end w:w="110" w:type="dxa"/>
            </w:tcMar>
            <w:vAlign w:val="top"/>
          </w:tcPr>
          <w:p>
            <w:pPr>
              <w:spacing w:after="20" w:line="245" w:lineRule="auto"/>
            </w:pPr>
            <w:r>
              <w:rPr>
                <w:sz w:val="17"/>
              </w:rPr>
              <w:t>Remove profile or use verified minimal biography.</w:t>
            </w:r>
          </w:p>
        </w:tc>
      </w:tr>
      <w:tr>
        <w:tc>
          <w:tcPr>
            <w:tcW w:type="dxa" w:w="2376"/>
            <w:tcMar>
              <w:top w:w="90" w:type="dxa"/>
              <w:start w:w="110" w:type="dxa"/>
              <w:bottom w:w="90" w:type="dxa"/>
              <w:end w:w="110" w:type="dxa"/>
            </w:tcMar>
            <w:vAlign w:val="top"/>
            <w:shd w:fill="F5F7FA"/>
          </w:tcPr>
          <w:p>
            <w:pPr>
              <w:spacing w:after="20" w:line="245" w:lineRule="auto"/>
            </w:pPr>
            <w:r>
              <w:rPr>
                <w:sz w:val="17"/>
              </w:rPr>
              <w:t>Offices and contacts</w:t>
            </w:r>
          </w:p>
        </w:tc>
        <w:tc>
          <w:tcPr>
            <w:tcW w:type="dxa" w:w="4824"/>
            <w:tcMar>
              <w:top w:w="90" w:type="dxa"/>
              <w:start w:w="110" w:type="dxa"/>
              <w:bottom w:w="90" w:type="dxa"/>
              <w:end w:w="110" w:type="dxa"/>
            </w:tcMar>
            <w:vAlign w:val="top"/>
            <w:shd w:fill="F5F7FA"/>
          </w:tcPr>
          <w:p>
            <w:pPr>
              <w:spacing w:after="20" w:line="245" w:lineRule="auto"/>
            </w:pPr>
            <w:r>
              <w:rPr>
                <w:sz w:val="17"/>
              </w:rPr>
              <w:t>Legal/lease/operations confirmation; monitored phone/email; business hours.</w:t>
            </w:r>
          </w:p>
        </w:tc>
        <w:tc>
          <w:tcPr>
            <w:tcW w:type="dxa" w:w="2952"/>
            <w:tcMar>
              <w:top w:w="90" w:type="dxa"/>
              <w:start w:w="110" w:type="dxa"/>
              <w:bottom w:w="90" w:type="dxa"/>
              <w:end w:w="110" w:type="dxa"/>
            </w:tcMar>
            <w:vAlign w:val="top"/>
            <w:shd w:fill="F5F7FA"/>
          </w:tcPr>
          <w:p>
            <w:pPr>
              <w:spacing w:after="20" w:line="245" w:lineRule="auto"/>
            </w:pPr>
            <w:r>
              <w:rPr>
                <w:sz w:val="17"/>
              </w:rPr>
              <w:t>Remove location/contact method.</w:t>
            </w:r>
          </w:p>
        </w:tc>
      </w:tr>
      <w:tr>
        <w:tc>
          <w:tcPr>
            <w:tcW w:type="dxa" w:w="2376"/>
            <w:tcMar>
              <w:top w:w="90" w:type="dxa"/>
              <w:start w:w="110" w:type="dxa"/>
              <w:bottom w:w="90" w:type="dxa"/>
              <w:end w:w="110" w:type="dxa"/>
            </w:tcMar>
            <w:vAlign w:val="top"/>
          </w:tcPr>
          <w:p>
            <w:pPr>
              <w:spacing w:after="20" w:line="245" w:lineRule="auto"/>
            </w:pPr>
            <w:r>
              <w:rPr>
                <w:sz w:val="17"/>
              </w:rPr>
              <w:t>Certifications and compliance</w:t>
            </w:r>
          </w:p>
        </w:tc>
        <w:tc>
          <w:tcPr>
            <w:tcW w:type="dxa" w:w="4824"/>
            <w:tcMar>
              <w:top w:w="90" w:type="dxa"/>
              <w:start w:w="110" w:type="dxa"/>
              <w:bottom w:w="90" w:type="dxa"/>
              <w:end w:w="110" w:type="dxa"/>
            </w:tcMar>
            <w:vAlign w:val="top"/>
          </w:tcPr>
          <w:p>
            <w:pPr>
              <w:spacing w:after="20" w:line="245" w:lineRule="auto"/>
            </w:pPr>
            <w:r>
              <w:rPr>
                <w:sz w:val="17"/>
              </w:rPr>
              <w:t>Certificate/report; audited legal entity; scope; issuer; valid dates; permitted wording.</w:t>
            </w:r>
          </w:p>
        </w:tc>
        <w:tc>
          <w:tcPr>
            <w:tcW w:type="dxa" w:w="2952"/>
            <w:tcMar>
              <w:top w:w="90" w:type="dxa"/>
              <w:start w:w="110" w:type="dxa"/>
              <w:bottom w:w="90" w:type="dxa"/>
              <w:end w:w="110" w:type="dxa"/>
            </w:tcMar>
            <w:vAlign w:val="top"/>
          </w:tcPr>
          <w:p>
            <w:pPr>
              <w:spacing w:after="20" w:line="245" w:lineRule="auto"/>
            </w:pPr>
            <w:r>
              <w:rPr>
                <w:sz w:val="17"/>
              </w:rPr>
              <w:t>Replace with specific implemented controls only if verified; otherwise remove.</w:t>
            </w:r>
          </w:p>
        </w:tc>
      </w:tr>
      <w:tr>
        <w:tc>
          <w:tcPr>
            <w:tcW w:type="dxa" w:w="2376"/>
            <w:tcMar>
              <w:top w:w="90" w:type="dxa"/>
              <w:start w:w="110" w:type="dxa"/>
              <w:bottom w:w="90" w:type="dxa"/>
              <w:end w:w="110" w:type="dxa"/>
            </w:tcMar>
            <w:vAlign w:val="top"/>
            <w:shd w:fill="F5F7FA"/>
          </w:tcPr>
          <w:p>
            <w:pPr>
              <w:spacing w:after="20" w:line="245" w:lineRule="auto"/>
            </w:pPr>
            <w:r>
              <w:rPr>
                <w:sz w:val="17"/>
              </w:rPr>
              <w:t>Product performance</w:t>
            </w:r>
          </w:p>
        </w:tc>
        <w:tc>
          <w:tcPr>
            <w:tcW w:type="dxa" w:w="4824"/>
            <w:tcMar>
              <w:top w:w="90" w:type="dxa"/>
              <w:start w:w="110" w:type="dxa"/>
              <w:bottom w:w="90" w:type="dxa"/>
              <w:end w:w="110" w:type="dxa"/>
            </w:tcMar>
            <w:vAlign w:val="top"/>
            <w:shd w:fill="F5F7FA"/>
          </w:tcPr>
          <w:p>
            <w:pPr>
              <w:spacing w:after="20" w:line="245" w:lineRule="auto"/>
            </w:pPr>
            <w:r>
              <w:rPr>
                <w:sz w:val="17"/>
              </w:rPr>
              <w:t>Dataset; cohort; sample size; period; methodology; confidence/error; independent/customer approval.</w:t>
            </w:r>
          </w:p>
        </w:tc>
        <w:tc>
          <w:tcPr>
            <w:tcW w:type="dxa" w:w="2952"/>
            <w:tcMar>
              <w:top w:w="90" w:type="dxa"/>
              <w:start w:w="110" w:type="dxa"/>
              <w:bottom w:w="90" w:type="dxa"/>
              <w:end w:w="110" w:type="dxa"/>
            </w:tcMar>
            <w:vAlign w:val="top"/>
            <w:shd w:fill="F5F7FA"/>
          </w:tcPr>
          <w:p>
            <w:pPr>
              <w:spacing w:after="20" w:line="245" w:lineRule="auto"/>
            </w:pPr>
            <w:r>
              <w:rPr>
                <w:sz w:val="17"/>
              </w:rPr>
              <w:t>Use qualitative capability wording without numeric promise.</w:t>
            </w:r>
          </w:p>
        </w:tc>
      </w:tr>
      <w:tr>
        <w:tc>
          <w:tcPr>
            <w:tcW w:type="dxa" w:w="2376"/>
            <w:tcMar>
              <w:top w:w="90" w:type="dxa"/>
              <w:start w:w="110" w:type="dxa"/>
              <w:bottom w:w="90" w:type="dxa"/>
              <w:end w:w="110" w:type="dxa"/>
            </w:tcMar>
            <w:vAlign w:val="top"/>
          </w:tcPr>
          <w:p>
            <w:pPr>
              <w:spacing w:after="20" w:line="245" w:lineRule="auto"/>
            </w:pPr>
            <w:r>
              <w:rPr>
                <w:sz w:val="17"/>
              </w:rPr>
              <w:t>Case-study outcomes</w:t>
            </w:r>
          </w:p>
        </w:tc>
        <w:tc>
          <w:tcPr>
            <w:tcW w:type="dxa" w:w="4824"/>
            <w:tcMar>
              <w:top w:w="90" w:type="dxa"/>
              <w:start w:w="110" w:type="dxa"/>
              <w:bottom w:w="90" w:type="dxa"/>
              <w:end w:w="110" w:type="dxa"/>
            </w:tcMar>
            <w:vAlign w:val="top"/>
          </w:tcPr>
          <w:p>
            <w:pPr>
              <w:spacing w:after="20" w:line="245" w:lineRule="auto"/>
            </w:pPr>
            <w:r>
              <w:rPr>
                <w:sz w:val="17"/>
              </w:rPr>
              <w:t>Customer permission; baseline; calculation; time period; attribution; anonymization approval.</w:t>
            </w:r>
          </w:p>
        </w:tc>
        <w:tc>
          <w:tcPr>
            <w:tcW w:type="dxa" w:w="2952"/>
            <w:tcMar>
              <w:top w:w="90" w:type="dxa"/>
              <w:start w:w="110" w:type="dxa"/>
              <w:bottom w:w="90" w:type="dxa"/>
              <w:end w:w="110" w:type="dxa"/>
            </w:tcMar>
            <w:vAlign w:val="top"/>
          </w:tcPr>
          <w:p>
            <w:pPr>
              <w:spacing w:after="20" w:line="245" w:lineRule="auto"/>
            </w:pPr>
            <w:r>
              <w:rPr>
                <w:sz w:val="17"/>
              </w:rPr>
              <w:t>Relabel as illustrative scenario or remove.</w:t>
            </w:r>
          </w:p>
        </w:tc>
      </w:tr>
      <w:tr>
        <w:tc>
          <w:tcPr>
            <w:tcW w:type="dxa" w:w="2376"/>
            <w:tcMar>
              <w:top w:w="90" w:type="dxa"/>
              <w:start w:w="110" w:type="dxa"/>
              <w:bottom w:w="90" w:type="dxa"/>
              <w:end w:w="110" w:type="dxa"/>
            </w:tcMar>
            <w:vAlign w:val="top"/>
            <w:shd w:fill="F5F7FA"/>
          </w:tcPr>
          <w:p>
            <w:pPr>
              <w:spacing w:after="20" w:line="245" w:lineRule="auto"/>
            </w:pPr>
            <w:r>
              <w:rPr>
                <w:sz w:val="17"/>
              </w:rPr>
              <w:t>Research/authors</w:t>
            </w:r>
          </w:p>
        </w:tc>
        <w:tc>
          <w:tcPr>
            <w:tcW w:type="dxa" w:w="4824"/>
            <w:tcMar>
              <w:top w:w="90" w:type="dxa"/>
              <w:start w:w="110" w:type="dxa"/>
              <w:bottom w:w="90" w:type="dxa"/>
              <w:end w:w="110" w:type="dxa"/>
            </w:tcMar>
            <w:vAlign w:val="top"/>
            <w:shd w:fill="F5F7FA"/>
          </w:tcPr>
          <w:p>
            <w:pPr>
              <w:spacing w:after="20" w:line="245" w:lineRule="auto"/>
            </w:pPr>
            <w:r>
              <w:rPr>
                <w:sz w:val="17"/>
              </w:rPr>
              <w:t>Source dataset; questionnaire/method; sample; author identity; disclosures; publication review.</w:t>
            </w:r>
          </w:p>
        </w:tc>
        <w:tc>
          <w:tcPr>
            <w:tcW w:type="dxa" w:w="2952"/>
            <w:tcMar>
              <w:top w:w="90" w:type="dxa"/>
              <w:start w:w="110" w:type="dxa"/>
              <w:bottom w:w="90" w:type="dxa"/>
              <w:end w:w="110" w:type="dxa"/>
            </w:tcMar>
            <w:vAlign w:val="top"/>
            <w:shd w:fill="F5F7FA"/>
          </w:tcPr>
          <w:p>
            <w:pPr>
              <w:spacing w:after="20" w:line="245" w:lineRule="auto"/>
            </w:pPr>
            <w:r>
              <w:rPr>
                <w:sz w:val="17"/>
              </w:rPr>
              <w:t>Do not publish as original research.</w:t>
            </w:r>
          </w:p>
        </w:tc>
      </w:tr>
    </w:tbl>
    <w:p>
      <w:pPr>
        <w:spacing w:after="20"/>
      </w:pPr>
    </w:p>
    <w:p>
      <w:pPr>
        <w:pStyle w:val="Heading1"/>
      </w:pPr>
      <w:r>
        <w:t>8. Relaunch acceptance checklist</w:t>
      </w:r>
    </w:p>
    <w:p>
      <w:pPr>
        <w:pStyle w:val="ListBullet"/>
        <w:spacing w:after="60"/>
        <w:ind w:left="346" w:hanging="230"/>
      </w:pPr>
      <w:r>
        <w:t>Every header, footer, body, card, CTA, and legal link passes a fresh crawl with no unexpected 4xx/5xx or parked-domain result.</w:t>
      </w:r>
    </w:p>
    <w:p>
      <w:pPr>
        <w:pStyle w:val="ListBullet"/>
        <w:spacing w:after="60"/>
        <w:ind w:left="346" w:hanging="230"/>
      </w:pPr>
      <w:r>
        <w:t>All six homepage capability cards open the correct detail pages.</w:t>
      </w:r>
    </w:p>
    <w:p>
      <w:pPr>
        <w:pStyle w:val="ListBullet"/>
        <w:spacing w:after="60"/>
        <w:ind w:left="346" w:hanging="230"/>
      </w:pPr>
      <w:r>
        <w:t>Corporate, Calendly, Privacy, Terms, Partner, contact, and newsletter paths are working and approved.</w:t>
      </w:r>
    </w:p>
    <w:p>
      <w:pPr>
        <w:pStyle w:val="ListBullet"/>
        <w:spacing w:after="60"/>
        <w:ind w:left="346" w:hanging="230"/>
      </w:pPr>
      <w:r>
        <w:t>Contact data, offices, legal entity, and response expectations are verified.</w:t>
      </w:r>
    </w:p>
    <w:p>
      <w:pPr>
        <w:pStyle w:val="ListBullet"/>
        <w:spacing w:after="60"/>
        <w:ind w:left="346" w:hanging="230"/>
      </w:pPr>
      <w:r>
        <w:t>The claim register is signed off; unsupported claims are removed.</w:t>
      </w:r>
    </w:p>
    <w:p>
      <w:pPr>
        <w:pStyle w:val="ListBullet"/>
        <w:spacing w:after="60"/>
        <w:ind w:left="346" w:hanging="230"/>
      </w:pPr>
      <w:r>
        <w:t>Case-study count and all global metrics are consistent.</w:t>
      </w:r>
    </w:p>
    <w:p>
      <w:pPr>
        <w:pStyle w:val="ListBullet"/>
        <w:spacing w:after="60"/>
        <w:ind w:left="346" w:hanging="230"/>
      </w:pPr>
      <w:r>
        <w:t>Assessment and calculator outputs pass finance/model-owner validation and display assumptions, limitations, and sources.</w:t>
      </w:r>
    </w:p>
    <w:p>
      <w:pPr>
        <w:pStyle w:val="ListBullet"/>
        <w:spacing w:after="60"/>
        <w:ind w:left="346" w:hanging="230"/>
      </w:pPr>
      <w:r>
        <w:t>No recommendation with commercially unreasonable payback is presented as a positive recommendation.</w:t>
      </w:r>
    </w:p>
    <w:p>
      <w:pPr>
        <w:pStyle w:val="ListBullet"/>
        <w:spacing w:after="60"/>
        <w:ind w:left="346" w:hanging="230"/>
      </w:pPr>
      <w:r>
        <w:t>Unique titles, descriptions, H1s, canonicals, robots rules, social metadata, and error statuses pass SEO review.</w:t>
      </w:r>
    </w:p>
    <w:p>
      <w:pPr>
        <w:pStyle w:val="ListBullet"/>
        <w:spacing w:after="60"/>
        <w:ind w:left="346" w:hanging="230"/>
      </w:pPr>
      <w:r>
        <w:t>Desktop and mobile regression passes at common breakpoints, including keyboard and screen-reader basics.</w:t>
      </w:r>
    </w:p>
    <w:p>
      <w:pPr>
        <w:pStyle w:val="ListBullet"/>
        <w:spacing w:after="60"/>
        <w:ind w:left="346" w:hanging="230"/>
      </w:pPr>
      <w:r>
        <w:t>Forms have required validation, accessible errors, spam protection, consent records, secure delivery, and success/failure states.</w:t>
      </w:r>
    </w:p>
    <w:p>
      <w:pPr>
        <w:pStyle w:val="ListBullet"/>
        <w:spacing w:after="60"/>
        <w:ind w:left="346" w:hanging="230"/>
      </w:pPr>
      <w:r>
        <w:t>Legal, Executive, Marketing, Web Engineering, and Sales Operations approve launch.</w:t>
      </w:r>
    </w:p>
    <w:p>
      <w:pPr>
        <w:pStyle w:val="Heading1"/>
      </w:pPr>
      <w:r>
        <w:t>9. Ownership matrix</w:t>
      </w:r>
    </w:p>
    <w:tbl>
      <w:tblPr>
        <w:tblW w:type="auto" w:w="0"/>
        <w:jc w:val="center"/>
        <w:tblLayout w:type="fixed"/>
        <w:tblLook w:firstColumn="1" w:firstRow="1" w:lastColumn="0" w:lastRow="0" w:noHBand="0" w:noVBand="1" w:val="04A0"/>
        <w:tblBorders>
          <w:top w:val="single" w:sz="4" w:color="CBD5E1"/>
          <w:left w:val="single" w:sz="4" w:color="CBD5E1"/>
          <w:bottom w:val="single" w:sz="4" w:color="CBD5E1"/>
          <w:right w:val="single" w:sz="4" w:color="CBD5E1"/>
          <w:insideH w:val="single" w:sz="4" w:color="CBD5E1"/>
          <w:insideV w:val="single" w:sz="4" w:color="CBD5E1"/>
        </w:tblBorders>
      </w:tblPr>
      <w:tblGrid>
        <w:gridCol w:w="3331"/>
        <w:gridCol w:w="3331"/>
        <w:gridCol w:w="3331"/>
      </w:tblGrid>
      <w:tr>
        <w:trPr>
          <w:tblHeader w:val="true"/>
        </w:trPr>
        <w:tc>
          <w:tcPr>
            <w:tcW w:type="dxa" w:w="3096"/>
            <w:shd w:fill="142B4A"/>
            <w:tcMar>
              <w:top w:w="90" w:type="dxa"/>
              <w:start w:w="110" w:type="dxa"/>
              <w:bottom w:w="90" w:type="dxa"/>
              <w:end w:w="110" w:type="dxa"/>
            </w:tcMar>
          </w:tcPr>
          <w:p>
            <w:r>
              <w:rPr>
                <w:b/>
                <w:color w:val="FFFFFF"/>
                <w:sz w:val="18"/>
              </w:rPr>
              <w:t>Workstream</w:t>
            </w:r>
          </w:p>
        </w:tc>
        <w:tc>
          <w:tcPr>
            <w:tcW w:type="dxa" w:w="2592"/>
            <w:shd w:fill="142B4A"/>
            <w:tcMar>
              <w:top w:w="90" w:type="dxa"/>
              <w:start w:w="110" w:type="dxa"/>
              <w:bottom w:w="90" w:type="dxa"/>
              <w:end w:w="110" w:type="dxa"/>
            </w:tcMar>
          </w:tcPr>
          <w:p>
            <w:r>
              <w:rPr>
                <w:b/>
                <w:color w:val="FFFFFF"/>
                <w:sz w:val="18"/>
              </w:rPr>
              <w:t>Accountable owner</w:t>
            </w:r>
          </w:p>
        </w:tc>
        <w:tc>
          <w:tcPr>
            <w:tcW w:type="dxa" w:w="4464"/>
            <w:shd w:fill="142B4A"/>
            <w:tcMar>
              <w:top w:w="90" w:type="dxa"/>
              <w:start w:w="110" w:type="dxa"/>
              <w:bottom w:w="90" w:type="dxa"/>
              <w:end w:w="110" w:type="dxa"/>
            </w:tcMar>
          </w:tcPr>
          <w:p>
            <w:r>
              <w:rPr>
                <w:b/>
                <w:color w:val="FFFFFF"/>
                <w:sz w:val="18"/>
              </w:rPr>
              <w:t>Contributors</w:t>
            </w:r>
          </w:p>
        </w:tc>
      </w:tr>
      <w:tr>
        <w:tc>
          <w:tcPr>
            <w:tcW w:type="dxa" w:w="3096"/>
            <w:tcMar>
              <w:top w:w="90" w:type="dxa"/>
              <w:start w:w="110" w:type="dxa"/>
              <w:bottom w:w="90" w:type="dxa"/>
              <w:end w:w="110" w:type="dxa"/>
            </w:tcMar>
            <w:vAlign w:val="top"/>
          </w:tcPr>
          <w:p>
            <w:pPr>
              <w:spacing w:after="20" w:line="245" w:lineRule="auto"/>
            </w:pPr>
            <w:r>
              <w:rPr>
                <w:sz w:val="17"/>
              </w:rPr>
              <w:t>Routing, errors, metadata, responsive QA</w:t>
            </w:r>
          </w:p>
        </w:tc>
        <w:tc>
          <w:tcPr>
            <w:tcW w:type="dxa" w:w="2592"/>
            <w:tcMar>
              <w:top w:w="90" w:type="dxa"/>
              <w:start w:w="110" w:type="dxa"/>
              <w:bottom w:w="90" w:type="dxa"/>
              <w:end w:w="110" w:type="dxa"/>
            </w:tcMar>
            <w:vAlign w:val="top"/>
          </w:tcPr>
          <w:p>
            <w:pPr>
              <w:spacing w:after="20" w:line="245" w:lineRule="auto"/>
            </w:pPr>
            <w:r>
              <w:rPr>
                <w:sz w:val="17"/>
              </w:rPr>
              <w:t>Web Engineering</w:t>
            </w:r>
          </w:p>
        </w:tc>
        <w:tc>
          <w:tcPr>
            <w:tcW w:type="dxa" w:w="4464"/>
            <w:tcMar>
              <w:top w:w="90" w:type="dxa"/>
              <w:start w:w="110" w:type="dxa"/>
              <w:bottom w:w="90" w:type="dxa"/>
              <w:end w:w="110" w:type="dxa"/>
            </w:tcMar>
            <w:vAlign w:val="top"/>
          </w:tcPr>
          <w:p>
            <w:pPr>
              <w:spacing w:after="20" w:line="245" w:lineRule="auto"/>
            </w:pPr>
            <w:r>
              <w:rPr>
                <w:sz w:val="17"/>
              </w:rPr>
              <w:t>SEO, Design, QA</w:t>
            </w:r>
          </w:p>
        </w:tc>
      </w:tr>
      <w:tr>
        <w:tc>
          <w:tcPr>
            <w:tcW w:type="dxa" w:w="3096"/>
            <w:tcMar>
              <w:top w:w="90" w:type="dxa"/>
              <w:start w:w="110" w:type="dxa"/>
              <w:bottom w:w="90" w:type="dxa"/>
              <w:end w:w="110" w:type="dxa"/>
            </w:tcMar>
            <w:vAlign w:val="top"/>
            <w:shd w:fill="F5F7FA"/>
          </w:tcPr>
          <w:p>
            <w:pPr>
              <w:spacing w:after="20" w:line="245" w:lineRule="auto"/>
            </w:pPr>
            <w:r>
              <w:rPr>
                <w:sz w:val="17"/>
              </w:rPr>
              <w:t>Privacy, Terms, claims, certifications</w:t>
            </w:r>
          </w:p>
        </w:tc>
        <w:tc>
          <w:tcPr>
            <w:tcW w:type="dxa" w:w="2592"/>
            <w:tcMar>
              <w:top w:w="90" w:type="dxa"/>
              <w:start w:w="110" w:type="dxa"/>
              <w:bottom w:w="90" w:type="dxa"/>
              <w:end w:w="110" w:type="dxa"/>
            </w:tcMar>
            <w:vAlign w:val="top"/>
            <w:shd w:fill="F5F7FA"/>
          </w:tcPr>
          <w:p>
            <w:pPr>
              <w:spacing w:after="20" w:line="245" w:lineRule="auto"/>
            </w:pPr>
            <w:r>
              <w:rPr>
                <w:sz w:val="17"/>
              </w:rPr>
              <w:t>Legal/Privacy</w:t>
            </w:r>
          </w:p>
        </w:tc>
        <w:tc>
          <w:tcPr>
            <w:tcW w:type="dxa" w:w="4464"/>
            <w:tcMar>
              <w:top w:w="90" w:type="dxa"/>
              <w:start w:w="110" w:type="dxa"/>
              <w:bottom w:w="90" w:type="dxa"/>
              <w:end w:w="110" w:type="dxa"/>
            </w:tcMar>
            <w:vAlign w:val="top"/>
            <w:shd w:fill="F5F7FA"/>
          </w:tcPr>
          <w:p>
            <w:pPr>
              <w:spacing w:after="20" w:line="245" w:lineRule="auto"/>
            </w:pPr>
            <w:r>
              <w:rPr>
                <w:sz w:val="17"/>
              </w:rPr>
              <w:t>Executive, Security, Marketing</w:t>
            </w:r>
          </w:p>
        </w:tc>
      </w:tr>
      <w:tr>
        <w:tc>
          <w:tcPr>
            <w:tcW w:type="dxa" w:w="3096"/>
            <w:tcMar>
              <w:top w:w="90" w:type="dxa"/>
              <w:start w:w="110" w:type="dxa"/>
              <w:bottom w:w="90" w:type="dxa"/>
              <w:end w:w="110" w:type="dxa"/>
            </w:tcMar>
            <w:vAlign w:val="top"/>
          </w:tcPr>
          <w:p>
            <w:pPr>
              <w:spacing w:after="20" w:line="245" w:lineRule="auto"/>
            </w:pPr>
            <w:r>
              <w:rPr>
                <w:sz w:val="17"/>
              </w:rPr>
              <w:t>Identity, funding, investors, team, offices</w:t>
            </w:r>
          </w:p>
        </w:tc>
        <w:tc>
          <w:tcPr>
            <w:tcW w:type="dxa" w:w="2592"/>
            <w:tcMar>
              <w:top w:w="90" w:type="dxa"/>
              <w:start w:w="110" w:type="dxa"/>
              <w:bottom w:w="90" w:type="dxa"/>
              <w:end w:w="110" w:type="dxa"/>
            </w:tcMar>
            <w:vAlign w:val="top"/>
          </w:tcPr>
          <w:p>
            <w:pPr>
              <w:spacing w:after="20" w:line="245" w:lineRule="auto"/>
            </w:pPr>
            <w:r>
              <w:rPr>
                <w:sz w:val="17"/>
              </w:rPr>
              <w:t>Executive/Operations</w:t>
            </w:r>
          </w:p>
        </w:tc>
        <w:tc>
          <w:tcPr>
            <w:tcW w:type="dxa" w:w="4464"/>
            <w:tcMar>
              <w:top w:w="90" w:type="dxa"/>
              <w:start w:w="110" w:type="dxa"/>
              <w:bottom w:w="90" w:type="dxa"/>
              <w:end w:w="110" w:type="dxa"/>
            </w:tcMar>
            <w:vAlign w:val="top"/>
          </w:tcPr>
          <w:p>
            <w:pPr>
              <w:spacing w:after="20" w:line="245" w:lineRule="auto"/>
            </w:pPr>
            <w:r>
              <w:rPr>
                <w:sz w:val="17"/>
              </w:rPr>
              <w:t>Legal, HR, Marketing</w:t>
            </w:r>
          </w:p>
        </w:tc>
      </w:tr>
      <w:tr>
        <w:tc>
          <w:tcPr>
            <w:tcW w:type="dxa" w:w="3096"/>
            <w:tcMar>
              <w:top w:w="90" w:type="dxa"/>
              <w:start w:w="110" w:type="dxa"/>
              <w:bottom w:w="90" w:type="dxa"/>
              <w:end w:w="110" w:type="dxa"/>
            </w:tcMar>
            <w:vAlign w:val="top"/>
            <w:shd w:fill="F5F7FA"/>
          </w:tcPr>
          <w:p>
            <w:pPr>
              <w:spacing w:after="20" w:line="245" w:lineRule="auto"/>
            </w:pPr>
            <w:r>
              <w:rPr>
                <w:sz w:val="17"/>
              </w:rPr>
              <w:t>Calculators and assessment</w:t>
            </w:r>
          </w:p>
        </w:tc>
        <w:tc>
          <w:tcPr>
            <w:tcW w:type="dxa" w:w="2592"/>
            <w:tcMar>
              <w:top w:w="90" w:type="dxa"/>
              <w:start w:w="110" w:type="dxa"/>
              <w:bottom w:w="90" w:type="dxa"/>
              <w:end w:w="110" w:type="dxa"/>
            </w:tcMar>
            <w:vAlign w:val="top"/>
            <w:shd w:fill="F5F7FA"/>
          </w:tcPr>
          <w:p>
            <w:pPr>
              <w:spacing w:after="20" w:line="245" w:lineRule="auto"/>
            </w:pPr>
            <w:r>
              <w:rPr>
                <w:sz w:val="17"/>
              </w:rPr>
              <w:t>Product/Finance Model Owner</w:t>
            </w:r>
          </w:p>
        </w:tc>
        <w:tc>
          <w:tcPr>
            <w:tcW w:type="dxa" w:w="4464"/>
            <w:tcMar>
              <w:top w:w="90" w:type="dxa"/>
              <w:start w:w="110" w:type="dxa"/>
              <w:bottom w:w="90" w:type="dxa"/>
              <w:end w:w="110" w:type="dxa"/>
            </w:tcMar>
            <w:vAlign w:val="top"/>
            <w:shd w:fill="F5F7FA"/>
          </w:tcPr>
          <w:p>
            <w:pPr>
              <w:spacing w:after="20" w:line="245" w:lineRule="auto"/>
            </w:pPr>
            <w:r>
              <w:rPr>
                <w:sz w:val="17"/>
              </w:rPr>
              <w:t>Engineering, Legal, UX</w:t>
            </w:r>
          </w:p>
        </w:tc>
      </w:tr>
      <w:tr>
        <w:tc>
          <w:tcPr>
            <w:tcW w:type="dxa" w:w="3096"/>
            <w:tcMar>
              <w:top w:w="90" w:type="dxa"/>
              <w:start w:w="110" w:type="dxa"/>
              <w:bottom w:w="90" w:type="dxa"/>
              <w:end w:w="110" w:type="dxa"/>
            </w:tcMar>
            <w:vAlign w:val="top"/>
          </w:tcPr>
          <w:p>
            <w:pPr>
              <w:spacing w:after="20" w:line="245" w:lineRule="auto"/>
            </w:pPr>
            <w:r>
              <w:rPr>
                <w:sz w:val="17"/>
              </w:rPr>
              <w:t>Case studies and insights</w:t>
            </w:r>
          </w:p>
        </w:tc>
        <w:tc>
          <w:tcPr>
            <w:tcW w:type="dxa" w:w="2592"/>
            <w:tcMar>
              <w:top w:w="90" w:type="dxa"/>
              <w:start w:w="110" w:type="dxa"/>
              <w:bottom w:w="90" w:type="dxa"/>
              <w:end w:w="110" w:type="dxa"/>
            </w:tcMar>
            <w:vAlign w:val="top"/>
          </w:tcPr>
          <w:p>
            <w:pPr>
              <w:spacing w:after="20" w:line="245" w:lineRule="auto"/>
            </w:pPr>
            <w:r>
              <w:rPr>
                <w:sz w:val="17"/>
              </w:rPr>
              <w:t>Content Marketing</w:t>
            </w:r>
          </w:p>
        </w:tc>
        <w:tc>
          <w:tcPr>
            <w:tcW w:type="dxa" w:w="4464"/>
            <w:tcMar>
              <w:top w:w="90" w:type="dxa"/>
              <w:start w:w="110" w:type="dxa"/>
              <w:bottom w:w="90" w:type="dxa"/>
              <w:end w:w="110" w:type="dxa"/>
            </w:tcMar>
            <w:vAlign w:val="top"/>
          </w:tcPr>
          <w:p>
            <w:pPr>
              <w:spacing w:after="20" w:line="245" w:lineRule="auto"/>
            </w:pPr>
            <w:r>
              <w:rPr>
                <w:sz w:val="17"/>
              </w:rPr>
              <w:t>Customer Success, Legal, Product</w:t>
            </w:r>
          </w:p>
        </w:tc>
      </w:tr>
      <w:tr>
        <w:tc>
          <w:tcPr>
            <w:tcW w:type="dxa" w:w="3096"/>
            <w:tcMar>
              <w:top w:w="90" w:type="dxa"/>
              <w:start w:w="110" w:type="dxa"/>
              <w:bottom w:w="90" w:type="dxa"/>
              <w:end w:w="110" w:type="dxa"/>
            </w:tcMar>
            <w:vAlign w:val="top"/>
            <w:shd w:fill="F5F7FA"/>
          </w:tcPr>
          <w:p>
            <w:pPr>
              <w:spacing w:after="20" w:line="245" w:lineRule="auto"/>
            </w:pPr>
            <w:r>
              <w:rPr>
                <w:sz w:val="17"/>
              </w:rPr>
              <w:t>Calendly, contact routing, response SLA</w:t>
            </w:r>
          </w:p>
        </w:tc>
        <w:tc>
          <w:tcPr>
            <w:tcW w:type="dxa" w:w="2592"/>
            <w:tcMar>
              <w:top w:w="90" w:type="dxa"/>
              <w:start w:w="110" w:type="dxa"/>
              <w:bottom w:w="90" w:type="dxa"/>
              <w:end w:w="110" w:type="dxa"/>
            </w:tcMar>
            <w:vAlign w:val="top"/>
            <w:shd w:fill="F5F7FA"/>
          </w:tcPr>
          <w:p>
            <w:pPr>
              <w:spacing w:after="20" w:line="245" w:lineRule="auto"/>
            </w:pPr>
            <w:r>
              <w:rPr>
                <w:sz w:val="17"/>
              </w:rPr>
              <w:t>Sales Operations</w:t>
            </w:r>
          </w:p>
        </w:tc>
        <w:tc>
          <w:tcPr>
            <w:tcW w:type="dxa" w:w="4464"/>
            <w:tcMar>
              <w:top w:w="90" w:type="dxa"/>
              <w:start w:w="110" w:type="dxa"/>
              <w:bottom w:w="90" w:type="dxa"/>
              <w:end w:w="110" w:type="dxa"/>
            </w:tcMar>
            <w:vAlign w:val="top"/>
            <w:shd w:fill="F5F7FA"/>
          </w:tcPr>
          <w:p>
            <w:pPr>
              <w:spacing w:after="20" w:line="245" w:lineRule="auto"/>
            </w:pPr>
            <w:r>
              <w:rPr>
                <w:sz w:val="17"/>
              </w:rPr>
              <w:t>Web Engineering, Operations</w:t>
            </w:r>
          </w:p>
        </w:tc>
      </w:tr>
    </w:tbl>
    <w:p>
      <w:pPr>
        <w:spacing w:after="20"/>
      </w:pPr>
    </w:p>
    <w:p>
      <w:pPr>
        <w:pStyle w:val="Heading1"/>
      </w:pPr>
      <w:r>
        <w:t>10. Audit scope and limitations</w:t>
      </w:r>
    </w:p>
    <w:p>
      <w:r>
        <w:t>The source website was reviewed in a live browser. Unique discovered HTTP(S) destinations were opened; repeated instances of shared navigation links were inventoried by destination rather than clicked individually. Telephone and mailto links were inspected but not launched because they would open local communications applications. Forms requesting personal information were not submitted. Representative mobile checks were performed at approximately 390 x 844; this does not replace full physical-device, assistive-technology, security, performance, or legal testing.</w:t>
      </w:r>
    </w:p>
    <w:p>
      <w:pPr>
        <w:pStyle w:val="SmallNote"/>
      </w:pPr>
      <w:r>
        <w:t>Status language in this brief reflects observed browser behavior on 27 August 2026. Company, funding, customer, team, investor, certification, and performance statements are flagged for verification; this brief does not independently assert that those claims are true or false.</w:t>
      </w:r>
    </w:p>
    <w:sectPr w:rsidR="00FC693F" w:rsidRPr="0006063C" w:rsidSect="00034616">
      <w:headerReference w:type="default" r:id="rId9"/>
      <w:footerReference w:type="default" r:id="rId10"/>
      <w:pgSz w:w="12240" w:h="15840"/>
      <w:pgMar w:top="1080" w:right="1123" w:bottom="1008"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E6B78"/>
        <w:sz w:val="16"/>
      </w:rPr>
      <w:t>FLOWTARIS AI  |  WEBSITE REMEDIATION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42B4A"/>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2266AA"/>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142B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color w:val="142B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ptos" w:hAnsi="Aptos"/>
      <w:color w:val="5E6B7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