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Georgia" w:cs="Georgia" w:eastAsia="Georgia" w:hAnsi="Georgia"/>
          <w:sz w:val="24"/>
          <w:szCs w:val="24"/>
        </w:rPr>
        <w:t xml:space="preserve">Titre professionnel</w:t>
      </w:r>
    </w:p>
    <w:p>
      <w:pPr>
        <w:spacing w:after="60"/>
        <w:jc w:val="center"/>
      </w:pPr>
      <w:r>
        <w:rPr>
          <w:rFonts w:ascii="Georgia" w:cs="Georgia" w:eastAsia="Georgia" w:hAnsi="Georgia"/>
          <w:b/>
          <w:bCs/>
          <w:sz w:val="32"/>
          <w:szCs w:val="32"/>
        </w:rPr>
        <w:t xml:space="preserve">Concepteur Développeur d’Applications</w:t>
      </w:r>
    </w:p>
    <w:p>
      <w:pPr>
        <w:spacing w:after="900"/>
        <w:jc w:val="center"/>
      </w:pPr>
      <w:r>
        <w:rPr>
          <w:rFonts w:ascii="Georgia" w:cs="Georgia" w:eastAsia="Georgia" w:hAnsi="Georgia"/>
          <w:color w:val="555555"/>
          <w:sz w:val="22"/>
          <w:szCs w:val="22"/>
        </w:rPr>
        <w:t xml:space="preserve">RNCP37873 — niveau 6</w:t>
      </w:r>
    </w:p>
    <w:p>
      <w:pPr>
        <w:pBdr>
          <w:top w:val="single" w:color="000000" w:sz="8" w:space="12"/>
          <w:bottom w:val="single" w:color="000000" w:sz="8" w:space="12"/>
        </w:pBdr>
        <w:spacing w:after="500"/>
        <w:jc w:val="center"/>
      </w:pPr>
      <w:r>
        <w:rPr>
          <w:rFonts w:ascii="Georgia" w:cs="Georgia" w:eastAsia="Georgia" w:hAnsi="Georgia"/>
          <w:b/>
          <w:bCs/>
          <w:sz w:val="44"/>
          <w:szCs w:val="44"/>
        </w:rPr>
        <w:t xml:space="preserve">DOSSIER DE PROJET</w:t>
      </w:r>
    </w:p>
    <w:p>
      <w:pPr>
        <w:spacing w:after="60"/>
        <w:jc w:val="center"/>
      </w:pPr>
      <w:r>
        <w:rPr>
          <w:rFonts w:ascii="Georgia" w:cs="Georgia" w:eastAsia="Georgia" w:hAnsi="Georgia"/>
          <w:b/>
          <w:bCs/>
          <w:sz w:val="34"/>
          <w:szCs w:val="34"/>
        </w:rPr>
        <w:t xml:space="preserve">Equime</w:t>
      </w:r>
    </w:p>
    <w:p>
      <w:pPr>
        <w:spacing w:after="1300"/>
        <w:jc w:val="center"/>
      </w:pPr>
      <w:r>
        <w:rPr>
          <w:rFonts w:ascii="Georgia" w:cs="Georgia" w:eastAsia="Georgia" w:hAnsi="Georgia"/>
          <w:i/>
          <w:iCs/>
          <w:sz w:val="24"/>
          <w:szCs w:val="24"/>
        </w:rPr>
        <w:t xml:space="preserve">Conception et développement d’une application web de gestion de centre équestre</w:t>
      </w:r>
    </w:p>
    <w:p>
      <w:pPr>
        <w:spacing w:after="60"/>
        <w:jc w:val="center"/>
      </w:pPr>
      <w:r>
        <w:rPr>
          <w:rFonts w:ascii="Georgia" w:cs="Georgia" w:eastAsia="Georgia" w:hAnsi="Georgia"/>
          <w:b/>
          <w:bCs/>
          <w:sz w:val="26"/>
          <w:szCs w:val="26"/>
        </w:rPr>
        <w:t xml:space="preserve">Florian Faucher</w:t>
      </w:r>
    </w:p>
    <w:p>
      <w:pPr>
        <w:spacing w:after="60"/>
        <w:jc w:val="center"/>
      </w:pPr>
      <w:r>
        <w:rPr>
          <w:rFonts w:ascii="Georgia" w:cs="Georgia" w:eastAsia="Georgia" w:hAnsi="Georgia"/>
          <w:sz w:val="22"/>
          <w:szCs w:val="22"/>
        </w:rPr>
        <w:t xml:space="preserve">Formation en alternance — session 2026</w:t>
      </w:r>
    </w:p>
    <w:p>
      <w:pPr>
        <w:spacing w:after="700"/>
        <w:jc w:val="center"/>
      </w:pPr>
      <w:r>
        <w:rPr>
          <w:rFonts w:ascii="Georgia" w:cs="Georgia" w:eastAsia="Georgia" w:hAnsi="Georgia"/>
          <w:i/>
          <w:iCs/>
          <w:color w:val="8B0000"/>
          <w:sz w:val="20"/>
          <w:szCs w:val="20"/>
        </w:rPr>
        <w:t xml:space="preserve">[Nom du centre de formation — à compléter]</w:t>
      </w:r>
    </w:p>
    <w:p>
      <w:pPr>
        <w:pageBreakBefore/>
        <w:spacing w:after="240"/>
      </w:pPr>
      <w:r>
        <w:rPr>
          <w:rFonts w:ascii="Georgia" w:cs="Georgia" w:eastAsia="Georgia" w:hAnsi="Georgia"/>
          <w:b/>
          <w:bCs/>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ageBreakBefore/>
      </w:pPr>
    </w:p>
    <w:p>
      <w:pPr>
        <w:pStyle w:val="Heading1"/>
        <w:pBdr>
          <w:bottom w:val="single" w:color="999999" w:sz="6" w:space="4"/>
        </w:pBdr>
      </w:pPr>
      <w:r>
        <w:t xml:space="preserve">Avant-propos</w:t>
      </w:r>
    </w:p>
    <w:p>
      <w:pPr>
        <w:jc w:val="both"/>
      </w:pPr>
      <w:r>
        <w:t xml:space="preserve">Ce dossier présente Equime, l’application de gestion de centre équestre que j’ai conçue et développée pendant ma formation de Concepteur Développeur d’Applications, menée en alternance. Mon année s’est partagée entre l’école, une semaine par mois, et l’entreprise, où j’occupe un poste orienté produit au sein d’une équipe qui fait vivre un ERP et une boutique en ligne B2B. Ce contexte a beaucoup compté dans ma façon d’aborder le projet : au quotidien, je vois ce que coûte une règle métier mal spécifiée, une migration de base non rejouable ou une mise en production improvisée. J’ai donc voulu qu’Equime soit traité comme un vrai produit, avec un backlog priorisé, des jalons, une recette formalisée et des décisions écrites, plutôt que comme un exercice de code.</w:t>
      </w:r>
    </w:p>
    <w:p>
      <w:pPr>
        <w:jc w:val="both"/>
      </w:pPr>
      <w:r>
        <w:t xml:space="preserve">Le choix du sujet vient d’un terrain que je connais bien. J’ai passé pas mal de temps dans un centre équestre proche de chez moi, et j’ai vu comment il fonctionne réellement : le planning des reprises dans un classeur Excel, l’attribution des chevaux griffonnée sur un tableau blanc un quart d’heure avant la séance, les certificats médicaux dans une pochette cartonnée, et la monitrice qui rappelle les familles une à une quand un cours saute. Chacun de ces irritants est devenu une fonctionnalité du projet. La plus intéressante à traiter, et celle que je considère comme la pièce maîtresse du dossier, est l’attribution automatique des chevaux aux cavaliers : un vrai problème d’optimisation sous contraintes, assez riche pour justifier une conception soignée et des tests sérieux, assez concret pour être expliqué à n’importe qui en deux minutes.</w:t>
      </w:r>
    </w:p>
    <w:p>
      <w:pPr>
        <w:jc w:val="both"/>
      </w:pPr>
      <w:r>
        <w:t xml:space="preserve">Une précision de périmètre avant d’entrer dans le détail : il s’agit de la troisième itération du projet. Une première version, développée pendant ma formation précédente, m’avait servi à apprendre ; une deuxième m’a surtout appris ce qu’il ne fallait pas faire. Celle-ci repart d’une page blanche avec un socle assumé : monorepo JavaScript de bout en bout, API Express 5 en couches strictes, React 18 côté client, PostgreSQL et Redis côté données, Docker partout. Tout ce qui est décrit dans ce dossier est présent dans le dépôt et démontrable en soutenance.</w:t>
      </w:r>
    </w:p>
    <w:p>
      <w:pPr>
        <w:pageBreakBefore/>
      </w:pPr>
    </w:p>
    <w:p>
      <w:pPr>
        <w:pStyle w:val="Heading1"/>
        <w:pBdr>
          <w:bottom w:val="single" w:color="999999" w:sz="6" w:space="4"/>
        </w:pBdr>
      </w:pPr>
      <w:r>
        <w:t xml:space="preserve">1. Compétences du référentiel mises en œuvre</w:t>
      </w:r>
    </w:p>
    <w:p>
      <w:pPr>
        <w:jc w:val="both"/>
      </w:pPr>
      <w:r>
        <w:t xml:space="preserve">Le projet couvre les trois blocs du référentiel. Plutôt qu’une liste abstraite, le tableau ci-dessous indique pour chaque compétence l’endroit précis du projet — et du présent dossier — où elle s’exerce. Les chapitres correspondants développent ensuite chaque point.</w:t>
      </w:r>
    </w:p>
    <w:tbl>
      <w:tblPr>
        <w:tblW w:type="dxa" w:w="9500"/>
        <w:tblBorders>
          <w:top w:val="single" w:color="999999" w:sz="6"/>
          <w:left w:val="none"/>
          <w:bottom w:val="single" w:color="999999" w:sz="6"/>
          <w:right w:val="none"/>
          <w:insideH w:val="single" w:color="CCCCCC" w:sz="2"/>
          <w:insideV w:val="none"/>
        </w:tblBorders>
      </w:tblPr>
      <w:tblGrid>
        <w:gridCol w:w="3400"/>
        <w:gridCol w:w="5200"/>
        <w:gridCol w:w="900"/>
      </w:tblGrid>
      <w:tr>
        <w:trPr>
          <w:tblHeader/>
        </w:trPr>
        <w:tc>
          <w:tcPr>
            <w:tcW w:type="dxa" w:w="34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Compétence (REAC)</w:t>
            </w:r>
          </w:p>
        </w:tc>
        <w:tc>
          <w:tcPr>
            <w:tcW w:type="dxa" w:w="52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Où elle s’exerce dans Equime</w:t>
            </w:r>
          </w:p>
        </w:tc>
        <w:tc>
          <w:tcPr>
            <w:tcW w:type="dxa" w:w="9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Chapitre</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Installer et configurer son environnement de travail en fonction du projet</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Monorepo npm workspaces, environnement Docker Compose de développement avec hot reload, ESLint en flat config, Prettier, EditorConfig, configuration validée au démarrage</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3.4, 12</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Développer des interfaces utilisateur</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SPA React 18 : plus de vingt écrans répartis sur quatre rôles, design system Tailwind 4 documenté, formulaires react-hook-form validés par les schémas Zod partagés</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4.5, 9</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Développer des composants métier</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Services purs et testés : scoring d’attribution des chevaux, génération des récurrences de cours, calcul tarifaire avec règles de réduction</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8.4 à 8.6</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Contribuer à la gestion d’un projet informatique</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Backlog MoSCoW de 31 user stories, huit sprints avec objectifs et jalons, Gantt, GitFlow, matrice de traçabilité exigences → tests</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3</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Analyser les besoins et maquetter une application</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Expression du besoin par rôle, critères d’acceptation testables, cas d’utilisation UML, design system et enchaînement des écrans</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2, 4</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Définir l’architecture logicielle d’une application</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Architecture en couches (route → validation → contrôleur → service → accès aux données), cinq décisions tracées en ADR</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5</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Concevoir et mettre en place une base de données relationnelle</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Démarche Merise complète (MCD, MLD, MPD), 26 modèles Prisma, migrations SQL versionnées, deux jeux de données de peuplement</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6</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Développer des composants d’accès aux données SQL et NoSQL</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Prisma 7 sur PostgreSQL 17 avec transactions ; Redis 7 pour la blacklist de jetons, le rate limiting et le cache du planning</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7</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Préparer et exécuter les plans de tests d’une application</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Cahier de tests de plus de soixante scénarios, 88 tests automatisés avec seuils de couverture bloquants, quatre parcours E2E Playwright, cahier de recette</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11</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Préparer et documenter le déploiement d’une application</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Images Docker multi-stage non-root, trois environnements Compose, Nginx frontal, procédure de mise en production écrite</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12</w:t>
            </w:r>
          </w:p>
        </w:tc>
      </w:tr>
      <w:tr>
        <w:tc>
          <w:tcPr>
            <w:tcW w:type="dxa" w:w="3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Contribuer à la mise en production dans une démarche DevOps</w:t>
            </w:r>
          </w:p>
        </w:tc>
        <w:tc>
          <w:tcPr>
            <w:tcW w:type="dxa" w:w="52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CI GitHub Actions : lint, tests avec services PostgreSQL et Redis, couverture, E2E, build d’images vers ghcr.io ; GitFlow main/develop</w:t>
            </w:r>
          </w:p>
        </w:tc>
        <w:tc>
          <w:tcPr>
            <w:tcW w:type="dxa" w:w="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12</w:t>
            </w:r>
          </w:p>
        </w:tc>
      </w:tr>
    </w:tbl>
    <w:p>
      <w:pPr>
        <w:pageBreakBefore/>
      </w:pPr>
    </w:p>
    <w:p>
      <w:pPr>
        <w:pStyle w:val="Heading1"/>
        <w:pBdr>
          <w:bottom w:val="single" w:color="999999" w:sz="6" w:space="4"/>
        </w:pBdr>
      </w:pPr>
      <w:r>
        <w:t xml:space="preserve">2. Expression du besoin et cahier des charges</w:t>
      </w:r>
    </w:p>
    <w:p>
      <w:pPr>
        <w:pStyle w:val="Heading2"/>
      </w:pPr>
      <w:r>
        <w:t xml:space="preserve">2.1 Le métier, tel qu’il se pratique aujourd’hui</w:t>
      </w:r>
    </w:p>
    <w:p>
      <w:pPr>
        <w:jc w:val="both"/>
      </w:pPr>
      <w:r>
        <w:t xml:space="preserve">Un centre équestre de taille moyenne — une trentaine de chevaux, deux cents familles adhérentes, deux ou trois moniteurs — vit au rythme de ses « reprises », les cours collectifs hebdomadaires. Chaque reprise mobilise un espace (manège couvert, carrière extérieure, paddock), un moniteur, et surtout un cheval par cavalier. C’est là que tout se complique. Un cheval ne peut pas travailler plus d’un certain nombre d’heures par semaine sans risque pour sa santé ; il ne convient qu’à une plage de niveaux (on ne met pas un débutant sur un cheval chaud, ni un cavalier de Galop 6 sur un poney d’initiation) ; certains couples cavalier-cheval fonctionnent très bien, d’autres pas du tout, et les familles le font savoir. Aujourd’hui, cette équation se résout de tête, sur un tableau blanc, quinze minutes avant chaque séance — avec les erreurs prévisibles : un cheval attribué deux fois sur le même créneau, une monture surexploitée trois semaines de suite, un cavalier remis sur le cheval qu’il redoute.</w:t>
      </w:r>
    </w:p>
    <w:p>
      <w:pPr>
        <w:jc w:val="both"/>
      </w:pPr>
      <w:r>
        <w:t xml:space="preserve">Autour de ce cœur gravitent des tâches administratives dispersées : les inscriptions et les certificats médicaux (obligatoires pour pratiquer, souvent expirés sans que personne ne s’en aperçoive), la facturation des abonnements avec ses réductions familiales, les stages et compétitions ponctuels, les feuilles d’appel, la communication avec les familles — aujourd’hui un mélange de téléphone, d’affichage dans l’écurie et de groupes de messagerie privés qui débordent. Le gérant du centre avec lequel j’ai validé les règles de gestion résumait bien la situation : « je passe mes soirées à faire de la saisie et je n’ai toujours pas de vue d’ensemble ».</w:t>
      </w:r>
    </w:p>
    <w:p>
      <w:pPr>
        <w:pStyle w:val="Heading2"/>
      </w:pPr>
      <w:r>
        <w:t xml:space="preserve">2.2 Objectifs du produit</w:t>
      </w:r>
    </w:p>
    <w:p>
      <w:pPr>
        <w:jc w:val="both"/>
      </w:pPr>
      <w:r>
        <w:t xml:space="preserve">Equime répond à ce constat par une application web unique, accessible aux familles comme à l’équipe du centre, qui couvre le cycle complet : gérer les familles, leurs cavaliers et leur dossier administratif ; gérer la cavalerie, son état de santé et sa charge de travail ; planifier des cours récurrents dans des espaces sans conflit ; inscrire les cavaliers en respectant niveaux et capacités ; attribuer les chevaux automatiquement en tenant compte de la santé, de la charge, du niveau et des affinités, tout en laissant le dernier mot au moniteur ; facturer les abonnements avec les réductions du centre ; et faire circuler l’information — événements, notifications, messagerie interne, incidents, bénévolat.</w:t>
      </w:r>
    </w:p>
    <w:p>
      <w:pPr>
        <w:jc w:val="both"/>
      </w:pPr>
      <w:r>
        <w:t xml:space="preserve">Quatre rôles structurent l’ensemble. Le visiteur consulte une vitrine publique et peut créer un compte. Le client gère sa famille : cavaliers, documents, inscriptions, factures, messagerie. Le moniteur prépare et anime ses séances : planning, appel, attribution des chevaux, déclaration d’incidents. L’administrateur pilote tout le reste : membres, cavalerie, espaces, planning, tarification, facturation, événements, et un tableau de bord avec les indicateurs qui manquaient au gérant — taux d’occupation des cours, chiffre d’affaires, charge de travail des chevaux avec alertes de dépassement.</w:t>
      </w:r>
    </w:p>
    <w:p>
      <w:pPr>
        <w:pStyle w:val="Heading2"/>
      </w:pPr>
      <w:r>
        <w:t xml:space="preserve">2.3 Contraintes</w:t>
      </w:r>
    </w:p>
    <w:p>
      <w:pPr>
        <w:jc w:val="both"/>
      </w:pPr>
      <w:r>
        <w:t xml:space="preserve">La contrainte la plus structurante est réglementaire : l’application stocke des certificats médicaux, c’est-à-dire des données de santé au sens du RGPD, qui plus est concernant majoritairement des mineurs. La conformité ne pouvait donc pas être une couche ajoutée à la fin ; elle a orienté la modélisation (consentement explicite porté par le cavalier, statuts de documents), l’architecture de stockage (fichiers hors racine web, servis par une route authentifiée) et le cycle de vie des données (anonymisation à la suppression de compte, durées de conservation par catégorie). Le chapitre 10 y est entièrement consacré.</w:t>
      </w:r>
    </w:p>
    <w:p>
      <w:pPr>
        <w:jc w:val="both"/>
      </w:pPr>
      <w:r>
        <w:t xml:space="preserve">Sur le plan technique, je me suis imposé une stack 100 % JavaScript moderne — ESM, Node 22 — sans TypeScript. C’est un choix qui surprend parfois, je l’assume et je l’argumente en détail dans l’ADR 004 (chapitre 5.4) : la sûreté qu’apporterait un typage statique est compensée à l’exécution par la validation Zod de toutes les entrées, par une JSDoc systématique qui donne l’autocomplétion et la vérification d’éditeur via @ts-check, et par un ESLint strict. Enfin, le produit devait rester auto-hébergeable sur un VPS unique et ne dépendre d’aucun service payant : le paiement est simulé en v1 (l’intégration d’un prestataire réel est une perspective assumée), et l’envoi d’e-mails passe par l’offre gratuite de SendGrid.</w:t>
      </w:r>
    </w:p>
    <w:p>
      <w:pPr>
        <w:pStyle w:val="Heading2"/>
      </w:pPr>
      <w:r>
        <w:t xml:space="preserve">2.4 Livrables convenus</w:t>
      </w:r>
    </w:p>
    <w:p>
      <w:pPr>
        <w:jc w:val="both"/>
      </w:pPr>
      <w:r>
        <w:t xml:space="preserve">Les livrables du projet sont l’application elle-même (API REST et interface web), le schéma de base de données et ses migrations rejouables, deux jeux de données de peuplement (développement et recette), la suite de tests automatisés, les images Docker et les configurations des trois environnements, la chaîne d’intégration continue, et la documentation : architecture, décisions d’architecture, sécurité, RGPD, cahier de tests, cahier de recette, matrice de traçabilité, plan de soutenance. L’ensemble vit dans un dépôt Git unique, ce qui n’est pas un détail : la documentation versionnée avec le code reste à jour, celle qui vit ailleurs meurt.</w:t>
      </w:r>
    </w:p>
    <w:p>
      <w:pPr>
        <w:pageBreakBefore/>
      </w:pPr>
    </w:p>
    <w:p>
      <w:pPr>
        <w:pStyle w:val="Heading1"/>
        <w:pBdr>
          <w:bottom w:val="single" w:color="999999" w:sz="6" w:space="4"/>
        </w:pBdr>
      </w:pPr>
      <w:r>
        <w:t xml:space="preserve">3. Gestion de projet</w:t>
      </w:r>
    </w:p>
    <w:p>
      <w:pPr>
        <w:pStyle w:val="Heading2"/>
      </w:pPr>
      <w:r>
        <w:t xml:space="preserve">3.1 La méthode, et pourquoi celle-là</w:t>
      </w:r>
    </w:p>
    <w:p>
      <w:pPr>
        <w:jc w:val="both"/>
      </w:pPr>
      <w:r>
        <w:t xml:space="preserve">J’ai conduit le projet seul, ce qui ne dispense pas de méthode — au contraire. Sans rituel d’équipe pour rattraper les dérives, la seule discipline qui tienne est celle qu’on s’impose par écrit. J’ai donc transposé ce que je pratique en entreprise dans mon rôle de Product Owner : un backlog unique en user stories priorisées MoSCoW, un découpage en sprints ayant chacun un objectif démontrable, et une règle de sortie stricte — pas de passage au sprint suivant tant que les critères d’acceptation ne sont pas vérifiés, les tests verts et la documentation à jour. Ce « GO » de fin de phase, je me le suis refusé deux fois : une fois en fin de sprint 2 parce qu’un scénario de rotation de jetons restait rouge, une fois en fin de sprint 4 parce que la couverture était passée sous le seuil après l’ajout de la facturation. Les deux fois, le sprint suivant a démarré avec deux jours de retard et un socle sain. Je préfère ça à l’inverse.</w:t>
      </w:r>
    </w:p>
    <w:p>
      <w:pPr>
        <w:jc w:val="both"/>
      </w:pPr>
      <w:r>
        <w:t xml:space="preserve">Le format des user stories est classique — « En tant que [rôle], je veux [action] afin de [bénéfice] » — mais je me suis attaché à ce que chaque story porte des critères d’acceptation réellement testables, reliés au cahier de tests par des identifiants stables (T-x.y). C’est ce lien qui alimente la matrice de traçabilité : pour chaque exigence, je peux dire quel module la porte, quels fichiers l’implémentent, quels tests la vérifient et où elle en est. Le jury pourra la consulter dans le dépôt (docs/traceabilite.md) ; un extrait figure au chapitre 11.</w:t>
      </w:r>
    </w:p>
    <w:p>
      <w:pPr>
        <w:pStyle w:val="Heading2"/>
      </w:pPr>
      <w:r>
        <w:t xml:space="preserve">3.2 Le déroulé réel, sprint par sprint</w:t>
      </w:r>
    </w:p>
    <w:p>
      <w:pPr>
        <w:jc w:val="both"/>
      </w:pPr>
      <w:r>
        <w:t xml:space="preserve">Huit sprints, numérotés S0 à S7, structurent le projet. Plutôt que le planning théorique, voici ce qui s’est réellement passé dans chacun, y compris ce qui a résisté.</w:t>
      </w:r>
    </w:p>
    <w:p>
      <w:pPr>
        <w:jc w:val="both"/>
      </w:pPr>
      <w:r>
        <w:rPr>
          <w:b/>
          <w:bCs/>
        </w:rPr>
        <w:t xml:space="preserve">S0 — Socle. </w:t>
      </w:r>
      <w:r>
        <w:t xml:space="preserve">Mise en place du monorepo, du Docker Compose de développement, de la CI minimale (lint) et du thème graphique. L’objectif était modeste : une API qui répond sur /health, une vitrine qui s’affiche, et un poste de travail où tout recharge à chaud. J’ai perdu une demi-journée sur un détail très concret : le HMR de Vite et le node --watch ne détectaient pas les modifications de fichiers dans les volumes Docker montés depuis Windows. Il a fallu activer le polling. C’est exactement le genre de friction qu’un sprint 0 sert à absorber avant qu’elle ne pollue les sprints utiles.</w:t>
      </w:r>
    </w:p>
    <w:p>
      <w:pPr>
        <w:jc w:val="both"/>
      </w:pPr>
      <w:r>
        <w:rPr>
          <w:b/>
          <w:bCs/>
        </w:rPr>
        <w:t xml:space="preserve">S1 — Conception. </w:t>
      </w:r>
      <w:r>
        <w:t xml:space="preserve">Semaine entièrement sans code, ce qui demande une certaine discipline quand on a envie d’avancer : MCD, MLD et MPD en Merise, diagrammes de cas d’utilisation par rôle, diagrammes de séquence pour les deux flux les plus délicats (authentification avec rotation de jetons, attribution des chevaux), backlog complet et jeux d’essai de l’attribution définis à l’avance. Ce dernier point s’est révélé le meilleur investissement du projet : quand j’ai implémenté l’algorithme au sprint 4, les cas limites étaient déjà écrits noir sur blanc — égalité de scores, cheval déjà pris, aucun cheval éligible — et je n’ai eu qu’à les traduire en tests.</w:t>
      </w:r>
    </w:p>
    <w:p>
      <w:pPr>
        <w:jc w:val="both"/>
      </w:pPr>
      <w:r>
        <w:rPr>
          <w:b/>
          <w:bCs/>
        </w:rPr>
        <w:t xml:space="preserve">S2 — Authentification. </w:t>
      </w:r>
      <w:r>
        <w:t xml:space="preserve">Le module le plus sensible, traité en premier parmi les modules fonctionnels. Services de jetons (signature, rotation, révocation), hachage argon2id, routes avec rate limiting Redis, pages de connexion et d’inscription, rafraîchissement silencieux côté client. Quatorze scénarios de test rien que pour ce module. La difficulté n’était pas d’écrire le code mais de tenir le modèle complet en tête ; le diagramme de séquence du sprint 1, scotché à côté de l’écran, a servi tous les jours.</w:t>
      </w:r>
    </w:p>
    <w:p>
      <w:pPr>
        <w:jc w:val="both"/>
      </w:pPr>
      <w:r>
        <w:rPr>
          <w:b/>
          <w:bCs/>
        </w:rPr>
        <w:t xml:space="preserve">S3 — Cœur métier. </w:t>
      </w:r>
      <w:r>
        <w:t xml:space="preserve">Familles et cavaliers avec téléversement de documents, cavalerie et carnets de santé, espaces, cours récurrents, inscriptions et présences, calendrier côté client et moniteur. Sprint le plus volumineux en écrans. C’est ici que le package partagé de schémas Zod a prouvé sa valeur : chaque nouveau formulaire réutilisait le schéma exact que l’API allait appliquer, et je n’ai jamais eu à déboguer une divergence de validation entre le front et le back.</w:t>
      </w:r>
    </w:p>
    <w:p>
      <w:pPr>
        <w:jc w:val="both"/>
      </w:pPr>
      <w:r>
        <w:rPr>
          <w:b/>
          <w:bCs/>
        </w:rPr>
        <w:t xml:space="preserve">S4 — Attribution et facturation. </w:t>
      </w:r>
      <w:r>
        <w:t xml:space="preserve">La pièce maîtresse algorithmique, isolée en fonctions pures testées avant toute intégration, puis l’orchestration transactionnelle, l’endpoint d’audit, l’écran moniteur avec correction manuelle. En parallèle, la tarification : formules d’abonnement, règles de réduction, génération de factures, paiement simulé. Le chemin critique identifié au Gantt s’est confirmé : l’attribution a demandé cinq jours pleins là où j’en avais budgété quatre, absorbés par la marge prévue.</w:t>
      </w:r>
    </w:p>
    <w:p>
      <w:pPr>
        <w:jc w:val="both"/>
      </w:pPr>
      <w:r>
        <w:rPr>
          <w:b/>
          <w:bCs/>
        </w:rPr>
        <w:t xml:space="preserve">S5 — Modules relationnels. </w:t>
      </w:r>
      <w:r>
        <w:t xml:space="preserve">Événements avec vitrine publique, messagerie interne, incidents, bénévolat, et le système de notifications — huit types, deux canaux (in-app et e-mail), avec préférences par type et par canal. Sprint plus étale, sans difficulté algorithmique, mais exigeant en rigueur : chaque module devait respecter les mêmes règles d’isolation (un client ne voit que sa famille) et brancher proprement ses notifications.</w:t>
      </w:r>
    </w:p>
    <w:p>
      <w:pPr>
        <w:jc w:val="both"/>
      </w:pPr>
      <w:r>
        <w:rPr>
          <w:b/>
          <w:bCs/>
        </w:rPr>
        <w:t xml:space="preserve">S6 — Recette et déploiement. </w:t>
      </w:r>
      <w:r>
        <w:t xml:space="preserve">Quatre parcours E2E Playwright, images multi-stage, environnements de préproduction et de production, Nginx, enrichissement de la CI (job E2E avec rapport archivé, build d’images vers le registre GitHub). Un incident de ce sprint mérite d’être raconté : les tests E2E échouaient par intermittence en 429, parce que les tests d’intégration précédents avaient consommé le quota de rate limiting de l’IP locale. La solution — un script de purge des compteurs Redis avant la suite E2E — est triviale, mais le diagnostic m’a pris une soirée entière. Bonne leçon sur les effets de bord entre suites de tests qui partagent une infrastructure.</w:t>
      </w:r>
    </w:p>
    <w:p>
      <w:pPr>
        <w:jc w:val="both"/>
      </w:pPr>
      <w:r>
        <w:rPr>
          <w:b/>
          <w:bCs/>
        </w:rPr>
        <w:t xml:space="preserve">S7 — Dossier. </w:t>
      </w:r>
      <w:r>
        <w:t xml:space="preserve">Consolidation de la documentation, jeu d’essai documenté, préparation de la soutenance et rédaction du présent dossier.</w:t>
      </w:r>
    </w:p>
    <w:p>
      <w:pPr>
        <w:pStyle w:val="Heading2"/>
      </w:pPr>
      <w:r>
        <w:t xml:space="preserve">3.3 Planification et gestion des risques</w:t>
      </w:r>
    </w:p>
    <w:p>
      <w:pPr>
        <w:jc w:val="both"/>
      </w:pPr>
      <w:r>
        <w:t xml:space="preserve">Le planning prévisionnel est tenu en diagramme de Gantt (docs/gantt.md), par sprints hebdomadaires, avec deux tâches marquées critiques : le service d’attribution et la recette en préproduction. Trois risques étaient identifiés dès le sprint 1, chacun avec sa mitigation : la complexité de la rotation des jetons (mitigée par le diagramme de séquence validé avant implémentation et les tests écrits au fil de l’eau), les cas limites de l’attribution (mitigés par le jeu d’essai défini dès la conception), et la mise au point du déploiement SSL sur VPS (mitigée par une préproduction iso-production démarrée en début de sprint 6). Aucun des trois ne s’est transformé en dérapage : le premier et le deuxième ont coûté les journées prévues dans la marge, le troisième reste sous surveillance à la date de rédaction.</w:t>
      </w:r>
    </w:p>
    <w:p>
      <w:pPr>
        <w:pStyle w:val="Heading2"/>
      </w:pPr>
      <w:r>
        <w:t xml:space="preserve">3.4 Environnement humain et technique</w:t>
      </w:r>
    </w:p>
    <w:p>
      <w:pPr>
        <w:jc w:val="both"/>
      </w:pPr>
      <w:r>
        <w:t xml:space="preserve">L’environnement humain se résume vite mais chaque acteur a compté : moi-même au développement ; le formateur référent pour les revues de jalons, qui a notamment challengé le choix « sans TypeScript » et m’a poussé à l’argumenter par écrit ; et le gérant d’un centre équestre partenaire dans le rôle du client métier, qui a validé les règles de gestion — c’est lui, par exemple, qui a fixé la pénalité de charge de l’algorithme d’attribution après que ma première proposition favorisait trop systématiquement les chevaux les moins montés, au détriment de la stabilité des couples cavalier-cheval.</w:t>
      </w:r>
    </w:p>
    <w:p>
      <w:pPr>
        <w:jc w:val="both"/>
      </w:pPr>
      <w:r>
        <w:t xml:space="preserve">Côté outillage : poste Windows 11 avec WSL2, VS Code, Docker Desktop, Node.js 22, Git. Le dépôt suit GitFlow — main pour la production, develop pour la préproduction, branches feature/* et hotfix/*, commit direct sur main interdit — avec des messages de commit conventionnels (feat:, fix:, docs:…) qui rendent l’historique lisible. GitHub Actions porte l’intégration continue et GitHub Container Registry héberge les images. Le fichier Makefile et les scripts npm donnent des points d’entrée uniformes : make dev, npm run migrate, npm run seed, npm run e2e.</w:t>
      </w:r>
    </w:p>
    <w:p>
      <w:pPr>
        <w:pStyle w:val="Heading2"/>
      </w:pPr>
      <w:r>
        <w:t xml:space="preserve">3.5 Objectifs qualité</w:t>
      </w:r>
    </w:p>
    <w:p>
      <w:pPr>
        <w:jc w:val="both"/>
      </w:pPr>
      <w:r>
        <w:t xml:space="preserve">Quatre règles non négociables, décidées au sprint 0 et tenues jusqu’au bout, encadrent la qualité. Toute entrée traversant le réseau est validée par un schéma Zod partagé entre le front et l’API — c’est la règle n° 2 du projet, et elle n’a pas d’exception. La couverture de tests des modules critiques ne descend pas sous 70 % (lignes, branches, fonctions) ; le seuil est bloquant en CI, ce qui m’a obligé une fois à écrire les tests que je remettais à plus tard. Le schéma de base de données n’évolue que par migrations versionnées — jamais de db push hors développement. Et la documentation s’enrichit à chaque phase, dans le même commit que le code qu’elle décrit : le tableau OWASP de docs/securite.md, par exemple, a été complété à chacun des six sprints de développement.</w:t>
      </w:r>
    </w:p>
    <w:p>
      <w:pPr>
        <w:pageBreakBefore/>
      </w:pPr>
    </w:p>
    <w:p>
      <w:pPr>
        <w:pStyle w:val="Heading1"/>
        <w:pBdr>
          <w:bottom w:val="single" w:color="999999" w:sz="6" w:space="4"/>
        </w:pBdr>
      </w:pPr>
      <w:r>
        <w:t xml:space="preserve">4. Spécifications fonctionnelles</w:t>
      </w:r>
    </w:p>
    <w:p>
      <w:pPr>
        <w:pStyle w:val="Heading2"/>
      </w:pPr>
      <w:r>
        <w:t xml:space="preserve">4.1 Règles de gestion métier</w:t>
      </w:r>
    </w:p>
    <w:p>
      <w:pPr>
        <w:jc w:val="both"/>
      </w:pPr>
      <w:r>
        <w:t xml:space="preserve">Avant les écrans et les stories, le projet repose sur un petit noyau de règles métier, validées avec le gérant du centre. Je les regroupe ici parce qu’elles irriguent tout le reste — le modèle de données, l’algorithme d’attribution, les validations et les tests.</w:t>
      </w:r>
    </w:p>
    <w:tbl>
      <w:tblPr>
        <w:tblW w:type="dxa" w:w="9500"/>
        <w:tblBorders>
          <w:top w:val="single" w:color="999999" w:sz="6"/>
          <w:left w:val="none"/>
          <w:bottom w:val="single" w:color="999999" w:sz="6"/>
          <w:right w:val="none"/>
          <w:insideH w:val="single" w:color="CCCCCC" w:sz="2"/>
          <w:insideV w:val="none"/>
        </w:tblBorders>
      </w:tblPr>
      <w:tblGrid>
        <w:gridCol w:w="1700"/>
        <w:gridCol w:w="7800"/>
      </w:tblGrid>
      <w:tr>
        <w:trPr>
          <w:tblHeader/>
        </w:trPr>
        <w:tc>
          <w:tcPr>
            <w:tcW w:type="dxa" w:w="17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Domaine</w:t>
            </w:r>
          </w:p>
        </w:tc>
        <w:tc>
          <w:tcPr>
            <w:tcW w:type="dxa" w:w="78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Règle</w:t>
            </w:r>
          </w:p>
        </w:tc>
      </w:tr>
      <w:tr>
        <w:tc>
          <w:tcPr>
            <w:tcW w:type="dxa" w:w="1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Niveaux</w:t>
            </w:r>
          </w:p>
        </w:tc>
        <w:tc>
          <w:tcPr>
            <w:tcW w:type="dxa" w:w="7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Un cavalier a un niveau unique, de « initiation » à Galop 7. Un cours et un cheval portent chacun une plage de niveaux (min-max). Une inscription n’est possible que si le niveau du cavalier entre dans la plage du cours ; un cheval n’est proposé que si le niveau du cavalier entre dans sa plage.</w:t>
            </w:r>
          </w:p>
        </w:tc>
      </w:tr>
      <w:tr>
        <w:tc>
          <w:tcPr>
            <w:tcW w:type="dxa" w:w="1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Santé des chevaux</w:t>
            </w:r>
          </w:p>
        </w:tc>
        <w:tc>
          <w:tcPr>
            <w:tcW w:type="dxa" w:w="7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Un cheval a un statut : en forme, repos, indisponible, blessé. Seul un cheval « en forme » est éligible à l’attribution. Chaque cheval porte une charge de travail hebdomadaire maximale et un seuil d’alerte ; le dépassement du seuil remonte sur le tableau de bord admin.</w:t>
            </w:r>
          </w:p>
        </w:tc>
      </w:tr>
      <w:tr>
        <w:tc>
          <w:tcPr>
            <w:tcW w:type="dxa" w:w="1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Affinités</w:t>
            </w:r>
          </w:p>
        </w:tc>
        <w:tc>
          <w:tcPr>
            <w:tcW w:type="dxa" w:w="7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Une famille peut déclarer, par couple cavalier-cheval, une affinité : favori, neutre ou à éviter. L’affinité influence le score d’attribution (+10 / 0 / −15) mais n’interdit rien : un cheval « à éviter » peut être attribué en dernier recours, avec un avertissement affiché au moniteur.</w:t>
            </w:r>
          </w:p>
        </w:tc>
      </w:tr>
      <w:tr>
        <w:tc>
          <w:tcPr>
            <w:tcW w:type="dxa" w:w="1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Récurrence</w:t>
            </w:r>
          </w:p>
        </w:tc>
        <w:tc>
          <w:tcPr>
            <w:tcW w:type="dxa" w:w="7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Un cours récurrent est une série hebdomadaire bornée par une date de fin. Chaque séance générée est un cours autonome rattaché à sa série : annuler une séance n’annule jamais la série, et inversement le choix doit être explicite.</w:t>
            </w:r>
          </w:p>
        </w:tc>
      </w:tr>
      <w:tr>
        <w:tc>
          <w:tcPr>
            <w:tcW w:type="dxa" w:w="1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Espaces</w:t>
            </w:r>
          </w:p>
        </w:tc>
        <w:tc>
          <w:tcPr>
            <w:tcW w:type="dxa" w:w="7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Deux cours ne peuvent pas occuper le même espace sur des créneaux qui se chevauchent. Le conflit est détecté à la création et refusé avec un message explicite.</w:t>
            </w:r>
          </w:p>
        </w:tc>
      </w:tr>
      <w:tr>
        <w:tc>
          <w:tcPr>
            <w:tcW w:type="dxa" w:w="1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Documents</w:t>
            </w:r>
          </w:p>
        </w:tc>
        <w:tc>
          <w:tcPr>
            <w:tcW w:type="dxa" w:w="7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Un cavalier a deux documents suivis : certificat médical et licence, chacun avec un statut (manquant, en attente, validé, refusé — motif obligatoire en cas de refus). Le téléversement du certificat médical exige un consentement explicite préalable.</w:t>
            </w:r>
          </w:p>
        </w:tc>
      </w:tr>
      <w:tr>
        <w:tc>
          <w:tcPr>
            <w:tcW w:type="dxa" w:w="1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Facturation</w:t>
            </w:r>
          </w:p>
        </w:tc>
        <w:tc>
          <w:tcPr>
            <w:tcW w:type="dxa" w:w="7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Une facture appartient à une famille, porte des lignes détaillées et suit un cycle : brouillon → envoyée → payée / en retard / annulée, avec numérotation séquentielle unique (FAC-AAAA-NNNN). Les montants sont en centimes entiers. Le prix d’un abonnement = formule − meilleure réduction applicable, jamais négatif.</w:t>
            </w:r>
          </w:p>
        </w:tc>
      </w:tr>
      <w:tr>
        <w:tc>
          <w:tcPr>
            <w:tcW w:type="dxa" w:w="1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Notifications</w:t>
            </w:r>
          </w:p>
        </w:tc>
        <w:tc>
          <w:tcPr>
            <w:tcW w:type="dxa" w:w="7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Huit types de notification (inscription à un cours, annulation, absence, facture créée, rappel d’impayé, paiement confirmé, inscription à un événement confirmée, incident). Chaque utilisateur règle chaque type sur deux canaux, in-app et e-mail ; une préférence désactivée bloque réellement l’envoi.</w:t>
            </w:r>
          </w:p>
        </w:tc>
      </w:tr>
    </w:tbl>
    <w:p>
      <w:pPr>
        <w:pStyle w:val="Heading2"/>
      </w:pPr>
      <w:r>
        <w:t xml:space="preserve">4.2 Le backlog en chiffres</w:t>
      </w:r>
    </w:p>
    <w:p>
      <w:pPr>
        <w:jc w:val="both"/>
      </w:pPr>
      <w:r>
        <w:t xml:space="preserve">Le backlog compte 31 user stories réparties en neuf epics : authentification et compte (6 US), famille et cavaliers (3), cavalerie et espaces (3), cours et planning (4), attribution des chevaux (3), facturation et abonnements (3), événements (3), messagerie-incidents-bénévolat-notifications (4), administration et pilotage (2). Vingt-quatre sont priorisées Must, cinq Should, deux Could. Le périmètre écarté est consigné dans une section « Won’t » avec sa justification, parce qu’un choix non documenté est indéfendable à l’oral : paiement réel Stripe (le paiement simulé suffit à démontrer la compétence, l’intégration d’un prestataire est une perspective), WebSocket temps réel (le polling de TanStack Query suffit à cette échelle), application mobile native (le web responsive couvre l’usage), multi-centres (un seul centre en v1, mais rien dans l’architecture ne l’empêche).</w:t>
      </w:r>
    </w:p>
    <w:p>
      <w:pPr>
        <w:pStyle w:val="Heading2"/>
      </w:pPr>
      <w:r>
        <w:t xml:space="preserve">4.3 Trois user stories détaillées</w:t>
      </w:r>
    </w:p>
    <w:p>
      <w:pPr>
        <w:jc w:val="both"/>
      </w:pPr>
      <w:r>
        <w:t xml:space="preserve">Reproduire les 31 stories ici n’aurait pas de sens — le backlog complet est dans le dépôt. J’en détaille trois, choisies parce qu’elles couvrent des registres différents : un parcours de sécurité, la pièce maîtresse algorithmique, et une exigence RGPD.</w:t>
      </w:r>
    </w:p>
    <w:p>
      <w:pPr>
        <w:pStyle w:val="Heading3"/>
      </w:pPr>
      <w:r>
        <w:t xml:space="preserve">US-1.3 — Session silencieuse (Must)</w:t>
      </w:r>
    </w:p>
    <w:p>
      <w:pPr>
        <w:jc w:val="both"/>
      </w:pPr>
      <w:r>
        <w:t xml:space="preserve">« En tant qu’utilisateur connecté, je veux que ma session se prolonge sans action de ma part afin de ne pas être déconnecté toutes les quinze minutes. » Critères d’acceptation : sur une réponse 401 portant le code TOKEN_EXPIRED, le client HTTP déclenche un rafraîchissement silencieux puis rejoue la requête initiale, une seule fois ; chaque rafraîchissement fait tourner le jeton (l’ancien est révoqué, le nouveau hérite de la famille) ; la réutilisation d’un jeton déjà consommé révoque la famille entière ; un seul rafraîchissement part même si plusieurs requêtes échouent simultanément. Cette story a l’air petite ; elle a structuré toute la conception de l’authentification (chapitre 8.3).</w:t>
      </w:r>
    </w:p>
    <w:p>
      <w:pPr>
        <w:pStyle w:val="Heading3"/>
      </w:pPr>
      <w:r>
        <w:t xml:space="preserve">US-5.1 — Attribution automatique (Must)</w:t>
      </w:r>
    </w:p>
    <w:p>
      <w:pPr>
        <w:jc w:val="both"/>
      </w:pPr>
      <w:r>
        <w:t xml:space="preserve">« En tant que moniteur, je veux attribuer automatiquement les chevaux d’une séance afin de gagner du temps et d’optimiser les couples cavalier-cheval. » Critères : ne sont éligibles que les chevaux en forme dont la charge hebdomadaire reste sous leur maximum ; le score d’un couple vaut +10 si favori, −15 si à éviter, +5 si le niveau est compatible, moins cinq points par heure de charge déjà accumulée ; un cheval n’est jamais attribué deux fois dans la même séance ; la charge hebdomadaire est incrémentée de la durée du cours ; tout est transactionnel — un échec au milieu du lot n’écrit rien ; les inscriptions sans solution ressortent en conflits avec leur raison. Six cas limites sont exigés en tests unitaires : nominal, affinité à éviter, surcharge, aucun éligible, égalité de scores, cheval déjà pris.</w:t>
      </w:r>
    </w:p>
    <w:p>
      <w:pPr>
        <w:pStyle w:val="Heading3"/>
      </w:pPr>
      <w:r>
        <w:t xml:space="preserve">US-1.6 — Suppression de compte (Should)</w:t>
      </w:r>
    </w:p>
    <w:p>
      <w:pPr>
        <w:jc w:val="both"/>
      </w:pPr>
      <w:r>
        <w:t xml:space="preserve">« En tant que client, je veux supprimer mon compte afin d’exercer mon droit à l’effacement. » Critères : confirmation explicite nommant les conséquences (l’utilisateur doit saisir littéralement « SUPPRIMER MON COMPTE ») ; anonymisation des données personnelles — nom, e-mail, téléphone effacés ou pseudonymisés, documents supprimés du volume ; conservation des factures sous référence anonymisée, obligation comptable oblige ; révocation immédiate de toutes les sessions ; connexion définitivement impossible. Cette story montre bien pourquoi les critères d’acceptation doivent être écrits avant le code : « supprimer un compte » semble trivial jusqu’à ce qu’on liste ce qui doit survivre à la suppression.</w:t>
      </w:r>
    </w:p>
    <w:p>
      <w:pPr>
        <w:pStyle w:val="Heading2"/>
      </w:pPr>
      <w:r>
        <w:t xml:space="preserve">4.4 Cas d’utilisation</w:t>
      </w:r>
    </w:p>
    <w:p>
      <w:pPr>
        <w:jc w:val="both"/>
      </w:pPr>
      <w:r>
        <w:t xml:space="preserve">Les diagrammes de cas d’utilisation, un par rôle, sont dans le dépôt (docs/uml/cas-utilisation.md). Le visiteur accède à quatre cas : consulter la vitrine, créer un compte, se connecter, demander une réinitialisation de mot de passe — la création de compte incluant systématiquement la création de la famille, car un client sans famille ne peut rien faire dans l’application. Le client couvre trois groupes : la famille (gérer les cavaliers, téléverser les documents avec consentement, déclarer les affinités), les activités (inscrire à un cours, réserver un événement, consulter le planning familial, se porter bénévole) et le compte (factures et paiement, préférences de notification, suppression RGPD). Le moniteur : consulter son planning avec filtre « mes séances / structure », faire l’appel, lancer l’attribution et la corriger, déclarer un incident. L’administrateur reprend l’ensemble en y ajoutant le pilotage : tableau de bord, membres et bannissement, validation des documents, cavalerie et carnets de santé, espaces, tarification, facturation et relances, événements.</w:t>
      </w:r>
    </w:p>
    <w:p>
      <w:pPr>
        <w:jc w:val="both"/>
      </w:pPr>
      <w:r>
        <w:t xml:space="preserve">Deux diagrammes de séquence complètent ces vues pour les flux les moins triviaux : l’authentification complète (connexion, rafraîchissement avec rotation, détection de réutilisation, déconnexion — docs/uml/sequence-authentification.md) et l’attribution des chevaux (simulation, persistance transactionnelle, gestion des conflits — docs/uml/sequence-attribution-chevaux.md). Je les ai dessinés avant d’écrire la première ligne de ces modules, et ils ont servi de contrat pendant l’implémentation.</w:t>
      </w:r>
    </w:p>
    <w:p>
      <w:pPr>
        <w:pStyle w:val="Heading2"/>
      </w:pPr>
      <w:r>
        <w:t xml:space="preserve">4.5 Maquettage et enchaînement des écrans</w:t>
      </w:r>
    </w:p>
    <w:p>
      <w:pPr>
        <w:jc w:val="both"/>
      </w:pPr>
      <w:r>
        <w:t xml:space="preserve">Le maquettage a suivi une voie un peu différente du wireframe classique. Plutôt que de dessiner chaque écran, j’ai d’abord constitué un design system complet (docs/design-system.md) : palette navy et or avec une règle simple — « l’or est rare », un seul élément doré par écran, le chiffre clé ou l’action principale ; deux polices, Cormorant Garamond pour les titres et Outfit pour le texte courant, auto-hébergées pour ne pas dépendre d’un CDN tiers ; des badges sémantiques de statut identiques partout (un cheval blessé, une facture en retard et un document refusé partagent le même langage visuel) ; et les états vides systématiques avec appel à l’action. Les écrans ont ensuite été composés directement à partir de ces briques, en commençant par des versions grossières validées avec le gérant sur trois parcours clés : l’inscription d’un cavalier à un cours, l’attribution côté moniteur, la validation de documents côté admin.</w:t>
      </w:r>
    </w:p>
    <w:p>
      <w:pPr>
        <w:jc w:val="both"/>
      </w:pPr>
      <w:r>
        <w:t xml:space="preserve">L’enchaînement principal côté client illustre la logique d’accompagnement : vitrine → inscription → tableau de bord quasi vide avec une carte d’onboarding « ajoutez votre premier cavalier » → fiche cavalier avec téléversement des documents → inscription à un cours filtré par niveau → planning familial. Côté moniteur, tout converge vers la séance : connexion → planning du jour → détail de séance → attribution automatique → correction manuelle éventuelle → appel. Côté admin, le tableau de bord sert de sommaire actif : chaque KPI ou alerte est cliquable vers l’écran de gestion concerné.</w:t>
      </w:r>
    </w:p>
    <w:p>
      <w:pPr>
        <w:spacing w:after="160" w:before="80"/>
        <w:jc w:val="left"/>
      </w:pPr>
      <w:r>
        <w:rPr>
          <w:i/>
          <w:iCs/>
          <w:color w:val="8B0000"/>
          <w:sz w:val="19"/>
          <w:szCs w:val="19"/>
        </w:rPr>
        <w:t xml:space="preserve">[À insérer : 2 à 3 maquettes ou photos des croquis initiaux si tu les as gardés — sinon supprime cet encart, les captures du chapitre 9 tiennent lieu de maquettes finales.]</w:t>
      </w:r>
    </w:p>
    <w:p>
      <w:pPr>
        <w:pageBreakBefore/>
      </w:pPr>
    </w:p>
    <w:p>
      <w:pPr>
        <w:pStyle w:val="Heading1"/>
        <w:pBdr>
          <w:bottom w:val="single" w:color="999999" w:sz="6" w:space="4"/>
        </w:pBdr>
      </w:pPr>
      <w:r>
        <w:t xml:space="preserve">5. Architecture logicielle</w:t>
      </w:r>
    </w:p>
    <w:p>
      <w:pPr>
        <w:pStyle w:val="Heading2"/>
      </w:pPr>
      <w:r>
        <w:t xml:space="preserve">5.1 Vue d’ensemble : un monorepo, trois workspaces</w:t>
      </w:r>
    </w:p>
    <w:p>
      <w:pPr>
        <w:jc w:val="both"/>
      </w:pPr>
      <w:r>
        <w:t xml:space="preserve">Le dépôt est un monorepo npm workspaces à trois espaces. apps/api porte l’API REST Express 5 ; apps/web la SPA React 18 construite par Vite ; packages/shared les schémas de validation Zod, les énumérations et les libellés français. Ce troisième espace est la clé de voûte : le même schéma registerSchema valide le formulaire d’inscription dans le navigateur (via react-hook-form et zodResolver) et le corps de la requête POST /auth/register côté API (via le middleware validate). Une règle de validation n’existe qu’à un seul endroit ; quand la politique de mot de passe a changé en cours de projet (passage de 10 à 12 caractères minimum), la modification a tenu en une ligne et les deux côtés ont suivi.</w:t>
      </w:r>
    </w:p>
    <w:p>
      <w:pPr>
        <w:jc w:val="both"/>
      </w:pPr>
      <w:r>
        <w:t xml:space="preserve">Le navigateur ne parle qu’à l’API, en JSON, sous le préfixe /api/v1. En développement, le serveur Vite proxifie /api vers le conteneur de l’API : pas de CORS entre domaines différents, et les chemins sont identiques à ceux de la production, où c’est Nginx qui assure le même rôle. Les données vivent dans PostgreSQL 17 pour tout ce qui est métier et dans Redis 7 pour tout ce qui est volatil — jetons révoqués, compteurs de rate limiting, cache du planning. Cette séparation n’est pas cosmétique : elle correspond à des durées de vie et des garanties différentes, et elle me donne l’occasion de démontrer un composant d’accès aux données NoSQL réellement utile (chapitre 7).</w:t>
      </w:r>
    </w:p>
    <w:p>
      <w:pPr>
        <w:pStyle w:val="Heading2"/>
      </w:pPr>
      <w:r>
        <w:t xml:space="preserve">5.2 Les couches de l’API, et le trajet d’une requête</w:t>
      </w:r>
    </w:p>
    <w:p>
      <w:pPr>
        <w:jc w:val="both"/>
      </w:pPr>
      <w:r>
        <w:t xml:space="preserve">L’API suit un découpage en couches strict, que je peux résumer en suivant une requête réelle : un client inscrit son cavalier à un cours, POST /api/v1/courses/:id/enrollments. La requête traverse d’abord les middlewares transverses d’app.js — helmet pour les en-têtes de sécurité, CORS avec liste blanche, parsing JSON limité à 1 Mo, logging structuré pino. Elle atteint le routeur des cours, qui déclare la chaîne : requireAuth vérifie le jeton d’accès (signature, expiration, puis blacklist Redis), requireRole vérifie le rôle, validate(enrollmentSchema) valide et normalise le corps. Le contrôleur, volontairement maigre, extrait l’identifiant et l’utilisateur courant et appelle le service. courseService applique alors les règles : le cavalier appartient-il bien à la famille de l’utilisateur ? Son niveau entre-t-il dans la plage du cours ? Reste-t-il de la place ? Le quota d’abonnement le permet-il ? Chaque refus lève une AppError avec un code HTTP et un message contrôlés. En cas de succès, l’écriture passe par Prisma, le cache Redis du planning est invalidé, la notification part selon les préférences, et le contrôleur renvoie 201. Si quoi que ce soit lève en route, l’errorHandler central prend la main : erreur opérationnelle → réponse structurée au bon code HTTP ; bug inattendu → 500 générique, détail loggé côté serveur uniquement, stack jamais exposée hors développement.</w:t>
      </w:r>
    </w:p>
    <w:p>
      <w:pPr>
        <w:jc w:val="both"/>
      </w:pPr>
      <w:r>
        <w:t xml:space="preserve">Deux propriétés découlent de ce découpage et je m’y suis tenu partout. D’abord, les services ne connaissent ni req ni res : ils prennent des données, rendent des données, lèvent des AppError — ce qui les rend testables sans HTTP. Ensuite, les contrôleurs ne contiennent aucune logique : on peut les lire en dix secondes et il n’y a rien à y tester d’intéressant, les tests d’intégration passant par les routes complètes.</w:t>
      </w:r>
    </w:p>
    <w:p>
      <w:pPr>
        <w:pStyle w:val="Heading2"/>
      </w:pPr>
      <w:r>
        <w:t xml:space="preserve">5.3 Le front : features, données serveur, état client</w:t>
      </w:r>
    </w:p>
    <w:p>
      <w:pPr>
        <w:jc w:val="both"/>
      </w:pPr>
      <w:r>
        <w:t xml:space="preserve">Côté React, le code est organisé par features (auth, riders, billing, engagement, admin…) plutôt que par type de fichier : chaque feature regroupe ses pages, ses composants et son module d’accès à l’API. La donnée serveur est entièrement gérée par TanStack Query — cache, invalidations après mutation, polling pour la messagerie — tandis que l’état purement client se réduit à un petit store Zustand : l’utilisateur courant et l’état de session (chargement, connecté, déconnecté). Cette frontière nette évite le piège classique du store global qui duplique le cache serveur. Les gardes de routes (RequireAuth, RedirectIfAuthenticated, contrôle de rôle) enveloppent les layouts de React Router v7, et chaque rôle a son layout avec sa navigation propre.</w:t>
      </w:r>
    </w:p>
    <w:p>
      <w:pPr>
        <w:pStyle w:val="Heading2"/>
      </w:pPr>
      <w:r>
        <w:t xml:space="preserve">5.4 Les décisions d’architecture, tracées et argumentées</w:t>
      </w:r>
    </w:p>
    <w:p>
      <w:pPr>
        <w:jc w:val="both"/>
      </w:pPr>
      <w:r>
        <w:t xml:space="preserve">Cinq décisions structurantes sont documentées en ADR (Architecture Decision Records) dans docs/adr/, chacune avec son contexte, les options réellement étudiées et les conséquences acceptées. Je les résume ici avec l’essentiel de l’argumentaire, car elles reviendront forcément à l’oral.</w:t>
      </w:r>
    </w:p>
    <w:p>
      <w:pPr>
        <w:jc w:val="both"/>
      </w:pPr>
      <w:r>
        <w:rPr>
          <w:b/>
          <w:bCs/>
        </w:rPr>
        <w:t xml:space="preserve">ADR 001 — Express 5 comme framework d’API. </w:t>
      </w:r>
      <w:r>
        <w:t xml:space="preserve">Face à Fastify (plus rapide sur les benchmarks) et NestJS (plus structurant), j’ai retenu Express 5 pour deux raisons assumées : c’est le framework dont je peux expliquer chaque middleware sans zone d’ombre, et sa version 5 propage nativement les promesses rejetées vers le gestionnaire d’erreurs — ce qui supprime toute une classe de bugs de try/catch oubliés dans les contrôleurs async. Le coût accepté : pas de validation ni d’injection de dépendances fournies par le framework, ce que Zod et une organisation en modules ES couvrent très bien.</w:t>
      </w:r>
    </w:p>
    <w:p>
      <w:pPr>
        <w:jc w:val="both"/>
      </w:pPr>
      <w:r>
        <w:rPr>
          <w:b/>
          <w:bCs/>
        </w:rPr>
        <w:t xml:space="preserve">ADR 002 — Authentification maison. </w:t>
      </w:r>
      <w:r>
        <w:t xml:space="preserve">Le choix le plus discuté du projet. Passport n’apporte qu’une abstraction de « stratégie » dont je n’avais pas l’usage pour une seule stratégie locale ; les solutions clé en main type Better Auth ou Auth.js sont efficaces mais opaques — et le module d’authentification est précisément celui que le jury scrute le plus. J’ai donc implémenté le modèle complet : JWT d’accès courte durée signé HS256, refresh token opaque à rotation avec détection de réutilisation par famille, hachage argon2id, blacklist Redis. La responsabilité de « bien faire » est compensée par quatorze scénarios de test et l’appui systématique sur les cheat sheets OWASP. Je détaille l’implémentation au chapitre 8.3.</w:t>
      </w:r>
    </w:p>
    <w:p>
      <w:pPr>
        <w:jc w:val="both"/>
      </w:pPr>
      <w:r>
        <w:rPr>
          <w:b/>
          <w:bCs/>
        </w:rPr>
        <w:t xml:space="preserve">ADR 003 — Prisma comme ORM. </w:t>
      </w:r>
      <w:r>
        <w:t xml:space="preserve">Contre Knex (trop bas niveau pour la productivité visée) et Sequelize (API vieillissante), Prisma apporte le schéma déclaratif lisible par un non-développeur, les migrations SQL générées et versionnées, et des requêtes systématiquement paramétrées. La version 7 a introduit une contrainte inattendue que je raconte au chapitre 7.1 : le client généré est du TypeScript, dans un projet qui n’en a pas.</w:t>
      </w:r>
    </w:p>
    <w:p>
      <w:pPr>
        <w:jc w:val="both"/>
      </w:pPr>
      <w:r>
        <w:rPr>
          <w:b/>
          <w:bCs/>
        </w:rPr>
        <w:t xml:space="preserve">ADR 004 — JavaScript sans TypeScript. </w:t>
      </w:r>
      <w:r>
        <w:t xml:space="preserve">Décision de périmètre prise en connaissance de cause. TypeScript vérifie des types à la compilation mais ne protège en rien à l’exécution contre une entrée réseau malformée — Zod si. Le projet compense le typage statique par trois dispositifs cumulés : validation Zod de toutes les entrées (réseau, formulaires, variables d’environnement), JSDoc complète sur les services avec @ts-check activé (l’éditeur vérifie les types à partir de la JSDoc, sans étape de build), et ESLint strict. J’assume la conséquence : sur un projet à plusieurs équipes, je recommanderais TypeScript ; ici, le choix garde la chaîne de build minimale et fait de la validation runtime un réflexe permanent.</w:t>
      </w:r>
    </w:p>
    <w:p>
      <w:pPr>
        <w:jc w:val="both"/>
      </w:pPr>
      <w:r>
        <w:rPr>
          <w:b/>
          <w:bCs/>
        </w:rPr>
        <w:t xml:space="preserve">ADR 005 — Tailwind CSS 4. </w:t>
      </w:r>
      <w:r>
        <w:t xml:space="preserve">Le design system vit dans un thème centralisé (couleurs, espacements, polices) et les écrans le consomment en classes utilitaires : pas de CSS orphelin qui s’accumule, et la cohérence visuelle est mécanique. La version 4 se branche directement sur Vite sans PostCSS à configurer.</w:t>
      </w:r>
    </w:p>
    <w:p>
      <w:pPr>
        <w:pStyle w:val="Heading2"/>
      </w:pPr>
      <w:r>
        <w:t xml:space="preserve">5.5 Trois environnements d’exécution</w:t>
      </w:r>
    </w:p>
    <w:p>
      <w:pPr>
        <w:jc w:val="both"/>
      </w:pPr>
      <w:r>
        <w:t xml:space="preserve">Le même code tourne dans trois environnements Docker Compose décrits en détail au chapitre 12 : développement (hot reload, ports exposés pour l’outillage), préproduction (iso-production : mêmes images, même Nginx, base peuplée par le jeu de recette — c’est là que le cahier de recette s’exécute) et production (Nginx seul point d’entrée, bases sur réseau interne sans port exposé, conteneurs non-root). La règle qui gouverne tout : ce qui est testé en préproduction est exactement ce qui part en production — mêmes images, à l’étiquette près.</w:t>
      </w:r>
    </w:p>
    <w:p>
      <w:pPr>
        <w:pageBreakBefore/>
      </w:pPr>
    </w:p>
    <w:p>
      <w:pPr>
        <w:pStyle w:val="Heading1"/>
        <w:pBdr>
          <w:bottom w:val="single" w:color="999999" w:sz="6" w:space="4"/>
        </w:pBdr>
      </w:pPr>
      <w:r>
        <w:t xml:space="preserve">6. Conception de la base de données</w:t>
      </w:r>
    </w:p>
    <w:p>
      <w:pPr>
        <w:pStyle w:val="Heading2"/>
      </w:pPr>
      <w:r>
        <w:t xml:space="preserve">6.1 Démarche : Merise, du conceptuel au physique</w:t>
      </w:r>
    </w:p>
    <w:p>
      <w:pPr>
        <w:jc w:val="both"/>
      </w:pPr>
      <w:r>
        <w:t xml:space="preserve">J’ai suivi la démarche Merise classique en trois niveaux, chacun documenté dans docs/merise/. Le MCD raisonne en entités, associations et cardinalités, sans clé étrangère ni type SQL ; le MLD transpose en relations ; le MPD fixe les choix physiques PostgreSQL. Vingt entités couvrent le périmètre. Plutôt que de reproduire le diagramme complet — il est dans le dépôt et sera projeté en soutenance — je présente le dictionnaire des entités et les arbitrages de modélisation, qui sont la vraie valeur ajoutée de cette phase.</w:t>
      </w:r>
    </w:p>
    <w:tbl>
      <w:tblPr>
        <w:tblW w:type="dxa" w:w="9500"/>
        <w:tblBorders>
          <w:top w:val="single" w:color="999999" w:sz="6"/>
          <w:left w:val="none"/>
          <w:bottom w:val="single" w:color="999999" w:sz="6"/>
          <w:right w:val="none"/>
          <w:insideH w:val="single" w:color="CCCCCC" w:sz="2"/>
          <w:insideV w:val="none"/>
        </w:tblBorders>
      </w:tblPr>
      <w:tblGrid>
        <w:gridCol w:w="2300"/>
        <w:gridCol w:w="3300"/>
        <w:gridCol w:w="3900"/>
      </w:tblGrid>
      <w:tr>
        <w:trPr>
          <w:tblHeader/>
        </w:trPr>
        <w:tc>
          <w:tcPr>
            <w:tcW w:type="dxa" w:w="23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Entité</w:t>
            </w:r>
          </w:p>
        </w:tc>
        <w:tc>
          <w:tcPr>
            <w:tcW w:type="dxa" w:w="33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Rôle</w:t>
            </w:r>
          </w:p>
        </w:tc>
        <w:tc>
          <w:tcPr>
            <w:tcW w:type="dxa" w:w="39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Attributs marquants</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UTILISATEUR</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Compte applicatif, quel que soit le rôle</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email unique, hash du mot de passe, rôle, banni, anonymiséLe</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FAMILLE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Foyer client, support de l’isolation des données</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lien 1-1 vers son utilisateur titulaire, quota de séances</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CAVALIER</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Pratiquant rattaché à une famille</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niveau (initiation → Galop 7), statuts des deux documents, consentement médical, motif de refus</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CHEVAL</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Équidé du centre</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statut de santé, plage niveauMin-niveauMax, charge hebdo actuelle et maximale, seuil d’alerte</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AFFINITÉ</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Relation cavalier-cheval déclarée par la famille</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valeur favori / neutre / à éviter, unique par couple</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ESPACE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Lieu de pratique</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type manège / carrière / paddock, capacité</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COURS</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Une séance = une ligne ; la série est portée par la séance mère</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plage de niveaux, capacité, statut, règle et fin de récurrence, association réflexive vers la série</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INSCRIPTION (cours)</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Lien cavalier-séance, porte l’attribution</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statut de présence, horseId (cheval attribué), horodatages</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ÉVÉNEMENT / INSCRIPTION_ÉVÉNEMENT</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Stages et compétitions, réservations</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type, capacité, prix, statut de réservation</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PLAN_ABONNEMENT / RÈGLE_RÉDUCTION</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Tarification pilotée par l’admin</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prix, séances par semaine ; pourcentage, nombre minimal de cavaliers</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FACTURE / FACTURE_LIGNE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Facturation détaillée, montants en centimes</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numéro séquentiel unique, statut, échéance, lignes libellé-quantité-montant</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CARNET_SANTÉ</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Suivi vétérinaire et maréchalerie par cheval</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type d’intervention, notes, date</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INCIDENT</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Événement de sécurité déclaré par un moniteur</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gravité faible → critique, rattachements optionnels (cours, cheval, cavalier), résolution horodatée</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MISSION_BÉNÉVOLAT / INSCRIPTION_BÉNÉVOLAT</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Vie du club</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créneau, places, unicité par utilisateur</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CONVERSATION / PARTICIPANT / MESSAGE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Messagerie interne</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participants multiples, lastReadAt par participant</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NOTIFICATION / PRÉFÉRENCE_NOTIF</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Huit types, deux canaux</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type, luLe ; e-mail activé / in-app activé par type</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JETON_RAFRAÎCHISSEMENT</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Session longue durée, jamais en clair</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hash SHA-256 indexé unique, famille, jti de l’access associé, expiration, révocation</w:t>
            </w:r>
          </w:p>
        </w:tc>
      </w:tr>
      <w:tr>
        <w:tc>
          <w:tcPr>
            <w:tcW w:type="dxa" w:w="2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JETON_RÉINIT / JOURNAL_AUDIT_ADMIN</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Réinitialisation de mot de passe ; traçabilité des actions admin</w:t>
            </w:r>
          </w:p>
        </w:tc>
        <w:tc>
          <w:tcPr>
            <w:tcW w:type="dxa" w:w="3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hash, expiration 1 h, usage unique ; acteur, action, cible, horodatage</w:t>
            </w:r>
          </w:p>
        </w:tc>
      </w:tr>
    </w:tbl>
    <w:p>
      <w:pPr>
        <w:pStyle w:val="Heading2"/>
      </w:pPr>
      <w:r>
        <w:t xml:space="preserve">6.2 Les arbitrages de modélisation</w:t>
      </w:r>
    </w:p>
    <w:p>
      <w:pPr>
        <w:jc w:val="both"/>
      </w:pPr>
      <w:r>
        <w:t xml:space="preserve">Quatre décisions de modélisation méritent d’être défendues explicitement. La récurrence des cours, d’abord : j’ai écarté le modèle « une série + des exceptions » (compact mais douloureux à requêter — chaque lecture du planning doit développer la règle) au profit d’une matérialisation de chaque séance en ligne autonome rattachée à sa série par une association réflexive. Le planning devient une simple requête bornée dans le temps, l’annulation d’une séance est une mise à jour d’une ligne, et la série reste manipulable comme un tout. Le détail des factures, ensuite : une entité FACTURE_LIGNE plutôt qu’un champ JSON, parce que les lignes se requêtent (chiffre d’affaires par type de prestation au tableau de bord) et qu’un JSON aurait été un angle mort relationnel. Les montants, toujours : des centimes entiers partout, jamais de flottant — c’est le genre de décision invisible jusqu’au jour où 19,99 × 3 ne tombe pas juste. La compatibilité de niveau, enfin : portée par le cheval sous forme de plage plutôt que par une table de correspondance, ce qui reflète la façon dont le gérant en parle réellement (« Indigo, c’est Galop 2 à Galop 5 »).</w:t>
      </w:r>
    </w:p>
    <w:p>
      <w:pPr>
        <w:pStyle w:val="Heading2"/>
      </w:pPr>
      <w:r>
        <w:t xml:space="preserve">6.3 Du MLD au schéma physique</w:t>
      </w:r>
    </w:p>
    <w:p>
      <w:pPr>
        <w:jc w:val="both"/>
      </w:pPr>
      <w:r>
        <w:t xml:space="preserve">Le schéma physique compte 26 modèles Prisma (le fichier schema.prisma fait environ 600 lignes) et s’appuie sur les types PostgreSQL adaptés : énumérations natives pour les statuts, timestamptz pour tous les horodatages, contraintes d’unicité composées là où le métier l’exige — un seul enregistrement d’affinité par couple cavalier-cheval, un seul hash de jeton, un numéro de facture unique. Les clés primaires sont des identifiants opaques générés (cuid), jamais des séquences devinables : l’URL /riders/42 qui invite à essayer 43 n’existe pas dans l’application. Les suppressions en cascade sont réservées aux vraies compositions (les lignes d’une facture, les jetons d’un utilisateur) ; partout ailleurs, la suppression est soit interdite, soit remplacée par un statut, soit traitée par anonymisation — le chapitre RGPD y revient.</w:t>
      </w:r>
    </w:p>
    <w:p>
      <w:pPr>
        <w:pStyle w:val="Heading2"/>
      </w:pPr>
      <w:r>
        <w:t xml:space="preserve">6.4 Migrations et extrait du script de création</w:t>
      </w:r>
    </w:p>
    <w:p>
      <w:pPr>
        <w:jc w:val="both"/>
      </w:pPr>
      <w:r>
        <w:t xml:space="preserve">Le schéma n’évolue que par migrations versionnées, générées par Prisma Migrate et relues avant commit — quatre à ce jour, de l’initialisation au journal d’audit admin. En voici un extrait représentatif, la table des jetons de rafraîchissement, qui matérialise plusieurs décisions de sécurité du chapitre 8 :</w:t>
      </w:r>
    </w:p>
    <w:p>
      <w:pPr>
        <w:pBdr>
          <w:left w:val="single" w:color="BBBBBB" w:sz="12" w:space="8"/>
        </w:pBdr>
        <w:spacing w:after="0" w:line="216"/>
        <w:ind w:left="340"/>
      </w:pPr>
      <w:r>
        <w:rPr>
          <w:rFonts w:ascii="Consolas" w:cs="Consolas" w:eastAsia="Consolas" w:hAnsi="Consolas"/>
          <w:color w:val="222222"/>
          <w:sz w:val="16"/>
          <w:szCs w:val="16"/>
        </w:rPr>
        <w:t xml:space="preserve">CREATE TABLE "refresh_tokens" (</w:t>
      </w:r>
    </w:p>
    <w:p>
      <w:pPr>
        <w:pBdr>
          <w:left w:val="single" w:color="BBBBBB" w:sz="12" w:space="8"/>
        </w:pBdr>
        <w:spacing w:after="0" w:line="216"/>
        <w:ind w:left="340"/>
      </w:pPr>
      <w:r>
        <w:rPr>
          <w:rFonts w:ascii="Consolas" w:cs="Consolas" w:eastAsia="Consolas" w:hAnsi="Consolas"/>
          <w:color w:val="222222"/>
          <w:sz w:val="16"/>
          <w:szCs w:val="16"/>
        </w:rPr>
        <w:t xml:space="preserve">    "id"          TEXT NOT NULL,</w:t>
      </w:r>
    </w:p>
    <w:p>
      <w:pPr>
        <w:pBdr>
          <w:left w:val="single" w:color="BBBBBB" w:sz="12" w:space="8"/>
        </w:pBdr>
        <w:spacing w:after="0" w:line="216"/>
        <w:ind w:left="340"/>
      </w:pPr>
      <w:r>
        <w:rPr>
          <w:rFonts w:ascii="Consolas" w:cs="Consolas" w:eastAsia="Consolas" w:hAnsi="Consolas"/>
          <w:color w:val="222222"/>
          <w:sz w:val="16"/>
          <w:szCs w:val="16"/>
        </w:rPr>
        <w:t xml:space="preserve">    "user_id"     TEXT NOT NULL,</w:t>
      </w:r>
    </w:p>
    <w:p>
      <w:pPr>
        <w:pBdr>
          <w:left w:val="single" w:color="BBBBBB" w:sz="12" w:space="8"/>
        </w:pBdr>
        <w:spacing w:after="0" w:line="216"/>
        <w:ind w:left="340"/>
      </w:pPr>
      <w:r>
        <w:rPr>
          <w:rFonts w:ascii="Consolas" w:cs="Consolas" w:eastAsia="Consolas" w:hAnsi="Consolas"/>
          <w:color w:val="222222"/>
          <w:sz w:val="16"/>
          <w:szCs w:val="16"/>
        </w:rPr>
        <w:t xml:space="preserve">    "token_hash"  TEXT NOT NULL,</w:t>
      </w:r>
    </w:p>
    <w:p>
      <w:pPr>
        <w:pBdr>
          <w:left w:val="single" w:color="BBBBBB" w:sz="12" w:space="8"/>
        </w:pBdr>
        <w:spacing w:after="0" w:line="216"/>
        <w:ind w:left="340"/>
      </w:pPr>
      <w:r>
        <w:rPr>
          <w:rFonts w:ascii="Consolas" w:cs="Consolas" w:eastAsia="Consolas" w:hAnsi="Consolas"/>
          <w:color w:val="222222"/>
          <w:sz w:val="16"/>
          <w:szCs w:val="16"/>
        </w:rPr>
        <w:t xml:space="preserve">    "family_id"   TEXT NOT NULL,</w:t>
      </w:r>
    </w:p>
    <w:p>
      <w:pPr>
        <w:pBdr>
          <w:left w:val="single" w:color="BBBBBB" w:sz="12" w:space="8"/>
        </w:pBdr>
        <w:spacing w:after="0" w:line="216"/>
        <w:ind w:left="340"/>
      </w:pPr>
      <w:r>
        <w:rPr>
          <w:rFonts w:ascii="Consolas" w:cs="Consolas" w:eastAsia="Consolas" w:hAnsi="Consolas"/>
          <w:color w:val="222222"/>
          <w:sz w:val="16"/>
          <w:szCs w:val="16"/>
        </w:rPr>
        <w:t xml:space="preserve">    "access_jti"  TEXT,</w:t>
      </w:r>
    </w:p>
    <w:p>
      <w:pPr>
        <w:pBdr>
          <w:left w:val="single" w:color="BBBBBB" w:sz="12" w:space="8"/>
        </w:pBdr>
        <w:spacing w:after="0" w:line="216"/>
        <w:ind w:left="340"/>
      </w:pPr>
      <w:r>
        <w:rPr>
          <w:rFonts w:ascii="Consolas" w:cs="Consolas" w:eastAsia="Consolas" w:hAnsi="Consolas"/>
          <w:color w:val="222222"/>
          <w:sz w:val="16"/>
          <w:szCs w:val="16"/>
        </w:rPr>
        <w:t xml:space="preserve">    "expires_at"  TIMESTAMPTZ NOT NULL,</w:t>
      </w:r>
    </w:p>
    <w:p>
      <w:pPr>
        <w:pBdr>
          <w:left w:val="single" w:color="BBBBBB" w:sz="12" w:space="8"/>
        </w:pBdr>
        <w:spacing w:after="0" w:line="216"/>
        <w:ind w:left="340"/>
      </w:pPr>
      <w:r>
        <w:rPr>
          <w:rFonts w:ascii="Consolas" w:cs="Consolas" w:eastAsia="Consolas" w:hAnsi="Consolas"/>
          <w:color w:val="222222"/>
          <w:sz w:val="16"/>
          <w:szCs w:val="16"/>
        </w:rPr>
        <w:t xml:space="preserve">    "revoked_at"  TIMESTAMPTZ,</w:t>
      </w:r>
    </w:p>
    <w:p>
      <w:pPr>
        <w:pBdr>
          <w:left w:val="single" w:color="BBBBBB" w:sz="12" w:space="8"/>
        </w:pBdr>
        <w:spacing w:after="0" w:line="216"/>
        <w:ind w:left="340"/>
      </w:pPr>
      <w:r>
        <w:rPr>
          <w:rFonts w:ascii="Consolas" w:cs="Consolas" w:eastAsia="Consolas" w:hAnsi="Consolas"/>
          <w:color w:val="222222"/>
          <w:sz w:val="16"/>
          <w:szCs w:val="16"/>
        </w:rPr>
        <w:t xml:space="preserve">    "user_agent"  VARCHAR(255),</w:t>
      </w:r>
    </w:p>
    <w:p>
      <w:pPr>
        <w:pBdr>
          <w:left w:val="single" w:color="BBBBBB" w:sz="12" w:space="8"/>
        </w:pBdr>
        <w:spacing w:after="0" w:line="216"/>
        <w:ind w:left="340"/>
      </w:pPr>
      <w:r>
        <w:rPr>
          <w:rFonts w:ascii="Consolas" w:cs="Consolas" w:eastAsia="Consolas" w:hAnsi="Consolas"/>
          <w:color w:val="222222"/>
          <w:sz w:val="16"/>
          <w:szCs w:val="16"/>
        </w:rPr>
        <w:t xml:space="preserve">    "ip"          TEXT,</w:t>
      </w:r>
    </w:p>
    <w:p>
      <w:pPr>
        <w:pBdr>
          <w:left w:val="single" w:color="BBBBBB" w:sz="12" w:space="8"/>
        </w:pBdr>
        <w:spacing w:after="0" w:line="216"/>
        <w:ind w:left="340"/>
      </w:pPr>
      <w:r>
        <w:rPr>
          <w:rFonts w:ascii="Consolas" w:cs="Consolas" w:eastAsia="Consolas" w:hAnsi="Consolas"/>
          <w:color w:val="222222"/>
          <w:sz w:val="16"/>
          <w:szCs w:val="16"/>
        </w:rPr>
        <w:t xml:space="preserve">    CONSTRAINT "refresh_tokens_pkey" PRIMARY KEY ("id")</w:t>
      </w:r>
    </w:p>
    <w:p>
      <w:pPr>
        <w:pBdr>
          <w:left w:val="single" w:color="BBBBBB" w:sz="12" w:space="8"/>
        </w:pBdr>
        <w:spacing w:after="0" w:line="216"/>
        <w:ind w:left="340"/>
      </w:pPr>
      <w:r>
        <w:rPr>
          <w:rFonts w:ascii="Consolas" w:cs="Consolas" w:eastAsia="Consolas" w:hAnsi="Consolas"/>
          <w:color w:val="222222"/>
          <w:sz w:val="16"/>
          <w:szCs w:val="16"/>
        </w:rPr>
        <w:t xml:space="preserve">);</w:t>
      </w:r>
    </w:p>
    <w:p>
      <w:pPr>
        <w:pBdr>
          <w:left w:val="single" w:color="BBBBBB" w:sz="12" w:space="8"/>
        </w:pBdr>
        <w:spacing w:after="0" w:line="216"/>
        <w:ind w:left="340"/>
      </w:pPr>
      <w:r>
        <w:rPr>
          <w:rFonts w:ascii="Consolas" w:cs="Consolas" w:eastAsia="Consolas" w:hAnsi="Consolas"/>
          <w:color w:val="222222"/>
          <w:sz w:val="16"/>
          <w:szCs w:val="16"/>
        </w:rPr>
        <w:t xml:space="preserve">CREATE UNIQUE INDEX "refresh_tokens_token_hash_key"</w:t>
      </w:r>
    </w:p>
    <w:p>
      <w:pPr>
        <w:pBdr>
          <w:left w:val="single" w:color="BBBBBB" w:sz="12" w:space="8"/>
        </w:pBdr>
        <w:spacing w:after="0" w:line="216"/>
        <w:ind w:left="340"/>
      </w:pPr>
      <w:r>
        <w:rPr>
          <w:rFonts w:ascii="Consolas" w:cs="Consolas" w:eastAsia="Consolas" w:hAnsi="Consolas"/>
          <w:color w:val="222222"/>
          <w:sz w:val="16"/>
          <w:szCs w:val="16"/>
        </w:rPr>
        <w:t xml:space="preserve">    ON "refresh_tokens"("token_hash");</w:t>
      </w:r>
    </w:p>
    <w:p>
      <w:pPr>
        <w:pBdr>
          <w:left w:val="single" w:color="BBBBBB" w:sz="12" w:space="8"/>
        </w:pBdr>
        <w:spacing w:after="0" w:line="216"/>
        <w:ind w:left="340"/>
      </w:pPr>
      <w:r>
        <w:rPr>
          <w:rFonts w:ascii="Consolas" w:cs="Consolas" w:eastAsia="Consolas" w:hAnsi="Consolas"/>
          <w:color w:val="222222"/>
          <w:sz w:val="16"/>
          <w:szCs w:val="16"/>
        </w:rPr>
        <w:t xml:space="preserve">ALTER TABLE "refresh_tokens"</w:t>
      </w:r>
    </w:p>
    <w:p>
      <w:pPr>
        <w:pBdr>
          <w:left w:val="single" w:color="BBBBBB" w:sz="12" w:space="8"/>
        </w:pBdr>
        <w:spacing w:after="0" w:line="216"/>
        <w:ind w:left="340"/>
      </w:pPr>
      <w:r>
        <w:rPr>
          <w:rFonts w:ascii="Consolas" w:cs="Consolas" w:eastAsia="Consolas" w:hAnsi="Consolas"/>
          <w:color w:val="222222"/>
          <w:sz w:val="16"/>
          <w:szCs w:val="16"/>
        </w:rPr>
        <w:t xml:space="preserve">    ADD CONSTRAINT "refresh_tokens_user_id_fkey"</w:t>
      </w:r>
    </w:p>
    <w:p>
      <w:pPr>
        <w:pBdr>
          <w:left w:val="single" w:color="BBBBBB" w:sz="12" w:space="8"/>
        </w:pBdr>
        <w:spacing w:after="0" w:line="216"/>
        <w:ind w:left="340"/>
      </w:pPr>
      <w:r>
        <w:rPr>
          <w:rFonts w:ascii="Consolas" w:cs="Consolas" w:eastAsia="Consolas" w:hAnsi="Consolas"/>
          <w:color w:val="222222"/>
          <w:sz w:val="16"/>
          <w:szCs w:val="16"/>
        </w:rPr>
        <w:t xml:space="preserve">    FOREIGN KEY ("user_id") REFERENCES "users"("id") ON DELETE CASCADE;</w:t>
      </w:r>
    </w:p>
    <w:p>
      <w:pPr>
        <w:spacing w:after="160" w:before="60"/>
        <w:jc w:val="left"/>
      </w:pPr>
      <w:r>
        <w:rPr>
          <w:i/>
          <w:iCs/>
          <w:color w:val="555555"/>
          <w:sz w:val="18"/>
          <w:szCs w:val="18"/>
        </w:rPr>
        <w:t xml:space="preserve">Extrait de la migration 20260706135130_init — on ne stocke jamais le jeton, seulement son hash, indexé unique pour la recherche à la rotation.</w:t>
      </w:r>
    </w:p>
    <w:p>
      <w:pPr>
        <w:pStyle w:val="Heading2"/>
      </w:pPr>
      <w:r>
        <w:t xml:space="preserve">6.5 Jeux de données</w:t>
      </w:r>
    </w:p>
    <w:p>
      <w:pPr>
        <w:jc w:val="both"/>
      </w:pPr>
      <w:r>
        <w:t xml:space="preserve">Deux scripts de peuplement accompagnent le schéma. Le seed de développement crée un petit monde cohérent — quatre comptes (admin, moniteur, deux familles clientes), une dizaine de chevaux avec états et affinités variés, des cours récurrents, des factures à tous les stades — calibré pour que chaque écran ait quelque chose à montrer et chaque test un point de départ connu. Le seed de recette, plus volumineux et déterministe, alimente la préproduction pour l’exécution du cahier de recette ; il est rejouable à l’identique, condition pour que deux passages de recette soient comparables.</w:t>
      </w:r>
    </w:p>
    <w:p>
      <w:pPr>
        <w:pageBreakBefore/>
      </w:pPr>
    </w:p>
    <w:p>
      <w:pPr>
        <w:pStyle w:val="Heading1"/>
        <w:pBdr>
          <w:bottom w:val="single" w:color="999999" w:sz="6" w:space="4"/>
        </w:pBdr>
      </w:pPr>
      <w:r>
        <w:t xml:space="preserve">7. Composants d’accès aux données, SQL et NoSQL</w:t>
      </w:r>
    </w:p>
    <w:p>
      <w:pPr>
        <w:pStyle w:val="Heading2"/>
      </w:pPr>
      <w:r>
        <w:t xml:space="preserve">7.1 PostgreSQL via Prisma 7 — et une contrainte inattendue</w:t>
      </w:r>
    </w:p>
    <w:p>
      <w:pPr>
        <w:jc w:val="both"/>
      </w:pPr>
      <w:r>
        <w:t xml:space="preserve">Toute la couche service passe par une instance Prisma unique, construite avec le driver adapter officiel pg introduit en Prisma 7 :</w:t>
      </w:r>
    </w:p>
    <w:p>
      <w:pPr>
        <w:pBdr>
          <w:left w:val="single" w:color="BBBBBB" w:sz="12" w:space="8"/>
        </w:pBdr>
        <w:spacing w:after="0" w:line="216"/>
        <w:ind w:left="340"/>
      </w:pPr>
      <w:r>
        <w:rPr>
          <w:rFonts w:ascii="Consolas" w:cs="Consolas" w:eastAsia="Consolas" w:hAnsi="Consolas"/>
          <w:color w:val="222222"/>
          <w:sz w:val="16"/>
          <w:szCs w:val="16"/>
        </w:rPr>
        <w:t xml:space="preserve">import { PrismaPg } from '@prisma/adapter-pg';</w:t>
      </w:r>
    </w:p>
    <w:p>
      <w:pPr>
        <w:pBdr>
          <w:left w:val="single" w:color="BBBBBB" w:sz="12" w:space="8"/>
        </w:pBdr>
        <w:spacing w:after="0" w:line="216"/>
        <w:ind w:left="340"/>
      </w:pPr>
      <w:r>
        <w:rPr>
          <w:rFonts w:ascii="Consolas" w:cs="Consolas" w:eastAsia="Consolas" w:hAnsi="Consolas"/>
          <w:color w:val="222222"/>
          <w:sz w:val="16"/>
          <w:szCs w:val="16"/>
        </w:rPr>
        <w:t xml:space="preserve">import { PrismaClient } from '../../generated/prisma/client.js';</w:t>
      </w:r>
    </w:p>
    <w:p>
      <w:pPr>
        <w:pBdr>
          <w:left w:val="single" w:color="BBBBBB" w:sz="12" w:space="8"/>
        </w:pBdr>
        <w:spacing w:after="0" w:line="216"/>
        <w:ind w:left="340"/>
      </w:pPr>
      <w:r>
        <w:rPr>
          <w:rFonts w:ascii="Consolas" w:cs="Consolas" w:eastAsia="Consolas" w:hAnsi="Consolas"/>
          <w:color w:val="222222"/>
          <w:sz w:val="16"/>
          <w:szCs w:val="16"/>
        </w:rPr>
        <w:t xml:space="preserve">import { env } from '../config/env.js';</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const adapter = new PrismaPg({ connectionString: env.DATABASE_URL });</w:t>
      </w:r>
    </w:p>
    <w:p>
      <w:pPr>
        <w:pBdr>
          <w:left w:val="single" w:color="BBBBBB" w:sz="12" w:space="8"/>
        </w:pBdr>
        <w:spacing w:after="0" w:line="216"/>
        <w:ind w:left="340"/>
      </w:pPr>
      <w:r>
        <w:rPr>
          <w:rFonts w:ascii="Consolas" w:cs="Consolas" w:eastAsia="Consolas" w:hAnsi="Consolas"/>
          <w:color w:val="222222"/>
          <w:sz w:val="16"/>
          <w:szCs w:val="16"/>
        </w:rPr>
        <w:t xml:space="preserve">export const prisma = new PrismaClient({ adapter });</w:t>
      </w:r>
    </w:p>
    <w:p>
      <w:pPr>
        <w:jc w:val="both"/>
      </w:pPr>
      <w:r>
        <w:t xml:space="preserve">La montée en Prisma 7 m’a réservé une difficulté que je n’avais pas anticipée et qui illustre bien la vie réelle d’un projet : le nouveau générateur prisma-client n’émet que du TypeScript, or le projet n’a pas de chaîne de compilation TypeScript (ADR 004). Plutôt que de renoncer à la version 7 ou d’introduire tsc pour un seul dossier, j’ai écrit un script de build (scripts/build-prisma-client.js) qui enchaîne prisma generate puis transpile les fichiers générés en JavaScript pur avec esbuild — les types sont simplement effacés, les imports internes pointant déjà vers des extensions .js grâce à l’option importFileExtension. Vingt lignes de script, un problème réglé proprement, et une bonne histoire de veille technologique : c’est en lisant les notes de version que j’ai compris le changement avant qu’il ne me bloque.</w:t>
      </w:r>
    </w:p>
    <w:p>
      <w:pPr>
        <w:jc w:val="both"/>
      </w:pPr>
      <w:r>
        <w:t xml:space="preserve">Au quotidien, Prisma m’apporte trois garanties. Les requêtes sont paramétrées par construction — l’injection SQL est traitée à la racine. Les écritures multi-tables passent par des transactions explicites : l’inscription crée l’utilisateur et sa famille dans une même transaction ; l’attribution des chevaux écrit toutes les affectations et les charges hebdomadaires dans une autre, avec rollback complet au moindre échec. Et le typage du client généré, combiné à la JSDoc, donne l’autocomplétion sur toutes les requêtes malgré l’absence de TypeScript dans mon code.</w:t>
      </w:r>
    </w:p>
    <w:p>
      <w:pPr>
        <w:pStyle w:val="Heading2"/>
      </w:pPr>
      <w:r>
        <w:t xml:space="preserve">7.2 Redis — trois usages NoSQL réellement justifiés</w:t>
      </w:r>
    </w:p>
    <w:p>
      <w:pPr>
        <w:jc w:val="both"/>
      </w:pPr>
      <w:r>
        <w:t xml:space="preserve">Redis n’est pas là pour cocher la case « NoSQL » du référentiel ; chacun de ses trois usages répond à un besoin que PostgreSQL couvrirait mal. La blacklist de jetons d’accès, d’abord : quand un utilisateur se déconnecte ou est banni, son JWT reste cryptographiquement valide jusqu’à expiration ; je stocke donc son identifiant unique (jti) dans Redis avec un TTL aligné sur l’expiration résiduelle — la clé disparaît d’elle-même quand le jeton meurt, aucune purge à orchestrer. Le rate limiting, ensuite : un compteur par IP et par route sensible (INCR puis EXPIRE), atomique et partagé entre toutes les instances de l’API si elle venait à être répliquée. Le cache du planning, enfin : la vue calendrier sur huit semaines est la requête la plus lourde de l’application ; elle est mise en cache cinq minutes et invalidée à chaque mutation de cours — l’objectif de réponse sous 500 ms est tenu.</w:t>
      </w:r>
    </w:p>
    <w:p>
      <w:pPr>
        <w:jc w:val="both"/>
      </w:pPr>
      <w:r>
        <w:t xml:space="preserve">Un choix d’implémentation mérite d’être défendu : le rate limiting est « fail-open ». Si Redis tombe, les requêtes passent sans limite le temps de l’incident, qui est loggé. J’ai préféré une protection temporairement dégradée à une panne totale de l’authentification — l’arbitrage inverse (fail-closed) se défendrait pour une application bancaire, pas pour un centre équestre. Ce genre de décision est écrit en commentaire dans le code même, là où le prochain lecteur se posera la question.</w:t>
      </w:r>
    </w:p>
    <w:p>
      <w:pPr>
        <w:pBdr>
          <w:left w:val="single" w:color="BBBBBB" w:sz="12" w:space="8"/>
        </w:pBdr>
        <w:spacing w:after="0" w:line="216"/>
        <w:ind w:left="340"/>
      </w:pPr>
      <w:r>
        <w:rPr>
          <w:rFonts w:ascii="Consolas" w:cs="Consolas" w:eastAsia="Consolas" w:hAnsi="Consolas"/>
          <w:color w:val="222222"/>
          <w:sz w:val="16"/>
          <w:szCs w:val="16"/>
        </w:rPr>
        <w:t xml:space="preserve">export function rateLimit({ keyPrefix, max, windowSec }) {</w:t>
      </w:r>
    </w:p>
    <w:p>
      <w:pPr>
        <w:pBdr>
          <w:left w:val="single" w:color="BBBBBB" w:sz="12" w:space="8"/>
        </w:pBdr>
        <w:spacing w:after="0" w:line="216"/>
        <w:ind w:left="340"/>
      </w:pPr>
      <w:r>
        <w:rPr>
          <w:rFonts w:ascii="Consolas" w:cs="Consolas" w:eastAsia="Consolas" w:hAnsi="Consolas"/>
          <w:color w:val="222222"/>
          <w:sz w:val="16"/>
          <w:szCs w:val="16"/>
        </w:rPr>
        <w:t xml:space="preserve">  return async (req, res, next) =&gt; {</w:t>
      </w:r>
    </w:p>
    <w:p>
      <w:pPr>
        <w:pBdr>
          <w:left w:val="single" w:color="BBBBBB" w:sz="12" w:space="8"/>
        </w:pBdr>
        <w:spacing w:after="0" w:line="216"/>
        <w:ind w:left="340"/>
      </w:pPr>
      <w:r>
        <w:rPr>
          <w:rFonts w:ascii="Consolas" w:cs="Consolas" w:eastAsia="Consolas" w:hAnsi="Consolas"/>
          <w:color w:val="222222"/>
          <w:sz w:val="16"/>
          <w:szCs w:val="16"/>
        </w:rPr>
        <w:t xml:space="preserve">    const key = `rl:${keyPrefix}:${req.ip}`;</w:t>
      </w:r>
    </w:p>
    <w:p>
      <w:pPr>
        <w:pBdr>
          <w:left w:val="single" w:color="BBBBBB" w:sz="12" w:space="8"/>
        </w:pBdr>
        <w:spacing w:after="0" w:line="216"/>
        <w:ind w:left="340"/>
      </w:pPr>
      <w:r>
        <w:rPr>
          <w:rFonts w:ascii="Consolas" w:cs="Consolas" w:eastAsia="Consolas" w:hAnsi="Consolas"/>
          <w:color w:val="222222"/>
          <w:sz w:val="16"/>
          <w:szCs w:val="16"/>
        </w:rPr>
        <w:t xml:space="preserve">    try {</w:t>
      </w:r>
    </w:p>
    <w:p>
      <w:pPr>
        <w:pBdr>
          <w:left w:val="single" w:color="BBBBBB" w:sz="12" w:space="8"/>
        </w:pBdr>
        <w:spacing w:after="0" w:line="216"/>
        <w:ind w:left="340"/>
      </w:pPr>
      <w:r>
        <w:rPr>
          <w:rFonts w:ascii="Consolas" w:cs="Consolas" w:eastAsia="Consolas" w:hAnsi="Consolas"/>
          <w:color w:val="222222"/>
          <w:sz w:val="16"/>
          <w:szCs w:val="16"/>
        </w:rPr>
        <w:t xml:space="preserve">      const count = await redis.incr(key);</w:t>
      </w:r>
    </w:p>
    <w:p>
      <w:pPr>
        <w:pBdr>
          <w:left w:val="single" w:color="BBBBBB" w:sz="12" w:space="8"/>
        </w:pBdr>
        <w:spacing w:after="0" w:line="216"/>
        <w:ind w:left="340"/>
      </w:pPr>
      <w:r>
        <w:rPr>
          <w:rFonts w:ascii="Consolas" w:cs="Consolas" w:eastAsia="Consolas" w:hAnsi="Consolas"/>
          <w:color w:val="222222"/>
          <w:sz w:val="16"/>
          <w:szCs w:val="16"/>
        </w:rPr>
        <w:t xml:space="preserve">      if (count === 1) await redis.expire(key, windowSec);</w:t>
      </w:r>
    </w:p>
    <w:p>
      <w:pPr>
        <w:pBdr>
          <w:left w:val="single" w:color="BBBBBB" w:sz="12" w:space="8"/>
        </w:pBdr>
        <w:spacing w:after="0" w:line="216"/>
        <w:ind w:left="340"/>
      </w:pPr>
      <w:r>
        <w:rPr>
          <w:rFonts w:ascii="Consolas" w:cs="Consolas" w:eastAsia="Consolas" w:hAnsi="Consolas"/>
          <w:color w:val="222222"/>
          <w:sz w:val="16"/>
          <w:szCs w:val="16"/>
        </w:rPr>
        <w:t xml:space="preserve">      if (count &gt; max) { /* 429 + Retry-After */ }</w:t>
      </w:r>
    </w:p>
    <w:p>
      <w:pPr>
        <w:pBdr>
          <w:left w:val="single" w:color="BBBBBB" w:sz="12" w:space="8"/>
        </w:pBdr>
        <w:spacing w:after="0" w:line="216"/>
        <w:ind w:left="340"/>
      </w:pPr>
      <w:r>
        <w:rPr>
          <w:rFonts w:ascii="Consolas" w:cs="Consolas" w:eastAsia="Consolas" w:hAnsi="Consolas"/>
          <w:color w:val="222222"/>
          <w:sz w:val="16"/>
          <w:szCs w:val="16"/>
        </w:rPr>
        <w:t xml:space="preserve">      next();</w:t>
      </w:r>
    </w:p>
    <w:p>
      <w:pPr>
        <w:pBdr>
          <w:left w:val="single" w:color="BBBBBB" w:sz="12" w:space="8"/>
        </w:pBdr>
        <w:spacing w:after="0" w:line="216"/>
        <w:ind w:left="340"/>
      </w:pPr>
      <w:r>
        <w:rPr>
          <w:rFonts w:ascii="Consolas" w:cs="Consolas" w:eastAsia="Consolas" w:hAnsi="Consolas"/>
          <w:color w:val="222222"/>
          <w:sz w:val="16"/>
          <w:szCs w:val="16"/>
        </w:rPr>
        <w:t xml:space="preserve">    } catch (err) {</w:t>
      </w:r>
    </w:p>
    <w:p>
      <w:pPr>
        <w:pBdr>
          <w:left w:val="single" w:color="BBBBBB" w:sz="12" w:space="8"/>
        </w:pBdr>
        <w:spacing w:after="0" w:line="216"/>
        <w:ind w:left="340"/>
      </w:pPr>
      <w:r>
        <w:rPr>
          <w:rFonts w:ascii="Consolas" w:cs="Consolas" w:eastAsia="Consolas" w:hAnsi="Consolas"/>
          <w:color w:val="222222"/>
          <w:sz w:val="16"/>
          <w:szCs w:val="16"/>
        </w:rPr>
        <w:t xml:space="preserve">      logger.warn({ err, key }, 'Rate limit indisponible — requête acceptée');</w:t>
      </w:r>
    </w:p>
    <w:p>
      <w:pPr>
        <w:pBdr>
          <w:left w:val="single" w:color="BBBBBB" w:sz="12" w:space="8"/>
        </w:pBdr>
        <w:spacing w:after="0" w:line="216"/>
        <w:ind w:left="340"/>
      </w:pPr>
      <w:r>
        <w:rPr>
          <w:rFonts w:ascii="Consolas" w:cs="Consolas" w:eastAsia="Consolas" w:hAnsi="Consolas"/>
          <w:color w:val="222222"/>
          <w:sz w:val="16"/>
          <w:szCs w:val="16"/>
        </w:rPr>
        <w:t xml:space="preserve">      next(); // fail-open assumé</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w:t>
      </w:r>
    </w:p>
    <w:p>
      <w:pPr>
        <w:spacing w:after="160" w:before="60"/>
        <w:jc w:val="left"/>
      </w:pPr>
      <w:r>
        <w:rPr>
          <w:i/>
          <w:iCs/>
          <w:color w:val="555555"/>
          <w:sz w:val="18"/>
          <w:szCs w:val="18"/>
        </w:rPr>
        <w:t xml:space="preserve">Le compteur Redis par fenêtre fixe — une quinzaine de lignes, pas de dépendance, comportement dégradé explicite.</w:t>
      </w:r>
    </w:p>
    <w:p>
      <w:pPr>
        <w:pageBreakBefore/>
      </w:pPr>
    </w:p>
    <w:p>
      <w:pPr>
        <w:pStyle w:val="Heading1"/>
        <w:pBdr>
          <w:bottom w:val="single" w:color="999999" w:sz="6" w:space="4"/>
        </w:pBdr>
      </w:pPr>
      <w:r>
        <w:t xml:space="preserve">8. Réalisations : le code, expliqué et argumenté</w:t>
      </w:r>
    </w:p>
    <w:p>
      <w:pPr>
        <w:jc w:val="both"/>
      </w:pPr>
      <w:r>
        <w:t xml:space="preserve">Ce chapitre parcourt les composants que je considère comme les plus représentatifs du travail accompli, avec pour chacun l’extrait de code utile et les raisons des choix. Tout le reste est dans le dépôt ; rien de ce qui suit n’est simplifié pour le dossier au-delà des coupes signalées par des points de suspension.</w:t>
      </w:r>
    </w:p>
    <w:p>
      <w:pPr>
        <w:pStyle w:val="Heading2"/>
      </w:pPr>
      <w:r>
        <w:t xml:space="preserve">8.1 La configuration validée au démarrage</w:t>
      </w:r>
    </w:p>
    <w:p>
      <w:pPr>
        <w:jc w:val="both"/>
      </w:pPr>
      <w:r>
        <w:t xml:space="preserve">Premier composant chargé, souvent négligé : la configuration. Toutes les variables d’environnement passent par un schéma Zod à l’initialisation ; une variable manquante ou mal formée fait crasher l’API immédiatement, avec la liste exacte des problèmes. C’est brutal et c’est voulu : une API qui démarre avec un secret JWT vide ou une URL de base erronée est plus dangereuse qu’une API qui refuse de démarrer. Le schéma encode aussi les contraintes de sécurité — le secret JWT doit faire au moins 32 caractères — et les valeurs par défaut raisonnables pour le développement.</w:t>
      </w:r>
    </w:p>
    <w:p>
      <w:pPr>
        <w:pBdr>
          <w:left w:val="single" w:color="BBBBBB" w:sz="12" w:space="8"/>
        </w:pBdr>
        <w:spacing w:after="0" w:line="216"/>
        <w:ind w:left="340"/>
      </w:pPr>
      <w:r>
        <w:rPr>
          <w:rFonts w:ascii="Consolas" w:cs="Consolas" w:eastAsia="Consolas" w:hAnsi="Consolas"/>
          <w:color w:val="222222"/>
          <w:sz w:val="16"/>
          <w:szCs w:val="16"/>
        </w:rPr>
        <w:t xml:space="preserve">const envSchema = z.object({</w:t>
      </w:r>
    </w:p>
    <w:p>
      <w:pPr>
        <w:pBdr>
          <w:left w:val="single" w:color="BBBBBB" w:sz="12" w:space="8"/>
        </w:pBdr>
        <w:spacing w:after="0" w:line="216"/>
        <w:ind w:left="340"/>
      </w:pPr>
      <w:r>
        <w:rPr>
          <w:rFonts w:ascii="Consolas" w:cs="Consolas" w:eastAsia="Consolas" w:hAnsi="Consolas"/>
          <w:color w:val="222222"/>
          <w:sz w:val="16"/>
          <w:szCs w:val="16"/>
        </w:rPr>
        <w:t xml:space="preserve">  NODE_ENV: z.enum(['development', 'test', 'production']).default('development'),</w:t>
      </w:r>
    </w:p>
    <w:p>
      <w:pPr>
        <w:pBdr>
          <w:left w:val="single" w:color="BBBBBB" w:sz="12" w:space="8"/>
        </w:pBdr>
        <w:spacing w:after="0" w:line="216"/>
        <w:ind w:left="340"/>
      </w:pPr>
      <w:r>
        <w:rPr>
          <w:rFonts w:ascii="Consolas" w:cs="Consolas" w:eastAsia="Consolas" w:hAnsi="Consolas"/>
          <w:color w:val="222222"/>
          <w:sz w:val="16"/>
          <w:szCs w:val="16"/>
        </w:rPr>
        <w:t xml:space="preserve">  DATABASE_URL: z.url(),</w:t>
      </w:r>
    </w:p>
    <w:p>
      <w:pPr>
        <w:pBdr>
          <w:left w:val="single" w:color="BBBBBB" w:sz="12" w:space="8"/>
        </w:pBdr>
        <w:spacing w:after="0" w:line="216"/>
        <w:ind w:left="340"/>
      </w:pPr>
      <w:r>
        <w:rPr>
          <w:rFonts w:ascii="Consolas" w:cs="Consolas" w:eastAsia="Consolas" w:hAnsi="Consolas"/>
          <w:color w:val="222222"/>
          <w:sz w:val="16"/>
          <w:szCs w:val="16"/>
        </w:rPr>
        <w:t xml:space="preserve">  REDIS_URL: z.url().default('redis://localhost:6379'),</w:t>
      </w:r>
    </w:p>
    <w:p>
      <w:pPr>
        <w:pBdr>
          <w:left w:val="single" w:color="BBBBBB" w:sz="12" w:space="8"/>
        </w:pBdr>
        <w:spacing w:after="0" w:line="216"/>
        <w:ind w:left="340"/>
      </w:pPr>
      <w:r>
        <w:rPr>
          <w:rFonts w:ascii="Consolas" w:cs="Consolas" w:eastAsia="Consolas" w:hAnsi="Consolas"/>
          <w:color w:val="222222"/>
          <w:sz w:val="16"/>
          <w:szCs w:val="16"/>
        </w:rPr>
        <w:t xml:space="preserve">  JWT_ACCESS_SECRET: z.string().min(32, 'Secret trop court (32 caractères minimum)'),</w:t>
      </w:r>
    </w:p>
    <w:p>
      <w:pPr>
        <w:pBdr>
          <w:left w:val="single" w:color="BBBBBB" w:sz="12" w:space="8"/>
        </w:pBdr>
        <w:spacing w:after="0" w:line="216"/>
        <w:ind w:left="340"/>
      </w:pPr>
      <w:r>
        <w:rPr>
          <w:rFonts w:ascii="Consolas" w:cs="Consolas" w:eastAsia="Consolas" w:hAnsi="Consolas"/>
          <w:color w:val="222222"/>
          <w:sz w:val="16"/>
          <w:szCs w:val="16"/>
        </w:rPr>
        <w:t xml:space="preserve">  ACCESS_TOKEN_TTL_MIN: z.coerce.number().int().positive().default(15),</w:t>
      </w:r>
    </w:p>
    <w:p>
      <w:pPr>
        <w:pBdr>
          <w:left w:val="single" w:color="BBBBBB" w:sz="12" w:space="8"/>
        </w:pBdr>
        <w:spacing w:after="0" w:line="216"/>
        <w:ind w:left="340"/>
      </w:pPr>
      <w:r>
        <w:rPr>
          <w:rFonts w:ascii="Consolas" w:cs="Consolas" w:eastAsia="Consolas" w:hAnsi="Consolas"/>
          <w:color w:val="222222"/>
          <w:sz w:val="16"/>
          <w:szCs w:val="16"/>
        </w:rPr>
        <w:t xml:space="preserve">  REFRESH_TOKEN_TTL_DAYS: z.coerce.number().int().positive().default(7),</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w:t>
      </w:r>
    </w:p>
    <w:p>
      <w:pPr>
        <w:pBdr>
          <w:left w:val="single" w:color="BBBBBB" w:sz="12" w:space="8"/>
        </w:pBdr>
        <w:spacing w:after="0" w:line="216"/>
        <w:ind w:left="340"/>
      </w:pPr>
      <w:r>
        <w:rPr>
          <w:rFonts w:ascii="Consolas" w:cs="Consolas" w:eastAsia="Consolas" w:hAnsi="Consolas"/>
          <w:color w:val="222222"/>
          <w:sz w:val="16"/>
          <w:szCs w:val="16"/>
        </w:rPr>
        <w:t xml:space="preserve">export const env = envSchema.parse(process.env); // crash explicite si invalide</w:t>
      </w:r>
    </w:p>
    <w:p>
      <w:pPr>
        <w:pStyle w:val="Heading2"/>
      </w:pPr>
      <w:r>
        <w:t xml:space="preserve">8.2 Le middleware de validation</w:t>
      </w:r>
    </w:p>
    <w:p>
      <w:pPr>
        <w:jc w:val="both"/>
      </w:pPr>
      <w:r>
        <w:t xml:space="preserve">La règle « toute entrée réseau est validée » tient dans un middleware générique d’une trentaine de lignes, qui prend un schéma Zod et la source à valider. En cas d’échec, une erreur 400 structurée liste chaque champ fautif avec son message — celui du schéma partagé, donc identique à ce que le formulaire affiche déjà côté client. En cas de succès, la source est remplacée par les données parsées : trim appliqué, coercitions faites, champs inconnus écartés. Le reste de la chaîne ne voit jamais de donnée brute.</w:t>
      </w:r>
    </w:p>
    <w:p>
      <w:pPr>
        <w:pBdr>
          <w:left w:val="single" w:color="BBBBBB" w:sz="12" w:space="8"/>
        </w:pBdr>
        <w:spacing w:after="0" w:line="216"/>
        <w:ind w:left="340"/>
      </w:pPr>
      <w:r>
        <w:rPr>
          <w:rFonts w:ascii="Consolas" w:cs="Consolas" w:eastAsia="Consolas" w:hAnsi="Consolas"/>
          <w:color w:val="222222"/>
          <w:sz w:val="16"/>
          <w:szCs w:val="16"/>
        </w:rPr>
        <w:t xml:space="preserve">export function validate(schema, source = 'body') {</w:t>
      </w:r>
    </w:p>
    <w:p>
      <w:pPr>
        <w:pBdr>
          <w:left w:val="single" w:color="BBBBBB" w:sz="12" w:space="8"/>
        </w:pBdr>
        <w:spacing w:after="0" w:line="216"/>
        <w:ind w:left="340"/>
      </w:pPr>
      <w:r>
        <w:rPr>
          <w:rFonts w:ascii="Consolas" w:cs="Consolas" w:eastAsia="Consolas" w:hAnsi="Consolas"/>
          <w:color w:val="222222"/>
          <w:sz w:val="16"/>
          <w:szCs w:val="16"/>
        </w:rPr>
        <w:t xml:space="preserve">  return (req, _res, next) =&gt; {</w:t>
      </w:r>
    </w:p>
    <w:p>
      <w:pPr>
        <w:pBdr>
          <w:left w:val="single" w:color="BBBBBB" w:sz="12" w:space="8"/>
        </w:pBdr>
        <w:spacing w:after="0" w:line="216"/>
        <w:ind w:left="340"/>
      </w:pPr>
      <w:r>
        <w:rPr>
          <w:rFonts w:ascii="Consolas" w:cs="Consolas" w:eastAsia="Consolas" w:hAnsi="Consolas"/>
          <w:color w:val="222222"/>
          <w:sz w:val="16"/>
          <w:szCs w:val="16"/>
        </w:rPr>
        <w:t xml:space="preserve">    const result = schema.safeParse(req[source]);</w:t>
      </w:r>
    </w:p>
    <w:p>
      <w:pPr>
        <w:pBdr>
          <w:left w:val="single" w:color="BBBBBB" w:sz="12" w:space="8"/>
        </w:pBdr>
        <w:spacing w:after="0" w:line="216"/>
        <w:ind w:left="340"/>
      </w:pPr>
      <w:r>
        <w:rPr>
          <w:rFonts w:ascii="Consolas" w:cs="Consolas" w:eastAsia="Consolas" w:hAnsi="Consolas"/>
          <w:color w:val="222222"/>
          <w:sz w:val="16"/>
          <w:szCs w:val="16"/>
        </w:rPr>
        <w:t xml:space="preserve">    if (!result.success) {</w:t>
      </w:r>
    </w:p>
    <w:p>
      <w:pPr>
        <w:pBdr>
          <w:left w:val="single" w:color="BBBBBB" w:sz="12" w:space="8"/>
        </w:pBdr>
        <w:spacing w:after="0" w:line="216"/>
        <w:ind w:left="340"/>
      </w:pPr>
      <w:r>
        <w:rPr>
          <w:rFonts w:ascii="Consolas" w:cs="Consolas" w:eastAsia="Consolas" w:hAnsi="Consolas"/>
          <w:color w:val="222222"/>
          <w:sz w:val="16"/>
          <w:szCs w:val="16"/>
        </w:rPr>
        <w:t xml:space="preserve">      const details = result.error.issues.map((issue) =&gt; ({</w:t>
      </w:r>
    </w:p>
    <w:p>
      <w:pPr>
        <w:pBdr>
          <w:left w:val="single" w:color="BBBBBB" w:sz="12" w:space="8"/>
        </w:pBdr>
        <w:spacing w:after="0" w:line="216"/>
        <w:ind w:left="340"/>
      </w:pPr>
      <w:r>
        <w:rPr>
          <w:rFonts w:ascii="Consolas" w:cs="Consolas" w:eastAsia="Consolas" w:hAnsi="Consolas"/>
          <w:color w:val="222222"/>
          <w:sz w:val="16"/>
          <w:szCs w:val="16"/>
        </w:rPr>
        <w:t xml:space="preserve">        field: issue.path.join('.'), message: issue.message,</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next(AppError.badRequest('Données invalides', details));</w:t>
      </w:r>
    </w:p>
    <w:p>
      <w:pPr>
        <w:pBdr>
          <w:left w:val="single" w:color="BBBBBB" w:sz="12" w:space="8"/>
        </w:pBdr>
        <w:spacing w:after="0" w:line="216"/>
        <w:ind w:left="340"/>
      </w:pPr>
      <w:r>
        <w:rPr>
          <w:rFonts w:ascii="Consolas" w:cs="Consolas" w:eastAsia="Consolas" w:hAnsi="Consolas"/>
          <w:color w:val="222222"/>
          <w:sz w:val="16"/>
          <w:szCs w:val="16"/>
        </w:rPr>
        <w:t xml:space="preserve">      return;</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if (source === 'body') { req.body = result.data; }</w:t>
      </w:r>
    </w:p>
    <w:p>
      <w:pPr>
        <w:pBdr>
          <w:left w:val="single" w:color="BBBBBB" w:sz="12" w:space="8"/>
        </w:pBdr>
        <w:spacing w:after="0" w:line="216"/>
        <w:ind w:left="340"/>
      </w:pPr>
      <w:r>
        <w:rPr>
          <w:rFonts w:ascii="Consolas" w:cs="Consolas" w:eastAsia="Consolas" w:hAnsi="Consolas"/>
          <w:color w:val="222222"/>
          <w:sz w:val="16"/>
          <w:szCs w:val="16"/>
        </w:rPr>
        <w:t xml:space="preserve">    else { /* Express 5 : query et params ne sont pas réassignables —</w:t>
      </w:r>
    </w:p>
    <w:p>
      <w:pPr>
        <w:pBdr>
          <w:left w:val="single" w:color="BBBBBB" w:sz="12" w:space="8"/>
        </w:pBdr>
        <w:spacing w:after="0" w:line="216"/>
        <w:ind w:left="340"/>
      </w:pPr>
      <w:r>
        <w:rPr>
          <w:rFonts w:ascii="Consolas" w:cs="Consolas" w:eastAsia="Consolas" w:hAnsi="Consolas"/>
          <w:color w:val="222222"/>
          <w:sz w:val="16"/>
          <w:szCs w:val="16"/>
        </w:rPr>
        <w:t xml:space="preserve">             on vide puis regarnit l'objet existant */ }</w:t>
      </w:r>
    </w:p>
    <w:p>
      <w:pPr>
        <w:pBdr>
          <w:left w:val="single" w:color="BBBBBB" w:sz="12" w:space="8"/>
        </w:pBdr>
        <w:spacing w:after="0" w:line="216"/>
        <w:ind w:left="340"/>
      </w:pPr>
      <w:r>
        <w:rPr>
          <w:rFonts w:ascii="Consolas" w:cs="Consolas" w:eastAsia="Consolas" w:hAnsi="Consolas"/>
          <w:color w:val="222222"/>
          <w:sz w:val="16"/>
          <w:szCs w:val="16"/>
        </w:rPr>
        <w:t xml:space="preserve">    next();</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w:t>
      </w:r>
    </w:p>
    <w:p>
      <w:pPr>
        <w:jc w:val="both"/>
      </w:pPr>
      <w:r>
        <w:t xml:space="preserve">Le commentaire dans l’extrait signale un détail d’Express 5 qui m’a coûté une heure de débogage : req.query y est une propriété non réassignable. Écrire req.query = result.data échoue silencieusement selon le contexte ; le middleware remplace donc le contenu de l’objet clé par clé. C’est typiquement le genre de spécificité de version qu’il faut documenter dans le code, au moment où on la découvre.</w:t>
      </w:r>
    </w:p>
    <w:p>
      <w:pPr>
        <w:pStyle w:val="Heading2"/>
      </w:pPr>
      <w:r>
        <w:t xml:space="preserve">8.3 L’authentification de bout en bout</w:t>
      </w:r>
    </w:p>
    <w:p>
      <w:pPr>
        <w:pStyle w:val="Heading3"/>
      </w:pPr>
      <w:r>
        <w:t xml:space="preserve">Le modèle à deux jetons</w:t>
      </w:r>
    </w:p>
    <w:p>
      <w:pPr>
        <w:jc w:val="both"/>
      </w:pPr>
      <w:r>
        <w:t xml:space="preserve">Le modèle retenu (ADR 002) sépare deux jetons aux propriétés opposées. Le jeton d’accès est un JWT signé HS256, valable quinze minutes, transporté dans l’en-tête Authorization et conservé uniquement en mémoire JavaScript côté client — jamais dans localStorage, où un XSS pourrait le lire à loisir. Il embarque le rôle et un identifiant unique jti qui permet de le révoquer individuellement. Le jeton de rafraîchissement est tout l’inverse : une chaîne opaque de 48 octets aléatoires (384 bits d’entropie), valable sept jours, transportée par un cookie httpOnly + Secure + SameSite=Strict que le JavaScript ne voit jamais, et dont seul le hash SHA-256 est persisté — une fuite de la base ne livre aucun jeton utilisable. Le SHA-256 suffit ici là où argon2 s’imposerait pour un mot de passe : l’entropie du jeton rend la force brute sans objet, et il faut un hash déterministe pour la recherche par index unique.</w:t>
      </w:r>
    </w:p>
    <w:p>
      <w:pPr>
        <w:pStyle w:val="Heading3"/>
      </w:pPr>
      <w:r>
        <w:t xml:space="preserve">La rotation et la détection de réutilisation</w:t>
      </w:r>
    </w:p>
    <w:p>
      <w:pPr>
        <w:jc w:val="both"/>
      </w:pPr>
      <w:r>
        <w:t xml:space="preserve">Chaque appel à /auth/refresh consomme le jeton présenté et en émet un nouveau, au sein d’une même « famille » créée à la connexion. Tout l’intérêt du dispositif tient dans le cas anormal : si un jeton déjà consommé se présente à nouveau, c’est qu’une copie circule — vol de cookie, rejeu. La réponse est maximale : toute la famille est révoquée et les jetons d’accès encore valides de la lignée sont blacklistés. L’attaquant et la victime sont déconnectés ensemble ; la victime se réauthentifie par mot de passe, l’attaquant est éjecté. Une compromission silencieuse devient un événement détectable et journalisé.</w:t>
      </w:r>
    </w:p>
    <w:p>
      <w:pPr>
        <w:pBdr>
          <w:left w:val="single" w:color="BBBBBB" w:sz="12" w:space="8"/>
        </w:pBdr>
        <w:spacing w:after="0" w:line="216"/>
        <w:ind w:left="340"/>
      </w:pPr>
      <w:r>
        <w:rPr>
          <w:rFonts w:ascii="Consolas" w:cs="Consolas" w:eastAsia="Consolas" w:hAnsi="Consolas"/>
          <w:color w:val="222222"/>
          <w:sz w:val="16"/>
          <w:szCs w:val="16"/>
        </w:rPr>
        <w:t xml:space="preserve">export async function rotateRefreshToken(presentedToken) {</w:t>
      </w:r>
    </w:p>
    <w:p>
      <w:pPr>
        <w:pBdr>
          <w:left w:val="single" w:color="BBBBBB" w:sz="12" w:space="8"/>
        </w:pBdr>
        <w:spacing w:after="0" w:line="216"/>
        <w:ind w:left="340"/>
      </w:pPr>
      <w:r>
        <w:rPr>
          <w:rFonts w:ascii="Consolas" w:cs="Consolas" w:eastAsia="Consolas" w:hAnsi="Consolas"/>
          <w:color w:val="222222"/>
          <w:sz w:val="16"/>
          <w:szCs w:val="16"/>
        </w:rPr>
        <w:t xml:space="preserve">  const stored = await prisma.refreshToken.findUnique({</w:t>
      </w:r>
    </w:p>
    <w:p>
      <w:pPr>
        <w:pBdr>
          <w:left w:val="single" w:color="BBBBBB" w:sz="12" w:space="8"/>
        </w:pBdr>
        <w:spacing w:after="0" w:line="216"/>
        <w:ind w:left="340"/>
      </w:pPr>
      <w:r>
        <w:rPr>
          <w:rFonts w:ascii="Consolas" w:cs="Consolas" w:eastAsia="Consolas" w:hAnsi="Consolas"/>
          <w:color w:val="222222"/>
          <w:sz w:val="16"/>
          <w:szCs w:val="16"/>
        </w:rPr>
        <w:t xml:space="preserve">    where: { tokenHash: hashToken(presentedToken) },</w:t>
      </w:r>
    </w:p>
    <w:p>
      <w:pPr>
        <w:pBdr>
          <w:left w:val="single" w:color="BBBBBB" w:sz="12" w:space="8"/>
        </w:pBdr>
        <w:spacing w:after="0" w:line="216"/>
        <w:ind w:left="340"/>
      </w:pPr>
      <w:r>
        <w:rPr>
          <w:rFonts w:ascii="Consolas" w:cs="Consolas" w:eastAsia="Consolas" w:hAnsi="Consolas"/>
          <w:color w:val="222222"/>
          <w:sz w:val="16"/>
          <w:szCs w:val="16"/>
        </w:rPr>
        <w:t xml:space="preserve">    include: { user: { select: { id: true, role: true, banned: true, anonymizedAt: true } } },</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if (!stored) throw AppError.unauthorized('Session invalide');</w:t>
      </w:r>
    </w:p>
    <w:p>
      <w:pPr>
        <w:pBdr>
          <w:left w:val="single" w:color="BBBBBB" w:sz="12" w:space="8"/>
        </w:pBdr>
        <w:spacing w:after="0" w:line="216"/>
        <w:ind w:left="340"/>
      </w:pPr>
      <w:r>
        <w:rPr>
          <w:rFonts w:ascii="Consolas" w:cs="Consolas" w:eastAsia="Consolas" w:hAnsi="Consolas"/>
          <w:color w:val="222222"/>
          <w:sz w:val="16"/>
          <w:szCs w:val="16"/>
        </w:rPr>
        <w:t xml:space="preserve">  if (stored.revokedAt) {</w:t>
      </w:r>
    </w:p>
    <w:p>
      <w:pPr>
        <w:pBdr>
          <w:left w:val="single" w:color="BBBBBB" w:sz="12" w:space="8"/>
        </w:pBdr>
        <w:spacing w:after="0" w:line="216"/>
        <w:ind w:left="340"/>
      </w:pPr>
      <w:r>
        <w:rPr>
          <w:rFonts w:ascii="Consolas" w:cs="Consolas" w:eastAsia="Consolas" w:hAnsi="Consolas"/>
          <w:color w:val="222222"/>
          <w:sz w:val="16"/>
          <w:szCs w:val="16"/>
        </w:rPr>
        <w:t xml:space="preserve">    // Jeton déjà consommé re-présenté : vol probable.</w:t>
      </w:r>
    </w:p>
    <w:p>
      <w:pPr>
        <w:pBdr>
          <w:left w:val="single" w:color="BBBBBB" w:sz="12" w:space="8"/>
        </w:pBdr>
        <w:spacing w:after="0" w:line="216"/>
        <w:ind w:left="340"/>
      </w:pPr>
      <w:r>
        <w:rPr>
          <w:rFonts w:ascii="Consolas" w:cs="Consolas" w:eastAsia="Consolas" w:hAnsi="Consolas"/>
          <w:color w:val="222222"/>
          <w:sz w:val="16"/>
          <w:szCs w:val="16"/>
        </w:rPr>
        <w:t xml:space="preserve">    // On révoque toute la famille — attaquant ET victime déconnectés.</w:t>
      </w:r>
    </w:p>
    <w:p>
      <w:pPr>
        <w:pBdr>
          <w:left w:val="single" w:color="BBBBBB" w:sz="12" w:space="8"/>
        </w:pBdr>
        <w:spacing w:after="0" w:line="216"/>
        <w:ind w:left="340"/>
      </w:pPr>
      <w:r>
        <w:rPr>
          <w:rFonts w:ascii="Consolas" w:cs="Consolas" w:eastAsia="Consolas" w:hAnsi="Consolas"/>
          <w:color w:val="222222"/>
          <w:sz w:val="16"/>
          <w:szCs w:val="16"/>
        </w:rPr>
        <w:t xml:space="preserve">    await revokeFamily(stored.familyId);</w:t>
      </w:r>
    </w:p>
    <w:p>
      <w:pPr>
        <w:pBdr>
          <w:left w:val="single" w:color="BBBBBB" w:sz="12" w:space="8"/>
        </w:pBdr>
        <w:spacing w:after="0" w:line="216"/>
        <w:ind w:left="340"/>
      </w:pPr>
      <w:r>
        <w:rPr>
          <w:rFonts w:ascii="Consolas" w:cs="Consolas" w:eastAsia="Consolas" w:hAnsi="Consolas"/>
          <w:color w:val="222222"/>
          <w:sz w:val="16"/>
          <w:szCs w:val="16"/>
        </w:rPr>
        <w:t xml:space="preserve">    throw AppError.unauthorized('Session révoquée');</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if (stored.expiresAt &lt; new Date()) throw AppError.unauthorized('Session expirée');</w:t>
      </w:r>
    </w:p>
    <w:p>
      <w:pPr>
        <w:pBdr>
          <w:left w:val="single" w:color="BBBBBB" w:sz="12" w:space="8"/>
        </w:pBdr>
        <w:spacing w:after="0" w:line="216"/>
        <w:ind w:left="340"/>
      </w:pPr>
      <w:r>
        <w:rPr>
          <w:rFonts w:ascii="Consolas" w:cs="Consolas" w:eastAsia="Consolas" w:hAnsi="Consolas"/>
          <w:color w:val="222222"/>
          <w:sz w:val="16"/>
          <w:szCs w:val="16"/>
        </w:rPr>
        <w:t xml:space="preserve">  if (stored.user.banned) { await revokeFamily(stored.familyId); throw AppError.forbidden('Compte suspendu'); }</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await prisma.refreshToken.update({ where: { id: stored.id }, data: { revokedAt: new Date() } });</w:t>
      </w:r>
    </w:p>
    <w:p>
      <w:pPr>
        <w:pBdr>
          <w:left w:val="single" w:color="BBBBBB" w:sz="12" w:space="8"/>
        </w:pBdr>
        <w:spacing w:after="0" w:line="216"/>
        <w:ind w:left="340"/>
      </w:pPr>
      <w:r>
        <w:rPr>
          <w:rFonts w:ascii="Consolas" w:cs="Consolas" w:eastAsia="Consolas" w:hAnsi="Consolas"/>
          <w:color w:val="222222"/>
          <w:sz w:val="16"/>
          <w:szCs w:val="16"/>
        </w:rPr>
        <w:t xml:space="preserve">  const pair = await issueTokenPair(stored.user, { familyId: stored.familyId });</w:t>
      </w:r>
    </w:p>
    <w:p>
      <w:pPr>
        <w:pBdr>
          <w:left w:val="single" w:color="BBBBBB" w:sz="12" w:space="8"/>
        </w:pBdr>
        <w:spacing w:after="0" w:line="216"/>
        <w:ind w:left="340"/>
      </w:pPr>
      <w:r>
        <w:rPr>
          <w:rFonts w:ascii="Consolas" w:cs="Consolas" w:eastAsia="Consolas" w:hAnsi="Consolas"/>
          <w:color w:val="222222"/>
          <w:sz w:val="16"/>
          <w:szCs w:val="16"/>
        </w:rPr>
        <w:t xml:space="preserve">  return { accessToken: pair.accessToken, refreshToken: pair.refreshToken, user: stored.user };</w:t>
      </w:r>
    </w:p>
    <w:p>
      <w:pPr>
        <w:pBdr>
          <w:left w:val="single" w:color="BBBBBB" w:sz="12" w:space="8"/>
        </w:pBdr>
        <w:spacing w:after="0" w:line="216"/>
        <w:ind w:left="340"/>
      </w:pPr>
      <w:r>
        <w:rPr>
          <w:rFonts w:ascii="Consolas" w:cs="Consolas" w:eastAsia="Consolas" w:hAnsi="Consolas"/>
          <w:color w:val="222222"/>
          <w:sz w:val="16"/>
          <w:szCs w:val="16"/>
        </w:rPr>
        <w:t xml:space="preserve">}</w:t>
      </w:r>
    </w:p>
    <w:p>
      <w:pPr>
        <w:spacing w:after="160" w:before="60"/>
        <w:jc w:val="left"/>
      </w:pPr>
      <w:r>
        <w:rPr>
          <w:i/>
          <w:iCs/>
          <w:color w:val="555555"/>
          <w:sz w:val="18"/>
          <w:szCs w:val="18"/>
        </w:rPr>
        <w:t xml:space="preserve">services/tokenService.js — le cœur de la rotation. Le test T-1.8 vérifie le scénario de réutilisation de bout en bout.</w:t>
      </w:r>
    </w:p>
    <w:p>
      <w:pPr>
        <w:pStyle w:val="Heading3"/>
      </w:pPr>
      <w:r>
        <w:t xml:space="preserve">Ce que voit le reste de l’API</w:t>
      </w:r>
    </w:p>
    <w:p>
      <w:pPr>
        <w:jc w:val="both"/>
      </w:pPr>
      <w:r>
        <w:t xml:space="preserve">Les routes protégées n’ont à connaître de tout cela que deux middlewares. requireAuth vérifie la signature et l’expiration du JWT, puis interroge la blacklist Redis (jti révoqué ou utilisateur banni, en un seul MGET) et pose req.user. Un jeton expiré produit un 401 avec le code dédié TOKEN_EXPIRED — le signal qui déclenche le rafraîchissement silencieux côté client. requireRole se réduit à une comparaison de rôles et un 403. Côté mots de passe, argon2id est configuré selon les recommandations OWASP (19 Mio de mémoire, vérification à temps constant), et les messages d’erreur de connexion sont volontairement identiques que l’e-mail soit inconnu ou le mot de passe faux — pas d’énumération de comptes possible, et le même principe s’applique à la demande de réinitialisation, qui répond toujours 200.</w:t>
      </w:r>
    </w:p>
    <w:p>
      <w:pPr>
        <w:pStyle w:val="Heading3"/>
      </w:pPr>
      <w:r>
        <w:t xml:space="preserve">Le rafraîchissement silencieux côté client</w:t>
      </w:r>
    </w:p>
    <w:p>
      <w:pPr>
        <w:jc w:val="both"/>
      </w:pPr>
      <w:r>
        <w:t xml:space="preserve">La contrepartie front du modèle : quand une requête reçoit 401 TOKEN_EXPIRED, le client HTTP déclenche un rafraîchissement puis rejoue la requête une seule fois. Le point délicat est la concurrence — dix requêtes peuvent expirer ensemble au retour d’un onglet resté ouvert. Le rafraîchissement est donc « single-flight » : une promesse partagée que tous les appels concurrents attendent, au lieu de dix appels à /auth/refresh dont neuf échoueraient sur des jetons déjà consommés (et déclencheraient la révocation de famille qu’on vient de décrire — je l’ai appris en le vivant, voir chapitre 14).</w:t>
      </w:r>
    </w:p>
    <w:p>
      <w:pPr>
        <w:pBdr>
          <w:left w:val="single" w:color="BBBBBB" w:sz="12" w:space="8"/>
        </w:pBdr>
        <w:spacing w:after="0" w:line="216"/>
        <w:ind w:left="340"/>
      </w:pPr>
      <w:r>
        <w:rPr>
          <w:rFonts w:ascii="Consolas" w:cs="Consolas" w:eastAsia="Consolas" w:hAnsi="Consolas"/>
          <w:color w:val="222222"/>
          <w:sz w:val="16"/>
          <w:szCs w:val="16"/>
        </w:rPr>
        <w:t xml:space="preserve">let refreshInFlight = null;</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function refreshOnce() {</w:t>
      </w:r>
    </w:p>
    <w:p>
      <w:pPr>
        <w:pBdr>
          <w:left w:val="single" w:color="BBBBBB" w:sz="12" w:space="8"/>
        </w:pBdr>
        <w:spacing w:after="0" w:line="216"/>
        <w:ind w:left="340"/>
      </w:pPr>
      <w:r>
        <w:rPr>
          <w:rFonts w:ascii="Consolas" w:cs="Consolas" w:eastAsia="Consolas" w:hAnsi="Consolas"/>
          <w:color w:val="222222"/>
          <w:sz w:val="16"/>
          <w:szCs w:val="16"/>
        </w:rPr>
        <w:t xml:space="preserve">  refreshInFlight ??= refreshSession()</w:t>
      </w:r>
    </w:p>
    <w:p>
      <w:pPr>
        <w:pBdr>
          <w:left w:val="single" w:color="BBBBBB" w:sz="12" w:space="8"/>
        </w:pBdr>
        <w:spacing w:after="0" w:line="216"/>
        <w:ind w:left="340"/>
      </w:pPr>
      <w:r>
        <w:rPr>
          <w:rFonts w:ascii="Consolas" w:cs="Consolas" w:eastAsia="Consolas" w:hAnsi="Consolas"/>
          <w:color w:val="222222"/>
          <w:sz w:val="16"/>
          <w:szCs w:val="16"/>
        </w:rPr>
        <w:t xml:space="preserve">    .then((data) =&gt; data !== null)</w:t>
      </w:r>
    </w:p>
    <w:p>
      <w:pPr>
        <w:pBdr>
          <w:left w:val="single" w:color="BBBBBB" w:sz="12" w:space="8"/>
        </w:pBdr>
        <w:spacing w:after="0" w:line="216"/>
        <w:ind w:left="340"/>
      </w:pPr>
      <w:r>
        <w:rPr>
          <w:rFonts w:ascii="Consolas" w:cs="Consolas" w:eastAsia="Consolas" w:hAnsi="Consolas"/>
          <w:color w:val="222222"/>
          <w:sz w:val="16"/>
          <w:szCs w:val="16"/>
        </w:rPr>
        <w:t xml:space="preserve">    .catch(() =&gt; false)</w:t>
      </w:r>
    </w:p>
    <w:p>
      <w:pPr>
        <w:pBdr>
          <w:left w:val="single" w:color="BBBBBB" w:sz="12" w:space="8"/>
        </w:pBdr>
        <w:spacing w:after="0" w:line="216"/>
        <w:ind w:left="340"/>
      </w:pPr>
      <w:r>
        <w:rPr>
          <w:rFonts w:ascii="Consolas" w:cs="Consolas" w:eastAsia="Consolas" w:hAnsi="Consolas"/>
          <w:color w:val="222222"/>
          <w:sz w:val="16"/>
          <w:szCs w:val="16"/>
        </w:rPr>
        <w:t xml:space="preserve">    .finally(() =&gt; { refreshInFlight = null; });</w:t>
      </w:r>
    </w:p>
    <w:p>
      <w:pPr>
        <w:pBdr>
          <w:left w:val="single" w:color="BBBBBB" w:sz="12" w:space="8"/>
        </w:pBdr>
        <w:spacing w:after="0" w:line="216"/>
        <w:ind w:left="340"/>
      </w:pPr>
      <w:r>
        <w:rPr>
          <w:rFonts w:ascii="Consolas" w:cs="Consolas" w:eastAsia="Consolas" w:hAnsi="Consolas"/>
          <w:color w:val="222222"/>
          <w:sz w:val="16"/>
          <w:szCs w:val="16"/>
        </w:rPr>
        <w:t xml:space="preserve">  return refreshInFlight;</w:t>
      </w:r>
    </w:p>
    <w:p>
      <w:pPr>
        <w:pBdr>
          <w:left w:val="single" w:color="BBBBBB" w:sz="12" w:space="8"/>
        </w:pBdr>
        <w:spacing w:after="0" w:line="216"/>
        <w:ind w:left="340"/>
      </w:pPr>
      <w:r>
        <w:rPr>
          <w:rFonts w:ascii="Consolas" w:cs="Consolas" w:eastAsia="Consolas" w:hAnsi="Consolas"/>
          <w:color w:val="222222"/>
          <w:sz w:val="16"/>
          <w:szCs w:val="16"/>
        </w:rPr>
        <w:t xml:space="preserve">}</w:t>
      </w:r>
    </w:p>
    <w:p>
      <w:pPr>
        <w:spacing w:after="160" w:before="60"/>
        <w:jc w:val="left"/>
      </w:pPr>
      <w:r>
        <w:rPr>
          <w:i/>
          <w:iCs/>
          <w:color w:val="555555"/>
          <w:sz w:val="18"/>
          <w:szCs w:val="18"/>
        </w:rPr>
        <w:t xml:space="preserve">web/src/lib/apiClient.js — l’opérateur ??= garantit qu’un seul refresh part, quel que soit le nombre d’appels simultanés.</w:t>
      </w:r>
    </w:p>
    <w:p>
      <w:pPr>
        <w:pStyle w:val="Heading2"/>
      </w:pPr>
      <w:r>
        <w:t xml:space="preserve">8.4 L’attribution des chevaux</w:t>
      </w:r>
    </w:p>
    <w:p>
      <w:pPr>
        <w:jc w:val="both"/>
      </w:pPr>
      <w:r>
        <w:t xml:space="preserve">Le composant dont je suis le plus satisfait, parce qu’il montre ce que « développer des composants métier » veut dire au-delà du CRUD. Le problème : pour une séance donnée, affecter à chaque cavalier inscrit un cheval éligible, en maximisant la qualité des couples et en répartissant la charge de travail — sachant que deux cavaliers peuvent convoiter le même cheval et que la solution doit être exactement reproductible (un moniteur qui relance le calcul doit retrouver le même résultat, sinon il ne fera jamais confiance à l’outil).</w:t>
      </w:r>
    </w:p>
    <w:p>
      <w:pPr>
        <w:jc w:val="both"/>
      </w:pPr>
      <w:r>
        <w:t xml:space="preserve">L’architecture du composant sépare strictement le calcul de la persistance. Trois fonctions pures — scoreRiderHorse, rankCandidateHorses, simulateHorseAssignments — font tout le travail de décision sans toucher à la base : elles prennent des données, rendent des attributions et des conflits. Elles sont testées unitairement sur les six cas limites définis dès la conception. La persistance est un module séparé qui rejoue la simulation dans une transaction Prisma : affectations et incréments de charge hebdomadaire s’écrivent ensemble ou pas du tout.</w:t>
      </w:r>
    </w:p>
    <w:p>
      <w:pPr>
        <w:pBdr>
          <w:left w:val="single" w:color="BBBBBB" w:sz="12" w:space="8"/>
        </w:pBdr>
        <w:spacing w:after="0" w:line="216"/>
        <w:ind w:left="340"/>
      </w:pPr>
      <w:r>
        <w:rPr>
          <w:rFonts w:ascii="Consolas" w:cs="Consolas" w:eastAsia="Consolas" w:hAnsi="Consolas"/>
          <w:color w:val="222222"/>
          <w:sz w:val="16"/>
          <w:szCs w:val="16"/>
        </w:rPr>
        <w:t xml:space="preserve">export function scoreRiderHorse({ rider, horse, affinity }) {</w:t>
      </w:r>
    </w:p>
    <w:p>
      <w:pPr>
        <w:pBdr>
          <w:left w:val="single" w:color="BBBBBB" w:sz="12" w:space="8"/>
        </w:pBdr>
        <w:spacing w:after="0" w:line="216"/>
        <w:ind w:left="340"/>
      </w:pPr>
      <w:r>
        <w:rPr>
          <w:rFonts w:ascii="Consolas" w:cs="Consolas" w:eastAsia="Consolas" w:hAnsi="Consolas"/>
          <w:color w:val="222222"/>
          <w:sz w:val="16"/>
          <w:szCs w:val="16"/>
        </w:rPr>
        <w:t xml:space="preserve">  let score = 0;</w:t>
      </w:r>
    </w:p>
    <w:p>
      <w:pPr>
        <w:pBdr>
          <w:left w:val="single" w:color="BBBBBB" w:sz="12" w:space="8"/>
        </w:pBdr>
        <w:spacing w:after="0" w:line="216"/>
        <w:ind w:left="340"/>
      </w:pPr>
      <w:r>
        <w:rPr>
          <w:rFonts w:ascii="Consolas" w:cs="Consolas" w:eastAsia="Consolas" w:hAnsi="Consolas"/>
          <w:color w:val="222222"/>
          <w:sz w:val="16"/>
          <w:szCs w:val="16"/>
        </w:rPr>
        <w:t xml:space="preserve">  if (affinity === 'favorite') score += 10;</w:t>
      </w:r>
    </w:p>
    <w:p>
      <w:pPr>
        <w:pBdr>
          <w:left w:val="single" w:color="BBBBBB" w:sz="12" w:space="8"/>
        </w:pBdr>
        <w:spacing w:after="0" w:line="216"/>
        <w:ind w:left="340"/>
      </w:pPr>
      <w:r>
        <w:rPr>
          <w:rFonts w:ascii="Consolas" w:cs="Consolas" w:eastAsia="Consolas" w:hAnsi="Consolas"/>
          <w:color w:val="222222"/>
          <w:sz w:val="16"/>
          <w:szCs w:val="16"/>
        </w:rPr>
        <w:t xml:space="preserve">  if (affinity === 'avoid') score -= 15;</w:t>
      </w:r>
    </w:p>
    <w:p>
      <w:pPr>
        <w:pBdr>
          <w:left w:val="single" w:color="BBBBBB" w:sz="12" w:space="8"/>
        </w:pBdr>
        <w:spacing w:after="0" w:line="216"/>
        <w:ind w:left="340"/>
      </w:pPr>
      <w:r>
        <w:rPr>
          <w:rFonts w:ascii="Consolas" w:cs="Consolas" w:eastAsia="Consolas" w:hAnsi="Consolas"/>
          <w:color w:val="222222"/>
          <w:sz w:val="16"/>
          <w:szCs w:val="16"/>
        </w:rPr>
        <w:t xml:space="preserve">  if (isLevelInRange(rider.level, horse.minLevel, horse.maxLevel)) score += 5;</w:t>
      </w:r>
    </w:p>
    <w:p>
      <w:pPr>
        <w:pBdr>
          <w:left w:val="single" w:color="BBBBBB" w:sz="12" w:space="8"/>
        </w:pBdr>
        <w:spacing w:after="0" w:line="216"/>
        <w:ind w:left="340"/>
      </w:pPr>
      <w:r>
        <w:rPr>
          <w:rFonts w:ascii="Consolas" w:cs="Consolas" w:eastAsia="Consolas" w:hAnsi="Consolas"/>
          <w:color w:val="222222"/>
          <w:sz w:val="16"/>
          <w:szCs w:val="16"/>
        </w:rPr>
        <w:t xml:space="preserve">  score -= horse.weeklyLoadHours * 5; // répartir la charge sur la cavalerie</w:t>
      </w:r>
    </w:p>
    <w:p>
      <w:pPr>
        <w:pBdr>
          <w:left w:val="single" w:color="BBBBBB" w:sz="12" w:space="8"/>
        </w:pBdr>
        <w:spacing w:after="0" w:line="216"/>
        <w:ind w:left="340"/>
      </w:pPr>
      <w:r>
        <w:rPr>
          <w:rFonts w:ascii="Consolas" w:cs="Consolas" w:eastAsia="Consolas" w:hAnsi="Consolas"/>
          <w:color w:val="222222"/>
          <w:sz w:val="16"/>
          <w:szCs w:val="16"/>
        </w:rPr>
        <w:t xml:space="preserve">  return score;</w:t>
      </w:r>
    </w:p>
    <w:p>
      <w:pPr>
        <w:pBdr>
          <w:left w:val="single" w:color="BBBBBB" w:sz="12" w:space="8"/>
        </w:pBdr>
        <w:spacing w:after="0" w:line="216"/>
        <w:ind w:left="340"/>
      </w:pPr>
      <w:r>
        <w:rPr>
          <w:rFonts w:ascii="Consolas" w:cs="Consolas" w:eastAsia="Consolas" w:hAnsi="Consolas"/>
          <w:color w:val="222222"/>
          <w:sz w:val="16"/>
          <w:szCs w:val="16"/>
        </w:rPr>
        <w:t xml:space="preserve">}</w:t>
      </w:r>
    </w:p>
    <w:p>
      <w:pPr>
        <w:jc w:val="both"/>
      </w:pPr>
      <w:r>
        <w:t xml:space="preserve">Les pondérations n’ont rien de magique : elles ont été calibrées avec le gérant sur des cas concrets. Ma première version pénalisait la charge à −2 par heure ; en déroulant des semaines types sur papier, on voyait les mêmes chevaux favoris revenir séance après séance pendant que d’autres restaient au pré. À −5, la rotation de la cavalerie devient effective sans casser les couples qui fonctionnent. L’affinité « à éviter » à −15 est volontairement plus forte que « favori » à +10 : décevoir une préférence coûte moins cher que reproduire une association qui s’est mal passée.</w:t>
      </w:r>
    </w:p>
    <w:p>
      <w:pPr>
        <w:pBdr>
          <w:left w:val="single" w:color="BBBBBB" w:sz="12" w:space="8"/>
        </w:pBdr>
        <w:spacing w:after="0" w:line="216"/>
        <w:ind w:left="340"/>
      </w:pPr>
      <w:r>
        <w:rPr>
          <w:rFonts w:ascii="Consolas" w:cs="Consolas" w:eastAsia="Consolas" w:hAnsi="Consolas"/>
          <w:color w:val="222222"/>
          <w:sz w:val="16"/>
          <w:szCs w:val="16"/>
        </w:rPr>
        <w:t xml:space="preserve">return horses</w:t>
      </w:r>
    </w:p>
    <w:p>
      <w:pPr>
        <w:pBdr>
          <w:left w:val="single" w:color="BBBBBB" w:sz="12" w:space="8"/>
        </w:pBdr>
        <w:spacing w:after="0" w:line="216"/>
        <w:ind w:left="340"/>
      </w:pPr>
      <w:r>
        <w:rPr>
          <w:rFonts w:ascii="Consolas" w:cs="Consolas" w:eastAsia="Consolas" w:hAnsi="Consolas"/>
          <w:color w:val="222222"/>
          <w:sz w:val="16"/>
          <w:szCs w:val="16"/>
        </w:rPr>
        <w:t xml:space="preserve">  .filter((horse) =&gt; isEligibleHorse(horse))          // en forme + charge &lt; max</w:t>
      </w:r>
    </w:p>
    <w:p>
      <w:pPr>
        <w:pBdr>
          <w:left w:val="single" w:color="BBBBBB" w:sz="12" w:space="8"/>
        </w:pBdr>
        <w:spacing w:after="0" w:line="216"/>
        <w:ind w:left="340"/>
      </w:pPr>
      <w:r>
        <w:rPr>
          <w:rFonts w:ascii="Consolas" w:cs="Consolas" w:eastAsia="Consolas" w:hAnsi="Consolas"/>
          <w:color w:val="222222"/>
          <w:sz w:val="16"/>
          <w:szCs w:val="16"/>
        </w:rPr>
        <w:t xml:space="preserve">  .filter((horse) =&gt; !takenHorseIds.has(horse.id))    // pas déjà pris dans la séance</w:t>
      </w:r>
    </w:p>
    <w:p>
      <w:pPr>
        <w:pBdr>
          <w:left w:val="single" w:color="BBBBBB" w:sz="12" w:space="8"/>
        </w:pBdr>
        <w:spacing w:after="0" w:line="216"/>
        <w:ind w:left="340"/>
      </w:pPr>
      <w:r>
        <w:rPr>
          <w:rFonts w:ascii="Consolas" w:cs="Consolas" w:eastAsia="Consolas" w:hAnsi="Consolas"/>
          <w:color w:val="222222"/>
          <w:sz w:val="16"/>
          <w:szCs w:val="16"/>
        </w:rPr>
        <w:t xml:space="preserve">  .map((horse) =&gt; ({ horse, score: scoreRiderHorse({ rider, horse, affinity }), ... }))</w:t>
      </w:r>
    </w:p>
    <w:p>
      <w:pPr>
        <w:pBdr>
          <w:left w:val="single" w:color="BBBBBB" w:sz="12" w:space="8"/>
        </w:pBdr>
        <w:spacing w:after="0" w:line="216"/>
        <w:ind w:left="340"/>
      </w:pPr>
      <w:r>
        <w:rPr>
          <w:rFonts w:ascii="Consolas" w:cs="Consolas" w:eastAsia="Consolas" w:hAnsi="Consolas"/>
          <w:color w:val="222222"/>
          <w:sz w:val="16"/>
          <w:szCs w:val="16"/>
        </w:rPr>
        <w:t xml:space="preserve">  .sort((a, b) =&gt;</w:t>
      </w:r>
    </w:p>
    <w:p>
      <w:pPr>
        <w:pBdr>
          <w:left w:val="single" w:color="BBBBBB" w:sz="12" w:space="8"/>
        </w:pBdr>
        <w:spacing w:after="0" w:line="216"/>
        <w:ind w:left="340"/>
      </w:pPr>
      <w:r>
        <w:rPr>
          <w:rFonts w:ascii="Consolas" w:cs="Consolas" w:eastAsia="Consolas" w:hAnsi="Consolas"/>
          <w:color w:val="222222"/>
          <w:sz w:val="16"/>
          <w:szCs w:val="16"/>
        </w:rPr>
        <w:t xml:space="preserve">    b.score - a.score ||                               // meilleur score d'abord</w:t>
      </w:r>
    </w:p>
    <w:p>
      <w:pPr>
        <w:pBdr>
          <w:left w:val="single" w:color="BBBBBB" w:sz="12" w:space="8"/>
        </w:pBdr>
        <w:spacing w:after="0" w:line="216"/>
        <w:ind w:left="340"/>
      </w:pPr>
      <w:r>
        <w:rPr>
          <w:rFonts w:ascii="Consolas" w:cs="Consolas" w:eastAsia="Consolas" w:hAnsi="Consolas"/>
          <w:color w:val="222222"/>
          <w:sz w:val="16"/>
          <w:szCs w:val="16"/>
        </w:rPr>
        <w:t xml:space="preserve">    a.horse.weeklyLoadHours - b.horse.weeklyLoadHours || // puis le moins monté</w:t>
      </w:r>
    </w:p>
    <w:p>
      <w:pPr>
        <w:pBdr>
          <w:left w:val="single" w:color="BBBBBB" w:sz="12" w:space="8"/>
        </w:pBdr>
        <w:spacing w:after="0" w:line="216"/>
        <w:ind w:left="340"/>
      </w:pPr>
      <w:r>
        <w:rPr>
          <w:rFonts w:ascii="Consolas" w:cs="Consolas" w:eastAsia="Consolas" w:hAnsi="Consolas"/>
          <w:color w:val="222222"/>
          <w:sz w:val="16"/>
          <w:szCs w:val="16"/>
        </w:rPr>
        <w:t xml:space="preserve">    a.horse.name.localeCompare(b.horse.name, 'fr') ||  // puis alphabétique</w:t>
      </w:r>
    </w:p>
    <w:p>
      <w:pPr>
        <w:pBdr>
          <w:left w:val="single" w:color="BBBBBB" w:sz="12" w:space="8"/>
        </w:pBdr>
        <w:spacing w:after="0" w:line="216"/>
        <w:ind w:left="340"/>
      </w:pPr>
      <w:r>
        <w:rPr>
          <w:rFonts w:ascii="Consolas" w:cs="Consolas" w:eastAsia="Consolas" w:hAnsi="Consolas"/>
          <w:color w:val="222222"/>
          <w:sz w:val="16"/>
          <w:szCs w:val="16"/>
        </w:rPr>
        <w:t xml:space="preserve">    a.horse.id.localeCompare(b.horse.id, 'fr'));       // puis id : total, stable</w:t>
      </w:r>
    </w:p>
    <w:p>
      <w:pPr>
        <w:spacing w:after="160" w:before="60"/>
        <w:jc w:val="left"/>
      </w:pPr>
      <w:r>
        <w:rPr>
          <w:i/>
          <w:iCs/>
          <w:color w:val="555555"/>
          <w:sz w:val="18"/>
          <w:szCs w:val="18"/>
        </w:rPr>
        <w:t xml:space="preserve">services/horseAssignment.js — la chaîne de départage rend l’ordre total : deux exécutions sur les mêmes données donnent toujours le même classement. C’est l’objet du test « égalité de scores ».</w:t>
      </w:r>
    </w:p>
    <w:p>
      <w:pPr>
        <w:jc w:val="both"/>
      </w:pPr>
      <w:r>
        <w:t xml:space="preserve">Deux compléments donnent au moniteur et à l’admin la maîtrise finale. L’override manuel : l’écran d’attribution liste pour chaque cavalier les chevaux disponibles avec leur score, signale les affinités « à éviter », et le remplacement réajuste les charges des deux chevaux concernés. Et l’audit de compatibilité : l’admin peut lancer une simulation en masse sur les séances à venir (POST /admin/compatibility-audit) qui réutilise exactement les mêmes fonctions pures, sans une seule écriture, pour repérer à l’avance les séances sans solution — typiquement quand deux chevaux partent chez le vétérinaire la même semaine.</w:t>
      </w:r>
    </w:p>
    <w:p>
      <w:pPr>
        <w:pStyle w:val="Heading2"/>
      </w:pPr>
      <w:r>
        <w:t xml:space="preserve">8.5 La récurrence des cours</w:t>
      </w:r>
    </w:p>
    <w:p>
      <w:pPr>
        <w:jc w:val="both"/>
      </w:pPr>
      <w:r>
        <w:t xml:space="preserve">Autre composant métier isolé en fonctions pures : la génération des occurrences d’un cours récurrent. À partir d’une séance mère, d’une règle hebdomadaire et d’une date de fin, recurrence.js produit la liste des séances à créer — en prenant soin des pièges de dates qui ne pardonnent pas : le passage à l’heure d’été (un cours du samedi 10 h doit rester à 10 h, pas dériver d’une heure), les mois de longueurs différentes, la borne de fin incluse ou exclue. Les tests unitaires couvrent précisément ces cas, avec des dates choisies autour des changements d’heure de mars et d’octobre. La création en base écrit ensuite la série entière dans une transaction, chaque séance rattachée à la mère par l’association réflexive du modèle.</w:t>
      </w:r>
    </w:p>
    <w:p>
      <w:pPr>
        <w:pStyle w:val="Heading2"/>
      </w:pPr>
      <w:r>
        <w:t xml:space="preserve">8.6 La tarification</w:t>
      </w:r>
    </w:p>
    <w:p>
      <w:pPr>
        <w:jc w:val="both"/>
      </w:pPr>
      <w:r>
        <w:t xml:space="preserve">Le calcul du prix d’un abonnement tient dans pricing.js, une fonction pure elle aussi : prix de la formule, moins la meilleure règle de réduction applicable (les règles portent un pourcentage et une condition de nombre minimal de cavaliers — la « réduction famille nombreuse » du centre), avec un plancher à zéro parce qu’un prix négatif ne doit pas pouvoir exister même si un admin crée un jour une règle à 110 %. La génération de facture assemble ensuite les lignes détaillées, attribue le numéro séquentiel, et le cycle de vie (brouillon → envoyée → payée / en retard / annulée) déclenche les notifications correspondantes. Le paiement est simulé — un changement d’état tracé — ce qui est assumé et documenté : la compétence démontrée est la gestion du cycle de facturation, pas l’intégration d’un prestataire.</w:t>
      </w:r>
    </w:p>
    <w:p>
      <w:pPr>
        <w:pStyle w:val="Heading2"/>
      </w:pPr>
      <w:r>
        <w:t xml:space="preserve">8.7 Le téléversement de documents</w:t>
      </w:r>
    </w:p>
    <w:p>
      <w:pPr>
        <w:jc w:val="both"/>
      </w:pPr>
      <w:r>
        <w:t xml:space="preserve">Les certificats médicaux et licences arrivent par multipart (multer en mémoire, 5 Mo maximum, un seul fichier). Le contrôle du type ne fait confiance à rien de ce que le client déclare : ni l’extension, ni le Content-Type, tous deux falsifiables d’un clic. Le fichier est identifié par ses premiers octets (magic bytes, bibliothèque file-type) et rejeté si la détection échoue ou si le type détecté n’est pas dans la liste blanche PDF/JPEG/PNG. Je dois être honnête sur l’histoire de ce contrôle : ma première version se repliait sur le Content-Type déclaré quand la détection échouait — précisément le trou qu’un fichier texte renommé en .pdf traverse. C’est la revue de sécurité de fin de projet qui l’a attrapé ; la correction supprime le repli, et le scénario est au cahier de tests (T-2.4). Les fichiers sont stockés hors de la racine web, sous un nom UUID régénéré (le nom d’origine ne touche jamais le disque — pas de traversée de chemin possible), et servis exclusivement par une route authentifiée qui vérifie le rôle et l’appartenance familiale.</w:t>
      </w:r>
    </w:p>
    <w:p>
      <w:pPr>
        <w:pStyle w:val="Heading2"/>
      </w:pPr>
      <w:r>
        <w:t xml:space="preserve">8.8 Les notifications</w:t>
      </w:r>
    </w:p>
    <w:p>
      <w:pPr>
        <w:jc w:val="both"/>
      </w:pPr>
      <w:r>
        <w:t xml:space="preserve">Huit événements métier déclenchent des notifications, du rappel d’impayé à l’absence d’un cavalier. Le dispatcher central vérifie les préférences de l’utilisateur pour ce type précis — canal in-app et canal e-mail séparément, les préférences manquantes étant créées à la volée avec des valeurs par défaut raisonnables — puis crée la notification in-app et envoie l’e-mail via SendGrid si le canal est ouvert. Le test qui compte (T-8.5) vérifie le comportement négatif : préférence e-mail désactivée, facture créée, notification in-app présente, e-mail absent. Une préférence qui ne bloque pas réellement l’envoi serait pire que pas de préférence du tout.</w:t>
      </w:r>
    </w:p>
    <w:p>
      <w:pPr>
        <w:pStyle w:val="Heading2"/>
      </w:pPr>
      <w:r>
        <w:t xml:space="preserve">8.9 La gestion des erreurs et la journalisation</w:t>
      </w:r>
    </w:p>
    <w:p>
      <w:pPr>
        <w:jc w:val="both"/>
      </w:pPr>
      <w:r>
        <w:t xml:space="preserve">Tout le traitement d’erreur de l’API converge vers deux briques. AppError, d’abord : une classe d’erreur « opérationnelle » qui transporte un code HTTP, un code applicatif stable (TOKEN_EXPIRED, NOT_FOUND…) et d’éventuels détails structurés. Les services ne connaissent qu’elle — AppError.unauthorized(), AppError.conflict('Un compte existe déjà…') — et des fabriques statiques évitent la dispersion des codes HTTP dans le code métier. L’errorHandler central, ensuite, dernier middleware de la chaîne : une AppError produit la réponse structurée correspondante et un log de niveau warn ; toute autre erreur est un bug — réponse 500 générique, log de niveau error avec la stack, et jamais un octet de détail interne vers le client hors développement. Cette distinction opérationnelle/bug, empruntée aux pratiques Node documentées, change la vie en exploitation : les warn racontent la vie normale de l’application (tentatives refusées, validations échouées), les error appellent une intervention.</w:t>
      </w:r>
    </w:p>
    <w:p>
      <w:pPr>
        <w:pBdr>
          <w:left w:val="single" w:color="BBBBBB" w:sz="12" w:space="8"/>
        </w:pBdr>
        <w:spacing w:after="0" w:line="216"/>
        <w:ind w:left="340"/>
      </w:pPr>
      <w:r>
        <w:rPr>
          <w:rFonts w:ascii="Consolas" w:cs="Consolas" w:eastAsia="Consolas" w:hAnsi="Consolas"/>
          <w:color w:val="222222"/>
          <w:sz w:val="16"/>
          <w:szCs w:val="16"/>
        </w:rPr>
        <w:t xml:space="preserve">export function errorHandler(err, req, res, next) {</w:t>
      </w:r>
    </w:p>
    <w:p>
      <w:pPr>
        <w:pBdr>
          <w:left w:val="single" w:color="BBBBBB" w:sz="12" w:space="8"/>
        </w:pBdr>
        <w:spacing w:after="0" w:line="216"/>
        <w:ind w:left="340"/>
      </w:pPr>
      <w:r>
        <w:rPr>
          <w:rFonts w:ascii="Consolas" w:cs="Consolas" w:eastAsia="Consolas" w:hAnsi="Consolas"/>
          <w:color w:val="222222"/>
          <w:sz w:val="16"/>
          <w:szCs w:val="16"/>
        </w:rPr>
        <w:t xml:space="preserve">  const isOperational = err instanceof AppError &amp;&amp; err.isOperational;</w:t>
      </w:r>
    </w:p>
    <w:p>
      <w:pPr>
        <w:pBdr>
          <w:left w:val="single" w:color="BBBBBB" w:sz="12" w:space="8"/>
        </w:pBdr>
        <w:spacing w:after="0" w:line="216"/>
        <w:ind w:left="340"/>
      </w:pPr>
      <w:r>
        <w:rPr>
          <w:rFonts w:ascii="Consolas" w:cs="Consolas" w:eastAsia="Consolas" w:hAnsi="Consolas"/>
          <w:color w:val="222222"/>
          <w:sz w:val="16"/>
          <w:szCs w:val="16"/>
        </w:rPr>
        <w:t xml:space="preserve">  if (isOperational) {</w:t>
      </w:r>
    </w:p>
    <w:p>
      <w:pPr>
        <w:pBdr>
          <w:left w:val="single" w:color="BBBBBB" w:sz="12" w:space="8"/>
        </w:pBdr>
        <w:spacing w:after="0" w:line="216"/>
        <w:ind w:left="340"/>
      </w:pPr>
      <w:r>
        <w:rPr>
          <w:rFonts w:ascii="Consolas" w:cs="Consolas" w:eastAsia="Consolas" w:hAnsi="Consolas"/>
          <w:color w:val="222222"/>
          <w:sz w:val="16"/>
          <w:szCs w:val="16"/>
        </w:rPr>
        <w:t xml:space="preserve">    logger.warn({ code: err.code, path: req.path }, err.message);</w:t>
      </w:r>
    </w:p>
    <w:p>
      <w:pPr>
        <w:pBdr>
          <w:left w:val="single" w:color="BBBBBB" w:sz="12" w:space="8"/>
        </w:pBdr>
        <w:spacing w:after="0" w:line="216"/>
        <w:ind w:left="340"/>
      </w:pPr>
      <w:r>
        <w:rPr>
          <w:rFonts w:ascii="Consolas" w:cs="Consolas" w:eastAsia="Consolas" w:hAnsi="Consolas"/>
          <w:color w:val="222222"/>
          <w:sz w:val="16"/>
          <w:szCs w:val="16"/>
        </w:rPr>
        <w:t xml:space="preserve">    return res.status(err.statusCode).json({ error: { code: err.code,</w:t>
      </w:r>
    </w:p>
    <w:p>
      <w:pPr>
        <w:pBdr>
          <w:left w:val="single" w:color="BBBBBB" w:sz="12" w:space="8"/>
        </w:pBdr>
        <w:spacing w:after="0" w:line="216"/>
        <w:ind w:left="340"/>
      </w:pPr>
      <w:r>
        <w:rPr>
          <w:rFonts w:ascii="Consolas" w:cs="Consolas" w:eastAsia="Consolas" w:hAnsi="Consolas"/>
          <w:color w:val="222222"/>
          <w:sz w:val="16"/>
          <w:szCs w:val="16"/>
        </w:rPr>
        <w:t xml:space="preserve">      message: err.message, ...(err.details ? { details: err.details } : {}) } });</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logger.error({ err, path: req.path }, 'Erreur non gérée');</w:t>
      </w:r>
    </w:p>
    <w:p>
      <w:pPr>
        <w:pBdr>
          <w:left w:val="single" w:color="BBBBBB" w:sz="12" w:space="8"/>
        </w:pBdr>
        <w:spacing w:after="0" w:line="216"/>
        <w:ind w:left="340"/>
      </w:pPr>
      <w:r>
        <w:rPr>
          <w:rFonts w:ascii="Consolas" w:cs="Consolas" w:eastAsia="Consolas" w:hAnsi="Consolas"/>
          <w:color w:val="222222"/>
          <w:sz w:val="16"/>
          <w:szCs w:val="16"/>
        </w:rPr>
        <w:t xml:space="preserve">  return res.status(500).json({ error: { code: 'INTERNAL_ERROR',</w:t>
      </w:r>
    </w:p>
    <w:p>
      <w:pPr>
        <w:pBdr>
          <w:left w:val="single" w:color="BBBBBB" w:sz="12" w:space="8"/>
        </w:pBdr>
        <w:spacing w:after="0" w:line="216"/>
        <w:ind w:left="340"/>
      </w:pPr>
      <w:r>
        <w:rPr>
          <w:rFonts w:ascii="Consolas" w:cs="Consolas" w:eastAsia="Consolas" w:hAnsi="Consolas"/>
          <w:color w:val="222222"/>
          <w:sz w:val="16"/>
          <w:szCs w:val="16"/>
        </w:rPr>
        <w:t xml:space="preserve">    message: 'Une erreur interne est survenue',</w:t>
      </w:r>
    </w:p>
    <w:p>
      <w:pPr>
        <w:pBdr>
          <w:left w:val="single" w:color="BBBBBB" w:sz="12" w:space="8"/>
        </w:pBdr>
        <w:spacing w:after="0" w:line="216"/>
        <w:ind w:left="340"/>
      </w:pPr>
      <w:r>
        <w:rPr>
          <w:rFonts w:ascii="Consolas" w:cs="Consolas" w:eastAsia="Consolas" w:hAnsi="Consolas"/>
          <w:color w:val="222222"/>
          <w:sz w:val="16"/>
          <w:szCs w:val="16"/>
        </w:rPr>
        <w:t xml:space="preserve">    ...(isDev ? { stack: err.stack } : {}) } });</w:t>
      </w:r>
    </w:p>
    <w:p>
      <w:pPr>
        <w:pBdr>
          <w:left w:val="single" w:color="BBBBBB" w:sz="12" w:space="8"/>
        </w:pBdr>
        <w:spacing w:after="0" w:line="216"/>
        <w:ind w:left="340"/>
      </w:pPr>
      <w:r>
        <w:rPr>
          <w:rFonts w:ascii="Consolas" w:cs="Consolas" w:eastAsia="Consolas" w:hAnsi="Consolas"/>
          <w:color w:val="222222"/>
          <w:sz w:val="16"/>
          <w:szCs w:val="16"/>
        </w:rPr>
        <w:t xml:space="preserve">}</w:t>
      </w:r>
    </w:p>
    <w:p>
      <w:pPr>
        <w:spacing w:after="160" w:before="60"/>
        <w:jc w:val="left"/>
      </w:pPr>
      <w:r>
        <w:rPr>
          <w:i/>
          <w:iCs/>
          <w:color w:val="555555"/>
          <w:sz w:val="18"/>
          <w:szCs w:val="18"/>
        </w:rPr>
        <w:t xml:space="preserve">middlewares/errorHandler.js — la stack ne sort qu’en développement ; en production elle ne quitte jamais les logs serveur.</w:t>
      </w:r>
    </w:p>
    <w:p>
      <w:pPr>
        <w:jc w:val="both"/>
      </w:pPr>
      <w:r>
        <w:t xml:space="preserve">La journalisation s’appuie sur pino : format JSON en production (exploitable par n’importe quel collecteur), lisible et coloré en développement via pino-pretty, silencieux pendant les tests. Chaque requête HTTP est tracée par pino-http avec sa durée et son statut. Deux interdits absolus, vérifiés en relecture : aucun mot de passe et aucun jeton ne transite jamais par un log — même en debug, même tronqué.</w:t>
      </w:r>
    </w:p>
    <w:p>
      <w:pPr>
        <w:pStyle w:val="Heading2"/>
      </w:pPr>
      <w:r>
        <w:t xml:space="preserve">8.10 Le cache du planning et l’isolation de la messagerie</w:t>
      </w:r>
    </w:p>
    <w:p>
      <w:pPr>
        <w:jc w:val="both"/>
      </w:pPr>
      <w:r>
        <w:t xml:space="preserve">Deux composants plus modestes complètent le tableau, chacun avec son point d’attention. Le cache du planning (planningCache.js) mémorise en Redis, pour cinq minutes, la vue calendrier — la requête la plus sollicitée et la plus coûteuse de l’application. La subtilité n’est pas la mise en cache mais l’invalidation : toute mutation d’un cours (création, modification, annulation, inscription) invalide le cache immédiatement, parce qu’un moniteur qui vient d’annuler une séance et la voit encore au planning perdrait confiance dans l’outil plus sûrement qu’avec des temps de réponse médiocres. J’ai choisi l’invalidation globale plutôt que fine — le volume de données d’un centre ne justifie pas la complexité d’une invalidation par plage de dates, et un cache reconstruit coûte une requête.</w:t>
      </w:r>
    </w:p>
    <w:p>
      <w:pPr>
        <w:jc w:val="both"/>
      </w:pPr>
      <w:r>
        <w:t xml:space="preserve">La messagerie, elle, condense tous les enjeux de contrôle d’accès du projet : les contacts proposés sont filtrés par rôle (un client peut écrire aux moniteurs et à l’administration, jamais aux autres clients — décision du gérant, pour éviter que l’outil du club ne devienne un canal de conflits entre familles) ; l’accès à une conversation est borné à ses participants, un tiers recevant 404 ; le marquage « lu » est individuel par participant (lastReadAt). Le rafraîchissement se fait par polling TanStack Query, choix dimensionné à l’usage réel et documenté comme tel — le WebSocket est la perspective, pas le besoin.</w:t>
      </w:r>
    </w:p>
    <w:p>
      <w:pPr>
        <w:pageBreakBefore/>
      </w:pPr>
    </w:p>
    <w:p>
      <w:pPr>
        <w:pStyle w:val="Heading1"/>
        <w:pBdr>
          <w:bottom w:val="single" w:color="999999" w:sz="6" w:space="4"/>
        </w:pBdr>
      </w:pPr>
      <w:r>
        <w:t xml:space="preserve">9. Les interfaces réalisées</w:t>
      </w:r>
    </w:p>
    <w:p>
      <w:pPr>
        <w:jc w:val="both"/>
      </w:pPr>
      <w:r>
        <w:t xml:space="preserve">L’application compte une vingtaine d’écrans, organisés en quatre espaces avec chacun son layout et sa navigation. Plutôt qu’un catalogue exhaustif, ce chapitre présente les écrans qui portent les choix d’interface les plus importants ; les captures légendées illustrent chacun d’eux.</w:t>
      </w:r>
    </w:p>
    <w:p>
      <w:pPr>
        <w:jc w:val="both"/>
      </w:pPr>
      <w:r>
        <w:rPr>
          <w:b/>
          <w:bCs/>
        </w:rPr>
        <w:t xml:space="preserve">L’espace public </w:t>
      </w:r>
      <w:r>
        <w:t xml:space="preserve">assume un rôle de vitrine : présentation du centre, stages à venir (alimentés par l’API publique des événements, seule route accessible sans authentification), et les quatre pages d’authentification. Les formulaires y montrent la validation partagée à l’œuvre : les messages d’erreur sous les champs sont ceux des schémas Zod, mot pour mot ceux que l’API renverrait.</w:t>
      </w:r>
    </w:p>
    <w:p>
      <w:pPr>
        <w:jc w:val="both"/>
      </w:pPr>
      <w:r>
        <w:rPr>
          <w:b/>
          <w:bCs/>
        </w:rPr>
        <w:t xml:space="preserve">L’espace client </w:t>
      </w:r>
      <w:r>
        <w:t xml:space="preserve">s’organise autour du tableau de bord familial. Premier arrivé, premier guidé : un compte neuf voit une carte d’onboarding « ajoutez votre premier cavalier » plutôt qu’un écran vide — la règle des états vides avec appel à l’action vaut sur toute l’application. La fiche cavalier concentre le dossier administratif : statuts des deux documents en badges (manquant, en attente, validé, refusé avec motif), téléversement avec la case de consentement RGPD non pré-cochée pour le certificat médical, et la déclaration d’affinités chevaux. Le planning familial en calendrier, les factures avec paiement, la messagerie et les préférences de notification complètent l’espace.</w:t>
      </w:r>
    </w:p>
    <w:p>
      <w:pPr>
        <w:jc w:val="both"/>
      </w:pPr>
      <w:r>
        <w:rPr>
          <w:b/>
          <w:bCs/>
        </w:rPr>
        <w:t xml:space="preserve">L’espace moniteur </w:t>
      </w:r>
      <w:r>
        <w:t xml:space="preserve">est pensé pour le quart d’heure avant la séance. Le planning s’ouvre en vue « mes séances » (filtre « structure » pour voir tout le centre) ; le détail d’une séance affiche les inscrits avec leur niveau, et le bouton d’attribution lance le calcul. Le résultat s’affiche cavalier par cavalier avec le cheval retenu, son score et les alternatives classées — dont les éventuels « à éviter » marqués d’un avertissement explicite. Le moniteur peut remplacer n’importe quelle affectation avant de valider, puis passe à l’appel : quatre statuts de présence, modifiables pendant et après la séance, l’absence déclenchant la notification à la famille.</w:t>
      </w:r>
    </w:p>
    <w:p>
      <w:pPr>
        <w:jc w:val="both"/>
      </w:pPr>
      <w:r>
        <w:rPr>
          <w:b/>
          <w:bCs/>
        </w:rPr>
        <w:t xml:space="preserve">L’espace admin </w:t>
      </w:r>
      <w:r>
        <w:t xml:space="preserve">ouvre sur le tableau de bord : occupation des cours, chiffre d’affaires, charge de travail de la cavalerie avec alertes de dépassement de seuil, incidents critiques ouverts. La règle « l’or est rare » du design system y prend son sens : un seul chiffre clé doré par écran, le reste en navy — la hiérarchie visuelle guide l’œil vers ce qui compte. Les écrans de gestion (membres avec bannissement et validation de documents, cavalerie avec carnets de santé, espaces, planning, tarification, facturation avec relances, événements) partagent les mêmes composants de tableau, filtres et badges.</w:t>
      </w:r>
    </w:p>
    <w:p>
      <w:pPr>
        <w:pStyle w:val="Heading2"/>
      </w:pPr>
      <w:r>
        <w:t xml:space="preserve">9.1 Le design system en pratique</w:t>
      </w:r>
    </w:p>
    <w:p>
      <w:pPr>
        <w:jc w:val="both"/>
      </w:pPr>
      <w:r>
        <w:t xml:space="preserve">Tous ces écrans puisent dans le même design system, et c’est ce qui leur donne leur cohérence sans effort de coordination — utile quand on développe seul et que la tentation du « vite fait pour cet écran » guette. Concrètement : la palette est déclarée une fois dans le thème Tailwind et consommée partout en classes sémantiques ; les statuts métier ont chacun leur badge avec sa couleur fixe (un cheval « blessé » est du même rouge sur la fiche cheval, le planning et le tableau de bord) ; les formulaires partagent les mêmes composants de champ, avec le libellé, l’aide, l’erreur Zod et les attributs d’accessibilité (aria-describedby vers le message d’erreur, aria-busy pendant les soumissions) ; et chaque liste vide affiche un état dédié avec l’action qui débloque — plutôt qu’un tableau vide qui ressemble à un bug.</w:t>
      </w:r>
    </w:p>
    <w:tbl>
      <w:tblPr>
        <w:tblW w:type="dxa" w:w="9500"/>
        <w:tblBorders>
          <w:top w:val="single" w:color="999999" w:sz="6"/>
          <w:left w:val="none"/>
          <w:bottom w:val="single" w:color="999999" w:sz="6"/>
          <w:right w:val="none"/>
          <w:insideH w:val="single" w:color="CCCCCC" w:sz="2"/>
          <w:insideV w:val="none"/>
        </w:tblBorders>
      </w:tblPr>
      <w:tblGrid>
        <w:gridCol w:w="3100"/>
        <w:gridCol w:w="3300"/>
        <w:gridCol w:w="3100"/>
      </w:tblGrid>
      <w:tr>
        <w:trPr>
          <w:tblHeader/>
        </w:trPr>
        <w:tc>
          <w:tcPr>
            <w:tcW w:type="dxa" w:w="31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Brique</w:t>
            </w:r>
          </w:p>
        </w:tc>
        <w:tc>
          <w:tcPr>
            <w:tcW w:type="dxa" w:w="33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Rôle</w:t>
            </w:r>
          </w:p>
        </w:tc>
        <w:tc>
          <w:tcPr>
            <w:tcW w:type="dxa" w:w="31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Où elle est définie</w:t>
            </w:r>
          </w:p>
        </w:tc>
      </w:tr>
      <w:tr>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Thème (couleurs, espacements, rayons)</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Source unique des tokens visuels</w:t>
            </w:r>
          </w:p>
        </w:tc>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Config Tailwind 4, dérivée de docs/design-system.md</w:t>
            </w:r>
          </w:p>
        </w:tc>
      </w:tr>
      <w:tr>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Badges de statut</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Langage visuel commun des états métier</w:t>
            </w:r>
          </w:p>
        </w:tc>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components/ui/badge.jsx + mapping des libellés dans packages/shared</w:t>
            </w:r>
          </w:p>
        </w:tc>
      </w:tr>
      <w:tr>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Champs de formulaire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Libellé, erreur, aide, accessibilité</w:t>
            </w:r>
          </w:p>
        </w:tc>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components/ui/field.jsx, input.jsx, select.jsx</w:t>
            </w:r>
          </w:p>
        </w:tc>
      </w:tr>
      <w:tr>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Cartes et tableaux</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Structures récurrentes des écrans de gestion</w:t>
            </w:r>
          </w:p>
        </w:tc>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components/ui/card.jsx + composants de listes par feature</w:t>
            </w:r>
          </w:p>
        </w:tc>
      </w:tr>
      <w:tr>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Calendrier</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Vues planning client et moniteur</w:t>
            </w:r>
          </w:p>
        </w:tc>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FullCalendar, thémé aux couleurs de statut des cours</w:t>
            </w:r>
          </w:p>
        </w:tc>
      </w:tr>
      <w:tr>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Layouts par rôle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Navigation et garde d’accès</w:t>
            </w:r>
          </w:p>
        </w:tc>
        <w:tc>
          <w:tcPr>
            <w:tcW w:type="dxa" w:w="31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components/layouts/*.jsx + features/auth/guards.jsx</w:t>
            </w:r>
          </w:p>
        </w:tc>
      </w:tr>
    </w:tbl>
    <w:p>
      <w:pPr>
        <w:spacing w:after="160" w:before="80"/>
        <w:jc w:val="left"/>
      </w:pPr>
      <w:r>
        <w:rPr>
          <w:i/>
          <w:iCs/>
          <w:color w:val="8B0000"/>
          <w:sz w:val="19"/>
          <w:szCs w:val="19"/>
        </w:rPr>
        <w:t xml:space="preserve">[À insérer : 8 à 10 captures d’écran légendées — vitrine ; inscription avec erreurs de validation visibles ; tableau de bord client avec onboarding ; fiche cavalier avec badges de documents et consentement ; planning calendrier ; écran d’attribution moniteur avec scores et avertissement « à éviter » ; appel ; dashboard admin avec KPIs et alertes ; validation de documents ; facture côté client. Compte une demi-page par capture : c’est ce qui portera le dossier dans la fourchette 45-55 pages.]</w:t>
      </w:r>
    </w:p>
    <w:p>
      <w:pPr>
        <w:pageBreakBefore/>
      </w:pPr>
    </w:p>
    <w:p>
      <w:pPr>
        <w:pStyle w:val="Heading1"/>
        <w:pBdr>
          <w:bottom w:val="single" w:color="999999" w:sz="6" w:space="4"/>
        </w:pBdr>
      </w:pPr>
      <w:r>
        <w:t xml:space="preserve">10. Sécurité</w:t>
      </w:r>
    </w:p>
    <w:p>
      <w:pPr>
        <w:pStyle w:val="Heading2"/>
      </w:pPr>
      <w:r>
        <w:t xml:space="preserve">10.1 La démarche</w:t>
      </w:r>
    </w:p>
    <w:p>
      <w:pPr>
        <w:jc w:val="both"/>
      </w:pPr>
      <w:r>
        <w:t xml:space="preserve">La sécurité du projet ne repose pas sur une liste de fonctionnalités mais sur une méthode : chaque mesure est rattachée à un risque du Top 10 OWASP 2021, documentée dans docs/securite.md avec le fichier qui l’implémente, et le document est enrichi à chaque sprint — il a six strates, une par phase de développement. Cette traçabilité risque → mesure → code → test est ce qui permet d’affirmer, plutôt que d’espérer, que le périmètre est couvert. Je reprends ici les dix catégories avec l’essentiel ; les mécanismes déjà détaillés au chapitre 8 ne sont que référencés.</w:t>
      </w:r>
    </w:p>
    <w:p>
      <w:pPr>
        <w:pStyle w:val="Heading2"/>
      </w:pPr>
      <w:r>
        <w:t xml:space="preserve">10.2 Le Top 10 OWASP appliqué à Equime</w:t>
      </w:r>
    </w:p>
    <w:p>
      <w:pPr>
        <w:jc w:val="both"/>
      </w:pPr>
      <w:r>
        <w:rPr>
          <w:b/>
          <w:bCs/>
        </w:rPr>
        <w:t xml:space="preserve">A01 — Contrôle d’accès. </w:t>
      </w:r>
      <w:r>
        <w:t xml:space="preserve">Trois niveaux cumulés : requireAuth puis requireRole sur chaque route protégée ; le filtrage par famille dans les services — un client qui demande une ressource d’une autre famille reçoit 404, pas 403, pour ne pas même confirmer l’existence de la ressource (anti-IDOR, testé en T-6.6 et T-S.4) ; et les gardes de routes React, qui relèvent du confort d’interface — la sécurité réelle est côté API, le front ne fait que refléter.</w:t>
      </w:r>
    </w:p>
    <w:p>
      <w:pPr>
        <w:jc w:val="both"/>
      </w:pPr>
      <w:r>
        <w:rPr>
          <w:b/>
          <w:bCs/>
        </w:rPr>
        <w:t xml:space="preserve">A02 — Cryptographie. </w:t>
      </w:r>
      <w:r>
        <w:t xml:space="preserve">argon2id pour les mots de passe (paramètres OWASP), SHA-256 pour les jetons opaques à forte entropie, secrets d’au moins 32 caractères validés au démarrage, cookie httpOnly + Secure + SameSite=Strict, jeton d’accès jamais persisté côté client.</w:t>
      </w:r>
    </w:p>
    <w:p>
      <w:pPr>
        <w:jc w:val="both"/>
      </w:pPr>
      <w:r>
        <w:rPr>
          <w:b/>
          <w:bCs/>
        </w:rPr>
        <w:t xml:space="preserve">A03 — Injection. </w:t>
      </w:r>
      <w:r>
        <w:t xml:space="preserve">Prisma paramètre toutes les requêtes ; aucune concaténation SQL nulle part ; la validation Zod borne les entrées avant tout traitement. Côté XSS, React échappe le texte par défaut et le projet ne contient aucun dangerouslySetInnerHTML — les messages de la messagerie s’affichent en texte brut.</w:t>
      </w:r>
    </w:p>
    <w:p>
      <w:pPr>
        <w:jc w:val="both"/>
      </w:pPr>
      <w:r>
        <w:rPr>
          <w:b/>
          <w:bCs/>
        </w:rPr>
        <w:t xml:space="preserve">A04 — Conception. </w:t>
      </w:r>
      <w:r>
        <w:t xml:space="preserve">Les flux sensibles ont été conçus en diagrammes de séquence avant d’être codés ; la rotation avec détection de réutilisation et la révocation de famille (chapitre 8.3) sont des mesures de conception, pas des correctifs. La réinitialisation de mot de passe révoque toutes les sessions : un attaquant qui aurait volé une session est éjecté au moment où la victime reprend la main.</w:t>
      </w:r>
    </w:p>
    <w:p>
      <w:pPr>
        <w:jc w:val="both"/>
      </w:pPr>
      <w:r>
        <w:rPr>
          <w:b/>
          <w:bCs/>
        </w:rPr>
        <w:t xml:space="preserve">A05 — Configuration. </w:t>
      </w:r>
      <w:r>
        <w:t xml:space="preserve">helmet pose les en-têtes durcis ; la stack trace ne sort jamais hors développement ; la configuration est validée au boot (chapitre 8.1) ; les conteneurs de production tournent non-root ; x-powered-by est désactivé.</w:t>
      </w:r>
    </w:p>
    <w:p>
      <w:pPr>
        <w:jc w:val="both"/>
      </w:pPr>
      <w:r>
        <w:rPr>
          <w:b/>
          <w:bCs/>
        </w:rPr>
        <w:t xml:space="preserve">A06 — Composants vulnérables. </w:t>
      </w:r>
      <w:r>
        <w:t xml:space="preserve">npm audit s’exécute en CI, le lockfile fige les versions, Node 22 est la LTS courante, et la veille (chapitre 13) suit les avis de sécurité des dépendances directes.</w:t>
      </w:r>
    </w:p>
    <w:p>
      <w:pPr>
        <w:jc w:val="both"/>
      </w:pPr>
      <w:r>
        <w:rPr>
          <w:b/>
          <w:bCs/>
        </w:rPr>
        <w:t xml:space="preserve">A07 — Authentification. </w:t>
      </w:r>
      <w:r>
        <w:t xml:space="preserve">Rate limiting Redis sur toutes les routes d’authentification (10 connexions par quart d’heure et par IP, 5 demandes de réinitialisation par heure) ; messages d’erreur génériques contre l’énumération ; bannissement à effet immédiat — révocation des sessions et blacklist, testé en T-9.2.</w:t>
      </w:r>
    </w:p>
    <w:p>
      <w:pPr>
        <w:jc w:val="both"/>
      </w:pPr>
      <w:r>
        <w:rPr>
          <w:b/>
          <w:bCs/>
        </w:rPr>
        <w:t xml:space="preserve">A08 — Intégrité. </w:t>
      </w:r>
      <w:r>
        <w:t xml:space="preserve">JWT signés, CORS en liste blanche stricte, SameSite=Strict comme première ligne anti-CSRF — le jeton d’accès en en-tête Authorization, que le navigateur n’envoie jamais spontanément, en est la seconde.</w:t>
      </w:r>
    </w:p>
    <w:p>
      <w:pPr>
        <w:jc w:val="both"/>
      </w:pPr>
      <w:r>
        <w:rPr>
          <w:b/>
          <w:bCs/>
        </w:rPr>
        <w:t xml:space="preserve">A09 — Journalisation. </w:t>
      </w:r>
      <w:r>
        <w:t xml:space="preserve">Logs structurés pino, JSON en production ; les tentatives refusées sont loggées en warn avec leur code ; ni mot de passe ni jeton n’apparaît jamais dans les logs ; le journal d’audit admin trace qui a fait quoi sur les actions sensibles.</w:t>
      </w:r>
    </w:p>
    <w:p>
      <w:pPr>
        <w:jc w:val="both"/>
      </w:pPr>
      <w:r>
        <w:rPr>
          <w:b/>
          <w:bCs/>
        </w:rPr>
        <w:t xml:space="preserve">A10 — SSRF. </w:t>
      </w:r>
      <w:r>
        <w:t xml:space="preserve">Aucun appel HTTP sortant piloté par une entrée utilisateur ; le seul flux sortant est SendGrid, via son SDK à URL fixe.</w:t>
      </w:r>
    </w:p>
    <w:p>
      <w:pPr>
        <w:pStyle w:val="Heading2"/>
      </w:pPr>
      <w:r>
        <w:t xml:space="preserve">10.3 Ce qui reste hors périmètre, et pourquoi</w:t>
      </w:r>
    </w:p>
    <w:p>
      <w:pPr>
        <w:jc w:val="both"/>
      </w:pPr>
      <w:r>
        <w:t xml:space="preserve">Trois mesures sont volontairement absentes de la v1 et documentées comme perspectives : l’authentification multifacteur (le public visé — familles d’un club — la subirait plus qu’il n’en bénéficierait, tant que l’application n’expose pas de paiement réel), le CAPTCHA (le rate limiting couvre le risque de force brute à cette échelle), et la détection d’anomalies de connexion géolocalisées (disproportionnée ici). Assumer un périmètre, c’est aussi savoir dire ce qu’on n’a pas fait et pouvoir le justifier.</w:t>
      </w:r>
    </w:p>
    <w:p>
      <w:pPr>
        <w:pageBreakBefore/>
      </w:pPr>
    </w:p>
    <w:p>
      <w:pPr>
        <w:pStyle w:val="Heading1"/>
        <w:pBdr>
          <w:bottom w:val="single" w:color="999999" w:sz="6" w:space="4"/>
        </w:pBdr>
      </w:pPr>
      <w:r>
        <w:t xml:space="preserve">11. Conformité RGPD</w:t>
      </w:r>
    </w:p>
    <w:p>
      <w:pPr>
        <w:pStyle w:val="Heading2"/>
      </w:pPr>
      <w:r>
        <w:t xml:space="preserve">11.1 Le traitement et ses bases légales</w:t>
      </w:r>
    </w:p>
    <w:p>
      <w:pPr>
        <w:jc w:val="both"/>
      </w:pPr>
      <w:r>
        <w:t xml:space="preserve">Equime traite des données personnelles pour le compte du centre équestre, qui en est le responsable de traitement. Chaque finalité est adossée à une base légale documentée (docs/rgpd.md) : l’exécution du contrat pour la gestion des comptes, des cavaliers, du planning et de la facturation ; l’obligation légale pour la conservation comptable des factures ; l’intérêt légitime pour les journaux techniques de sécurité ; et le consentement explicite pour la seule catégorie de données sensibles du projet — les certificats médicaux, qui sont des données de santé concernant le plus souvent des mineurs.</w:t>
      </w:r>
    </w:p>
    <w:p>
      <w:pPr>
        <w:jc w:val="both"/>
      </w:pPr>
      <w:r>
        <w:t xml:space="preserve">Ce consentement est traité avec le sérieux qu’il exige : case dédiée, non pré-cochée, libellé précisant la finalité et la durée de conservation, au moment du téléversement — et il est révocable. Le refus n’a rien de bloquant : le cavalier existe sans certificat, son document est simplement « manquant ». Techniquement, le consentement est porté par le modèle du cavalier et contrôlé côté API avant tout traitement du fichier : un téléversement sans consentement est refusé et rien n’est stocké (scénario T-2.5).</w:t>
      </w:r>
    </w:p>
    <w:p>
      <w:pPr>
        <w:pStyle w:val="Heading2"/>
      </w:pPr>
      <w:r>
        <w:t xml:space="preserve">11.2 Droits des personnes et cycle de vie des données</w:t>
      </w:r>
    </w:p>
    <w:p>
      <w:pPr>
        <w:jc w:val="both"/>
      </w:pPr>
      <w:r>
        <w:t xml:space="preserve">Les droits d’accès et de rectification s’exercent directement dans l’espace client. La portabilité est couverte par un export structuré du compte (GET /auth/me/export). Le droit à l’effacement, lui, a demandé une vraie conception, parce qu’il se heurte à l’obligation comptable de conserver les factures dix ans. La solution est l’anonymisation : à la suppression du compte, l’e-mail est remplacé par un identifiant technique, nom, prénom et téléphone sont effacés, les documents médicaux sont supprimés physiquement du volume, toutes les sessions sont révoquées — mais les factures survivent, rattachées à un payeur anonymisé. Les contenus de messagerie qui identifieraient la personne sont attribués à « Utilisateur supprimé ». C’est l’arbitrage classique entre deux obligations contradictoires, et il est écrit noir sur blanc dans le dossier RGPD pour que le centre puisse le justifier.</w:t>
      </w:r>
    </w:p>
    <w:p>
      <w:pPr>
        <w:jc w:val="both"/>
      </w:pPr>
      <w:r>
        <w:t xml:space="preserve">Les durées de conservation sont définies par catégorie : les jetons de réinitialisation vivent une heure, les jetons de rafraîchissement révoqués sont purgés après trente jours, les journaux techniques suivent une recommandation de douze mois glissants, les certificats médicaux la saison sportive plus un an, les factures dix ans. Détail qui n’en est pas un : les polices de caractères sont auto-hébergées — aucune requête vers Google Fonts, donc aucune fuite d’adresses IP des visiteurs vers un tiers, un point régulièrement relevé par la CNIL.</w:t>
      </w:r>
    </w:p>
    <w:p>
      <w:pPr>
        <w:pageBreakBefore/>
      </w:pPr>
    </w:p>
    <w:p>
      <w:pPr>
        <w:pStyle w:val="Heading1"/>
        <w:pBdr>
          <w:bottom w:val="single" w:color="999999" w:sz="6" w:space="4"/>
        </w:pBdr>
      </w:pPr>
      <w:r>
        <w:t xml:space="preserve">12. Plan de tests, jeu d’essai et recette</w:t>
      </w:r>
    </w:p>
    <w:p>
      <w:pPr>
        <w:pStyle w:val="Heading2"/>
      </w:pPr>
      <w:r>
        <w:t xml:space="preserve">12.1 La stratégie : trois niveaux, une CI</w:t>
      </w:r>
    </w:p>
    <w:p>
      <w:pPr>
        <w:jc w:val="both"/>
      </w:pPr>
      <w:r>
        <w:t xml:space="preserve">La pyramide de tests du projet a trois étages, tous exécutés à chaque commit par l’intégration continue. À la base, les tests unitaires portent sur les fonctions pures — scoring et classement de l’attribution, récurrence, tarification, hachage et signature des jetons — sans base de données, donc rapides et nombreux. Au milieu, les tests d’intégration traversent l’API réelle avec Supertest, contre un PostgreSQL et un Redis dédiés aux tests : un globalSetup crée la base equime_test si nécessaire, applique les migrations (jamais de db push, même là) et vide la base Redis de test avant chaque exécution. Au sommet, quatre parcours E2E Playwright pilotent un navigateur Chromium sur l’application complète. L’ensemble représente 88 tests répartis sur 12 fichiers, et les seuils de couverture — 70 % en lignes, branches et fonctions — sont bloquants : une CI rouge n’est pas une information, c’est un mur.</w:t>
      </w:r>
    </w:p>
    <w:p>
      <w:pPr>
        <w:jc w:val="both"/>
      </w:pPr>
      <w:r>
        <w:t xml:space="preserve">Pourquoi seulement quatre parcours E2E ? Parce que les tests E2E sont les plus lents et les plus fragiles de la pyramide, et que leur valeur est dans les parcours critiques, pas dans l’exhaustivité : inscription puis déconnexion d’un visiteur ; parcours client complet (ajout d’un cavalier, réservation, consultation du planning) ; parcours moniteur (planning, appel) ; paiement d’une facture avec vérification côté admin. Tout le reste est mieux couvert, plus vite, par l’étage intégration.</w:t>
      </w:r>
    </w:p>
    <w:p>
      <w:pPr>
        <w:pStyle w:val="Heading2"/>
      </w:pPr>
      <w:r>
        <w:t xml:space="preserve">12.2 Le jeu d’essai de la fonctionnalité représentative</w:t>
      </w:r>
    </w:p>
    <w:p>
      <w:pPr>
        <w:jc w:val="both"/>
      </w:pPr>
      <w:r>
        <w:t xml:space="preserve">Le référentiel demande un jeu d’essai détaillé de la fonctionnalité la plus représentative : c’est évidemment l’attribution. Les données d’entrée proviennent du seed de test ; je les rappelle pour que le tableau se lise seul. La séance dure une heure. Emma, cavalière de Galop 3, a déclaré Indigo en favori et Tonnerre à éviter. Quatre chevaux existent : Indigo (en forme, plage G2-G5, charge 3 h sur un maximum de 10), Sultan (en forme, G1-G4, charge 2 h/8), Tonnerre (en forme, G3-G7, charge 1 h/12) et Caramel (blessé).</w:t>
      </w:r>
    </w:p>
    <w:p>
      <w:pPr>
        <w:jc w:val="both"/>
      </w:pPr>
      <w:r>
        <w:t xml:space="preserve">Le calcul attendu pour Emma, poste par poste : Indigo = +10 (favori) +5 (niveau compatible) −15 (charge 3 h × 5) = 0. Sultan = 0 +5 −10 = −5. Tonnerre = −15 +5 −5 = −15. Caramel n’est pas éligible (blessé). Classement attendu : Indigo, Sultan, Tonnerre — Indigo est attribué, sa charge passe à 4 h.</w:t>
      </w:r>
    </w:p>
    <w:tbl>
      <w:tblPr>
        <w:tblW w:type="dxa" w:w="9500"/>
        <w:tblBorders>
          <w:top w:val="single" w:color="999999" w:sz="6"/>
          <w:left w:val="none"/>
          <w:bottom w:val="single" w:color="999999" w:sz="6"/>
          <w:right w:val="none"/>
          <w:insideH w:val="single" w:color="CCCCCC" w:sz="2"/>
          <w:insideV w:val="none"/>
        </w:tblBorders>
      </w:tblPr>
      <w:tblGrid>
        <w:gridCol w:w="1900"/>
        <w:gridCol w:w="2400"/>
        <w:gridCol w:w="3700"/>
        <w:gridCol w:w="1500"/>
      </w:tblGrid>
      <w:tr>
        <w:trPr>
          <w:tblHeader/>
        </w:trPr>
        <w:tc>
          <w:tcPr>
            <w:tcW w:type="dxa" w:w="19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Cas</w:t>
            </w:r>
          </w:p>
        </w:tc>
        <w:tc>
          <w:tcPr>
            <w:tcW w:type="dxa" w:w="24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Entrées</w:t>
            </w:r>
          </w:p>
        </w:tc>
        <w:tc>
          <w:tcPr>
            <w:tcW w:type="dxa" w:w="37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Attendu</w:t>
            </w:r>
          </w:p>
        </w:tc>
        <w:tc>
          <w:tcPr>
            <w:tcW w:type="dxa" w:w="15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Obtenu</w:t>
            </w:r>
          </w:p>
        </w:tc>
      </w:tr>
      <w:tr>
        <w:tc>
          <w:tcPr>
            <w:tcW w:type="dxa" w:w="1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T-5.1 Nominal</w:t>
            </w:r>
          </w:p>
        </w:tc>
        <w:tc>
          <w:tcPr>
            <w:tcW w:type="dxa" w:w="2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Données ci-dessus</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Indigo attribué (score 0, premier du classement) ; charge 3 h → 4 h</w:t>
            </w:r>
          </w:p>
        </w:tc>
        <w:tc>
          <w:tcPr>
            <w:tcW w:type="dxa" w:w="1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Conforme</w:t>
            </w:r>
          </w:p>
        </w:tc>
      </w:tr>
      <w:tr>
        <w:tc>
          <w:tcPr>
            <w:tcW w:type="dxa" w:w="1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T-5.2 À éviter en dernier recours</w:t>
            </w:r>
          </w:p>
        </w:tc>
        <w:tc>
          <w:tcPr>
            <w:tcW w:type="dxa" w:w="2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Seul Tonnerre éligible</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Tonnerre attribué, avertissement « affinité à éviter » remonté à l’écran moniteur</w:t>
            </w:r>
          </w:p>
        </w:tc>
        <w:tc>
          <w:tcPr>
            <w:tcW w:type="dxa" w:w="1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Conforme</w:t>
            </w:r>
          </w:p>
        </w:tc>
      </w:tr>
      <w:tr>
        <w:tc>
          <w:tcPr>
            <w:tcW w:type="dxa" w:w="1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T-5.3 Surcharge</w:t>
            </w:r>
          </w:p>
        </w:tc>
        <w:tc>
          <w:tcPr>
            <w:tcW w:type="dxa" w:w="2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Charge d’Indigo portée à 10 h/10</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Indigo écarté de l’éligibilité, Sultan attribué</w:t>
            </w:r>
          </w:p>
        </w:tc>
        <w:tc>
          <w:tcPr>
            <w:tcW w:type="dxa" w:w="1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Conforme</w:t>
            </w:r>
          </w:p>
        </w:tc>
      </w:tr>
      <w:tr>
        <w:tc>
          <w:tcPr>
            <w:tcW w:type="dxa" w:w="1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T-5.4 Aucun éligible</w:t>
            </w:r>
          </w:p>
        </w:tc>
        <w:tc>
          <w:tcPr>
            <w:tcW w:type="dxa" w:w="2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Tous blessés ou au repos</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Zéro attribution ; un conflit par inscription avec la raison ; aucune écriture en base</w:t>
            </w:r>
          </w:p>
        </w:tc>
        <w:tc>
          <w:tcPr>
            <w:tcW w:type="dxa" w:w="1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Conforme</w:t>
            </w:r>
          </w:p>
        </w:tc>
      </w:tr>
      <w:tr>
        <w:tc>
          <w:tcPr>
            <w:tcW w:type="dxa" w:w="1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T-5.5 Égalité de scores</w:t>
            </w:r>
          </w:p>
        </w:tc>
        <w:tc>
          <w:tcPr>
            <w:tcW w:type="dxa" w:w="2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Deux chevaux au même score</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Départage déterministe (charge, puis nom, puis id) ; résultat identique sur deux exécutions</w:t>
            </w:r>
          </w:p>
        </w:tc>
        <w:tc>
          <w:tcPr>
            <w:tcW w:type="dxa" w:w="1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Conforme</w:t>
            </w:r>
          </w:p>
        </w:tc>
      </w:tr>
      <w:tr>
        <w:tc>
          <w:tcPr>
            <w:tcW w:type="dxa" w:w="1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T-5.6 Cheval convoité</w:t>
            </w:r>
          </w:p>
        </w:tc>
        <w:tc>
          <w:tcPr>
            <w:tcW w:type="dxa" w:w="2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Deux cavaliers, même favori</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Le premier servi obtient le favori, le second reçoit le meilleur suivant de son propre classement</w:t>
            </w:r>
          </w:p>
        </w:tc>
        <w:tc>
          <w:tcPr>
            <w:tcW w:type="dxa" w:w="1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Conforme</w:t>
            </w:r>
          </w:p>
        </w:tc>
      </w:tr>
      <w:tr>
        <w:tc>
          <w:tcPr>
            <w:tcW w:type="dxa" w:w="1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T-5.7 Atomicité</w:t>
            </w:r>
          </w:p>
        </w:tc>
        <w:tc>
          <w:tcPr>
            <w:tcW w:type="dxa" w:w="2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Erreur injectée au milieu du lot</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Transaction annulée intégralement, aucune affectation partielle, charges intactes</w:t>
            </w:r>
          </w:p>
        </w:tc>
        <w:tc>
          <w:tcPr>
            <w:tcW w:type="dxa" w:w="1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Conforme</w:t>
            </w:r>
          </w:p>
        </w:tc>
      </w:tr>
    </w:tbl>
    <w:p>
      <w:pPr>
        <w:jc w:val="both"/>
      </w:pPr>
      <w:r>
        <w:t xml:space="preserve">Aucun écart entre attendu et obtenu ne subsiste sur ce périmètre. Pour être transparent : le cas T-5.5 a d’abord échoué lors de son écriture — mon tri initial n’était pas totalement ordonné et deux exécutions pouvaient diverger sur des chevaux à score égal. C’est ce test qui m’a fait ajouter les critères de départage successifs jusqu’à l’identifiant. Un jeu d’essai qui n’a jamais rien attrapé n’a pas encore servi.</w:t>
      </w:r>
    </w:p>
    <w:p>
      <w:pPr>
        <w:pStyle w:val="Heading2"/>
      </w:pPr>
      <w:r>
        <w:t xml:space="preserve">12.3 Extraits du plan de tests</w:t>
      </w:r>
    </w:p>
    <w:p>
      <w:pPr>
        <w:jc w:val="both"/>
      </w:pPr>
      <w:r>
        <w:t xml:space="preserve">Le cahier complet (docs/cahier-de-tests.md) compte plus de soixante scénarios organisés par module, chacun relié à sa user story et à son test automatisé quand il l’est. Extrait volontairement transversal :</w:t>
      </w:r>
    </w:p>
    <w:tbl>
      <w:tblPr>
        <w:tblW w:type="dxa" w:w="9200"/>
        <w:tblBorders>
          <w:top w:val="single" w:color="999999" w:sz="6"/>
          <w:left w:val="none"/>
          <w:bottom w:val="single" w:color="999999" w:sz="6"/>
          <w:right w:val="none"/>
          <w:insideH w:val="single" w:color="CCCCCC" w:sz="2"/>
          <w:insideV w:val="none"/>
        </w:tblBorders>
      </w:tblPr>
      <w:tblGrid>
        <w:gridCol w:w="800"/>
        <w:gridCol w:w="3700"/>
        <w:gridCol w:w="3300"/>
        <w:gridCol w:w="1400"/>
      </w:tblGrid>
      <w:tr>
        <w:trPr>
          <w:tblHeader/>
        </w:trPr>
        <w:tc>
          <w:tcPr>
            <w:tcW w:type="dxa" w:w="8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ID</w:t>
            </w:r>
          </w:p>
        </w:tc>
        <w:tc>
          <w:tcPr>
            <w:tcW w:type="dxa" w:w="37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Scénario</w:t>
            </w:r>
          </w:p>
        </w:tc>
        <w:tc>
          <w:tcPr>
            <w:tcW w:type="dxa" w:w="33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Attendu</w:t>
            </w:r>
          </w:p>
        </w:tc>
        <w:tc>
          <w:tcPr>
            <w:tcW w:type="dxa" w:w="14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Automatisation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T-1.5</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Connexion avec mauvais mot de passe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401, message générique sans indiquer le champ fautif</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Intégration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T-1.8</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Rejeu d’un refresh token déjà consommé</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401 et révocation de toute la famille de jetons</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Intégration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T-1.11</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Onze connexions ratées en quinze minutes, même IP</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429 avec en-tête Retry-After</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Intégration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T-2.4</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Fichier .exe renommé en .pdf, ou 8 Mo</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400 — contrôle par magic bytes et taille</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Intégration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T-2.5</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Certificat téléversé sans consentement</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400, rien n’est stocké</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Intégration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T-3.4</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Deux cours simultanés dans le même espace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409, conflit détecté et message explicite</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Intégration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T-6.2</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Réductions cumulables, trois cavaliers</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Meilleure règle appliquée, prix jamais négatif</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Unitaire</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T-6.6</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Client demandant la facture d’une autre famille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404 — pas de confirmation d’existence</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Intégration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T-8.5</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Préférence e-mail désactivée puis facture créée</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In-app envoyée, e-mail non envoyé</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Intégration</w:t>
            </w:r>
          </w:p>
        </w:tc>
      </w:tr>
      <w:tr>
        <w:tc>
          <w:tcPr>
            <w:tcW w:type="dxa" w:w="8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E2E-4</w:t>
            </w:r>
          </w:p>
        </w:tc>
        <w:tc>
          <w:tcPr>
            <w:tcW w:type="dxa" w:w="37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Paiement d’une facture, contrôle côté admin</w:t>
            </w:r>
          </w:p>
        </w:tc>
        <w:tc>
          <w:tcPr>
            <w:tcW w:type="dxa" w:w="33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Statut « payée » visible des deux côtés</w:t>
            </w:r>
          </w:p>
        </w:tc>
        <w:tc>
          <w:tcPr>
            <w:tcW w:type="dxa" w:w="14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Playwright</w:t>
            </w:r>
          </w:p>
        </w:tc>
      </w:tr>
    </w:tbl>
    <w:p>
      <w:pPr>
        <w:pStyle w:val="Heading2"/>
      </w:pPr>
      <w:r>
        <w:t xml:space="preserve">12.4 La recette</w:t>
      </w:r>
    </w:p>
    <w:p>
      <w:pPr>
        <w:jc w:val="both"/>
      </w:pPr>
      <w:r>
        <w:t xml:space="preserve">Le cahier de recette (docs/cahier-de-recette.md) dérive du cahier de tests et s’exécute en préproduction sur le seed de recette, avant chaque mise en production. Il ajoute les vérifications qui n’ont de sens qu’en conditions réelles : les en-têtes de sécurité effectivement servis par Nginx, le parcours complet de réinitialisation de mot de passe avec un vrai e-mail, les contrôles d’isolation entre familles menés à la main (T-S.4), et l’audit d’accessibilité. À la date de rédaction, une partie des scénarios de recette reste à dérouler en préproduction — c’est planifié avant la session, et le cahier consigne précisément ce qui est fait et ce qui reste.</w:t>
      </w:r>
    </w:p>
    <w:p>
      <w:pPr>
        <w:pStyle w:val="Heading2"/>
      </w:pPr>
      <w:r>
        <w:t xml:space="preserve">12.5 Comment les tests sont écrits</w:t>
      </w:r>
    </w:p>
    <w:p>
      <w:pPr>
        <w:jc w:val="both"/>
      </w:pPr>
      <w:r>
        <w:t xml:space="preserve">Un mot sur la facture des tests eux-mêmes, parce que leur lisibilité conditionne leur maintenance. Les tests unitaires des fonctions pures se lisent comme des spécifications — des données minimales en entrée, une assertion sur la sortie, un intitulé en français qui décrit la règle plutôt que l’implémentation. Les tests d’intégration passent par l’API complète avec Supertest : ils construisent leur état par les routes publiques (inscription, connexion) plutôt qu’en insérant directement en base, ce qui les rend fidèles au comportement réel — si l’inscription casse, tous les tests qui en dépendent le disent. Exemple représentatif, le scénario de réutilisation de jeton :</w:t>
      </w:r>
    </w:p>
    <w:p>
      <w:pPr>
        <w:pBdr>
          <w:left w:val="single" w:color="BBBBBB" w:sz="12" w:space="8"/>
        </w:pBdr>
        <w:spacing w:after="0" w:line="216"/>
        <w:ind w:left="340"/>
      </w:pPr>
      <w:r>
        <w:rPr>
          <w:rFonts w:ascii="Consolas" w:cs="Consolas" w:eastAsia="Consolas" w:hAnsi="Consolas"/>
          <w:color w:val="222222"/>
          <w:sz w:val="16"/>
          <w:szCs w:val="16"/>
        </w:rPr>
        <w:t xml:space="preserve">it('révoque toute la famille si un refresh déjà consommé est rejoué (T-1.8)', async () =&gt; {</w:t>
      </w:r>
    </w:p>
    <w:p>
      <w:pPr>
        <w:pBdr>
          <w:left w:val="single" w:color="BBBBBB" w:sz="12" w:space="8"/>
        </w:pBdr>
        <w:spacing w:after="0" w:line="216"/>
        <w:ind w:left="340"/>
      </w:pPr>
      <w:r>
        <w:rPr>
          <w:rFonts w:ascii="Consolas" w:cs="Consolas" w:eastAsia="Consolas" w:hAnsi="Consolas"/>
          <w:color w:val="222222"/>
          <w:sz w:val="16"/>
          <w:szCs w:val="16"/>
        </w:rPr>
        <w:t xml:space="preserve">  const agent = await loginAsLina();            // pose le cookie refresh</w:t>
      </w:r>
    </w:p>
    <w:p>
      <w:pPr>
        <w:pBdr>
          <w:left w:val="single" w:color="BBBBBB" w:sz="12" w:space="8"/>
        </w:pBdr>
        <w:spacing w:after="0" w:line="216"/>
        <w:ind w:left="340"/>
      </w:pPr>
      <w:r>
        <w:rPr>
          <w:rFonts w:ascii="Consolas" w:cs="Consolas" w:eastAsia="Consolas" w:hAnsi="Consolas"/>
          <w:color w:val="222222"/>
          <w:sz w:val="16"/>
          <w:szCs w:val="16"/>
        </w:rPr>
        <w:t xml:space="preserve">  const first = await agent.post('/api/v1/auth/refresh'); // rotation n°1 : OK</w:t>
      </w:r>
    </w:p>
    <w:p>
      <w:pPr>
        <w:pBdr>
          <w:left w:val="single" w:color="BBBBBB" w:sz="12" w:space="8"/>
        </w:pBdr>
        <w:spacing w:after="0" w:line="216"/>
        <w:ind w:left="340"/>
      </w:pPr>
      <w:r>
        <w:rPr>
          <w:rFonts w:ascii="Consolas" w:cs="Consolas" w:eastAsia="Consolas" w:hAnsi="Consolas"/>
          <w:color w:val="222222"/>
          <w:sz w:val="16"/>
          <w:szCs w:val="16"/>
        </w:rPr>
        <w:t xml:space="preserve">  expect(first.status).toBe(200);</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 On rejoue le cookie INITIAL, déjà consommé par la rotation n°1</w:t>
      </w:r>
    </w:p>
    <w:p>
      <w:pPr>
        <w:pBdr>
          <w:left w:val="single" w:color="BBBBBB" w:sz="12" w:space="8"/>
        </w:pBdr>
        <w:spacing w:after="0" w:line="216"/>
        <w:ind w:left="340"/>
      </w:pPr>
      <w:r>
        <w:rPr>
          <w:rFonts w:ascii="Consolas" w:cs="Consolas" w:eastAsia="Consolas" w:hAnsi="Consolas"/>
          <w:color w:val="222222"/>
          <w:sz w:val="16"/>
          <w:szCs w:val="16"/>
        </w:rPr>
        <w:t xml:space="preserve">  const replay = await replayWithOldCookie(agent);</w:t>
      </w:r>
    </w:p>
    <w:p>
      <w:pPr>
        <w:pBdr>
          <w:left w:val="single" w:color="BBBBBB" w:sz="12" w:space="8"/>
        </w:pBdr>
        <w:spacing w:after="0" w:line="216"/>
        <w:ind w:left="340"/>
      </w:pPr>
      <w:r>
        <w:rPr>
          <w:rFonts w:ascii="Consolas" w:cs="Consolas" w:eastAsia="Consolas" w:hAnsi="Consolas"/>
          <w:color w:val="222222"/>
          <w:sz w:val="16"/>
          <w:szCs w:val="16"/>
        </w:rPr>
        <w:t xml:space="preserve">  expect(replay.status).toBe(401);</w:t>
      </w:r>
    </w:p>
    <w:p>
      <w:pPr>
        <w:pBdr>
          <w:left w:val="single" w:color="BBBBBB" w:sz="12" w:space="8"/>
        </w:pBdr>
        <w:spacing w:after="0" w:line="216"/>
        <w:ind w:left="340"/>
      </w:pPr>
      <w:r>
        <w:rPr>
          <w:rFonts w:ascii="Consolas" w:cs="Consolas" w:eastAsia="Consolas" w:hAnsi="Consolas"/>
          <w:color w:val="222222"/>
          <w:sz w:val="16"/>
          <w:szCs w:val="16"/>
        </w:rPr>
        <w:t xml:space="preserve"> </w:t>
      </w:r>
    </w:p>
    <w:p>
      <w:pPr>
        <w:pBdr>
          <w:left w:val="single" w:color="BBBBBB" w:sz="12" w:space="8"/>
        </w:pBdr>
        <w:spacing w:after="0" w:line="216"/>
        <w:ind w:left="340"/>
      </w:pPr>
      <w:r>
        <w:rPr>
          <w:rFonts w:ascii="Consolas" w:cs="Consolas" w:eastAsia="Consolas" w:hAnsi="Consolas"/>
          <w:color w:val="222222"/>
          <w:sz w:val="16"/>
          <w:szCs w:val="16"/>
        </w:rPr>
        <w:t xml:space="preserve">  // La session « légitime » issue de la rotation n°1 doit être morte aussi</w:t>
      </w:r>
    </w:p>
    <w:p>
      <w:pPr>
        <w:pBdr>
          <w:left w:val="single" w:color="BBBBBB" w:sz="12" w:space="8"/>
        </w:pBdr>
        <w:spacing w:after="0" w:line="216"/>
        <w:ind w:left="340"/>
      </w:pPr>
      <w:r>
        <w:rPr>
          <w:rFonts w:ascii="Consolas" w:cs="Consolas" w:eastAsia="Consolas" w:hAnsi="Consolas"/>
          <w:color w:val="222222"/>
          <w:sz w:val="16"/>
          <w:szCs w:val="16"/>
        </w:rPr>
        <w:t xml:space="preserve">  const after = await agent.post('/api/v1/auth/refresh');</w:t>
      </w:r>
    </w:p>
    <w:p>
      <w:pPr>
        <w:pBdr>
          <w:left w:val="single" w:color="BBBBBB" w:sz="12" w:space="8"/>
        </w:pBdr>
        <w:spacing w:after="0" w:line="216"/>
        <w:ind w:left="340"/>
      </w:pPr>
      <w:r>
        <w:rPr>
          <w:rFonts w:ascii="Consolas" w:cs="Consolas" w:eastAsia="Consolas" w:hAnsi="Consolas"/>
          <w:color w:val="222222"/>
          <w:sz w:val="16"/>
          <w:szCs w:val="16"/>
        </w:rPr>
        <w:t xml:space="preserve">  expect(after.status).toBe(401);               // famille entière révoquée</w:t>
      </w:r>
    </w:p>
    <w:p>
      <w:pPr>
        <w:pBdr>
          <w:left w:val="single" w:color="BBBBBB" w:sz="12" w:space="8"/>
        </w:pBdr>
        <w:spacing w:after="0" w:line="216"/>
        <w:ind w:left="340"/>
      </w:pPr>
      <w:r>
        <w:rPr>
          <w:rFonts w:ascii="Consolas" w:cs="Consolas" w:eastAsia="Consolas" w:hAnsi="Consolas"/>
          <w:color w:val="222222"/>
          <w:sz w:val="16"/>
          <w:szCs w:val="16"/>
        </w:rPr>
        <w:t xml:space="preserve">});</w:t>
      </w:r>
    </w:p>
    <w:p>
      <w:pPr>
        <w:spacing w:after="160" w:before="60"/>
        <w:jc w:val="left"/>
      </w:pPr>
      <w:r>
        <w:rPr>
          <w:i/>
          <w:iCs/>
          <w:color w:val="555555"/>
          <w:sz w:val="18"/>
          <w:szCs w:val="18"/>
        </w:rPr>
        <w:t xml:space="preserve">Structure du test T-1.8 (condensée) — c’est la troisième assertion qui compte : la révocation frappe toute la famille, pas seulement le jeton rejoué.</w:t>
      </w:r>
    </w:p>
    <w:p>
      <w:pPr>
        <w:jc w:val="both"/>
      </w:pPr>
      <w:r>
        <w:t xml:space="preserve">Deux règles d’hygiène complètent le dispositif : les tests d’intégration ne s’exécutent pas en parallèle entre fichiers (ils partagent une base — le parallélisme intra-fichier suffit à garder la suite sous la demi-minute), et la base de test est distincte de la base de développement, recréée et migrée par le globalSetup, pour qu’aucun test ne dépende jamais d’un état résiduel de mes manipulations manuelles.</w:t>
      </w:r>
    </w:p>
    <w:p>
      <w:pPr>
        <w:pageBreakBefore/>
      </w:pPr>
    </w:p>
    <w:p>
      <w:pPr>
        <w:pStyle w:val="Heading1"/>
        <w:pBdr>
          <w:bottom w:val="single" w:color="999999" w:sz="6" w:space="4"/>
        </w:pBdr>
      </w:pPr>
      <w:r>
        <w:t xml:space="preserve">13. Déploiement et démarche DevOps</w:t>
      </w:r>
    </w:p>
    <w:p>
      <w:pPr>
        <w:pStyle w:val="Heading2"/>
      </w:pPr>
      <w:r>
        <w:t xml:space="preserve">13.1 Les images</w:t>
      </w:r>
    </w:p>
    <w:p>
      <w:pPr>
        <w:jc w:val="both"/>
      </w:pPr>
      <w:r>
        <w:t xml:space="preserve">L’API est empaquetée en image Docker multi-stage : un premier étage installe les dépendances et génère le client Prisma, le second ne reprend que le nécessaire à l’exécution sur node:22-alpine, et le processus tourne sous un utilisateur non privilégié — si un attaquant obtenait une exécution de code dans le conteneur, il n’y serait pas root. Le front est encore plus simple : le build Vite produit des fichiers statiques servis par Nginx, il n’y a pas de Node en production côté web. Les images sont construites par la CI et poussées sur GitHub Container Registry, étiquetées par branche.</w:t>
      </w:r>
    </w:p>
    <w:p>
      <w:pPr>
        <w:pStyle w:val="Heading2"/>
      </w:pPr>
      <w:r>
        <w:t xml:space="preserve">13.2 Les trois environnements</w:t>
      </w:r>
    </w:p>
    <w:p>
      <w:pPr>
        <w:jc w:val="both"/>
      </w:pPr>
      <w:r>
        <w:t xml:space="preserve">Le développement privilégie la boucle courte : les sources sont montées en volume, l’API redémarre sur chaque changement (node --watch), Vite recharge à chaud, PostgreSQL et Redis exposent leurs ports pour l’outillage local. La préproduction est le miroir exact de la production — mêmes images (tag develop), même Nginx, même topologie réseau — alimentée par le seed de recette ; ce qui y est validé est ce qui partira. La production verrouille tout : Nginx est l’unique point d’entrée (SSL Let’s Encrypt, en-têtes de sécurité, rate limiting, gzip), PostgreSQL et Redis vivent sur le réseau interne Docker sans aucun port publié, et l’API n’est joignable que via le proxy — d’où le trust proxy d’Express, nécessaire pour que l’adresse IP réelle alimente le rate limiting et que les cookies Secure fonctionnent derrière le TLS terminé par Nginx.</w:t>
      </w:r>
    </w:p>
    <w:p>
      <w:pPr>
        <w:pStyle w:val="Heading2"/>
      </w:pPr>
      <w:r>
        <w:t xml:space="preserve">13.3 La chaîne CI/CD</w:t>
      </w:r>
    </w:p>
    <w:p>
      <w:pPr>
        <w:jc w:val="both"/>
      </w:pPr>
      <w:r>
        <w:t xml:space="preserve">Chaque push et chaque pull request déclenchent le pipeline GitHub Actions, organisé en jobs parallèles : lint (ESLint et vérification Prettier) ; tests, avec de vrais services PostgreSQL 17 et Redis 7 attachés au job — les tests d’intégration jouent contre la même infrastructure qu’en production, pas contre des simulacres — et les seuils de couverture ; build du front ; E2E, un job dédié qui monte la stack complète, exécute les quatre parcours Playwright et archive le rapport HTML en artefact téléchargeable, ce qui rend les échecs diagnosticables sans rejouer localement ; enfin build et poussée des images. Les migrations s’appliquent au déploiement par prisma migrate deploy — la commande n’applique que les migrations en attente, dans l’ordre, et refuse tout écart de dérive entre le schéma et l’historique.</w:t>
      </w:r>
    </w:p>
    <w:p>
      <w:pPr>
        <w:jc w:val="both"/>
      </w:pPr>
      <w:r>
        <w:t xml:space="preserve">La procédure de mise en production est écrite pas à pas dans le dépôt : fusion de develop dans main par pull request, build des images taguées, déploiement en préproduction, exécution du cahier de recette, puis déploiement en production — protégé par une approbation manuelle (environment protection GitHub). En cas de problème, le retour arrière est le redéploiement du tag précédent ; les migrations étant additives par discipline (pas de suppression de colonne dans la même release que le code qui cesse de l’utiliser), le tag N−1 reste compatible avec le schéma N. À la date de rédaction, l’automatisation des deux workflows de déploiement est la dernière brique en cours ; la chaîne jusqu’aux images est, elle, entièrement opérationnelle.</w:t>
      </w:r>
    </w:p>
    <w:p>
      <w:pPr>
        <w:pStyle w:val="Heading2"/>
      </w:pPr>
      <w:r>
        <w:t xml:space="preserve">13.4 Le poste de travail, reproductible en une commande</w:t>
      </w:r>
    </w:p>
    <w:p>
      <w:pPr>
        <w:jc w:val="both"/>
      </w:pPr>
      <w:r>
        <w:t xml:space="preserve">Le référentiel demande de savoir « installer et configurer son environnement de travail » ; ma réponse tient dans le quickstart du README, que j’ai testé en conditions réelles en réinstallant le projet de zéro sur une machine vierge : cloner, copier .env.example vers .env, npm install, npm run prisma:generate, npm run dev — et la stack complète monte en Docker avec rechargement à chaud, npm run migrate et npm run seed préparant la base. Cinq commandes, aucune dépendance globale hors Node et Docker. L’outillage de qualité est le même pour tous les workspaces : un ESLint en flat config unique à la racine (règles import strictes, hooks React vérifiés), Prettier pour le formatage — les deux vérifiés en CI, donc non négociables —, EditorConfig pour les fins de ligne et l’indentation, et un .gitattributes qui neutralise les différences Windows/Linux sur les fins de ligne, piège classique des équipes mixtes que je préfère désamorcer même en travaillant seul.</w:t>
      </w:r>
    </w:p>
    <w:p>
      <w:pPr>
        <w:pageBreakBefore/>
      </w:pPr>
    </w:p>
    <w:p>
      <w:pPr>
        <w:pStyle w:val="Heading1"/>
        <w:pBdr>
          <w:bottom w:val="single" w:color="999999" w:sz="6" w:space="4"/>
        </w:pBdr>
      </w:pPr>
      <w:r>
        <w:t xml:space="preserve">14. Veille technologique et sécurité</w:t>
      </w:r>
    </w:p>
    <w:p>
      <w:pPr>
        <w:pStyle w:val="Heading2"/>
      </w:pPr>
      <w:r>
        <w:t xml:space="preserve">14.1 Comment je m’organise</w:t>
      </w:r>
    </w:p>
    <w:p>
      <w:pPr>
        <w:jc w:val="both"/>
      </w:pPr>
      <w:r>
        <w:t xml:space="preserve">Ma veille tient à un créneau fixe — deux fois par semaine, une demi-heure, calée dans l’agenda comme une réunion — et à des sources choisies pour leur signal plutôt que leur volume : les notes de version des dépendances directes du projet (Node, Express, Prisma, React, Zod, TanStack Query), les publications OWASP, les avis GitHub Advisory relayés par npm audit, et une poignée de newsletters et de blogs d’ingénierie que j’ai triés au fil de l’année. Je note ce qui concerne le projet dans un journal de veille personnel ; ce qui suit en est extrait.</w:t>
      </w:r>
    </w:p>
    <w:p>
      <w:pPr>
        <w:pStyle w:val="Heading2"/>
      </w:pPr>
      <w:r>
        <w:t xml:space="preserve">14.2 Ce que la veille a changé dans le projet</w:t>
      </w:r>
    </w:p>
    <w:p>
      <w:pPr>
        <w:jc w:val="both"/>
      </w:pPr>
      <w:r>
        <w:t xml:space="preserve">Quatre exemples concrets, parce qu’une veille qui ne change rien n’est qu’une lecture. C’est la veille qui m’a fait adopter Express 5 stable au lieu du 4 que je connaissais — la propagation native des promesses rejetées supprimait un boilerplate que je traînais partout. C’est elle qui m’a préparé au passage à Prisma 7 et à son générateur TypeScript-only, transformé en simple script de transpilation plutôt qu’en blocage de fin de sprint (chapitre 7.1). La migration Zod 3 → 4 en est l’exemple le plus instructif : l’API de personnalisation des messages d’erreur a changé (un paramètre unifié error remplace errorMap), et un ancien usage avait survécu dans un schéma — silencieusement ignoré, sans erreur, le message générique anglais s’affichant à la place du message français prévu. C’est une relecture systématique du code contre le guide de migration officiel qui l’a débusqué. Enfin, le choix d’argon2id plutôt que bcrypt vient directement de la hiérarchie de l’OWASP Password Storage Cheat Sheet, et ses paramètres (19 Mio de mémoire) en sont la recommandation minimale.</w:t>
      </w:r>
    </w:p>
    <w:p>
      <w:pPr>
        <w:pStyle w:val="Heading2"/>
      </w:pPr>
      <w:r>
        <w:t xml:space="preserve">14.3 La veille sur les vulnérabilités</w:t>
      </w:r>
    </w:p>
    <w:p>
      <w:pPr>
        <w:jc w:val="both"/>
      </w:pPr>
      <w:r>
        <w:t xml:space="preserve">Au-delà de npm audit en CI, j’ai suivi pendant le projet les classes de vulnérabilités qui concernent directement mon périmètre. Le rejeu de refresh token, d’abord, qui est le talon d’Achille de toute session longue durée — c’est la raison d’être de la rotation avec détection de réutilisation. Le contournement des contrôles de type à l’upload, ensuite : la revue de sécurité de fin de projet a précisément attrapé un repli fautif vers le Content-Type déclaré par le client dans mon propre code (chapitre 8.7) — trouver et corriger une faille chez soi est, à mon sens, exactement ce que le référentiel entend par veille sur les vulnérabilités. L’énumération de comptes via les messages d’erreur et les temps de réponse, également, traitée par des réponses uniformes sur la connexion et la réinitialisation. Et la pollution de prototype dans l’écosystème npm, qui a touché plusieurs bibliothèques de parsing ces dernières années — raison de plus pour garder l’arbre de dépendances court et audité.</w:t>
      </w:r>
    </w:p>
    <w:p>
      <w:pPr>
        <w:pStyle w:val="Heading2"/>
      </w:pPr>
      <w:r>
        <w:t xml:space="preserve">14.4 Recherche en anglais et synthèse</w:t>
      </w:r>
    </w:p>
    <w:p>
      <w:pPr>
        <w:jc w:val="both"/>
      </w:pPr>
      <w:r>
        <w:t xml:space="preserve">Le sujet que j’ai creusé en anglais est celui qui structure mon module d’authentification : « refresh token rotation and automatic reuse detection ». Sources principales : les OWASP Cheat Sheets « Session Management » et « JSON Web Token for Java » (pour les invariants indépendants du langage), la RFC 6749 — le standard OAuth 2.0, dont la section 10.4 traite spécifiquement des refresh tokens —, et le guide d’ingénierie d’Auth0 « What Are Refresh Tokens and When to Use Them », qui décrit la rotation et la détection de réutilisation telles qu’implémentées par les fournisseurs d’identité du marché.</w:t>
      </w:r>
    </w:p>
    <w:p>
      <w:pPr>
        <w:jc w:val="both"/>
      </w:pPr>
      <w:r>
        <w:rPr>
          <w:b/>
          <w:bCs/>
        </w:rPr>
        <w:t xml:space="preserve">Synthèse en français. </w:t>
      </w:r>
      <w:r>
        <w:t xml:space="preserve">Un jeton de rafraîchissement à longue durée de vie est la cible la plus rentable d’un attaquant : voler un jeton d’accès offre quinze minutes, voler un refresh token offre des jours. La littérature converge vers trois contre-mesures complémentaires. La rotation systématique, d’abord : chaque usage consomme le jeton et en émet un nouveau, réduisant la fenêtre d’exploitation d’une copie volée à son premier usage. La détection de réutilisation, ensuite, qui est le corollaire astucieux de la rotation : un jeton consommé ne devant plus jamais se présenter, sa réapparition prouve qu’une copie circule — sans pouvoir dire laquelle est légitime, d’où la réponse recommandée de révoquer toute la lignée (token family) et de forcer une réauthentification par mot de passe. Le durcissement du stockage, enfin : cookie httpOnly côté client pour le soustraire au JavaScript, hachage côté serveur pour qu’une fuite de base ne livre rien d’utilisable. La RFC 6749 qualifie cette détection de « best effort » : elle ne prévient pas le vol, elle le rend détectable et coûteux. C’est exactement le modèle implémenté au chapitre 8.3, et c’est cette lecture qui m’a convaincu d’implémenter la révocation par famille plutôt qu’une simple invalidation du jeton rejoué.</w:t>
      </w:r>
    </w:p>
    <w:p>
      <w:pPr>
        <w:pStyle w:val="Heading1"/>
        <w:pBdr>
          <w:bottom w:val="single" w:color="999999" w:sz="6" w:space="4"/>
        </w:pBdr>
      </w:pPr>
      <w:r>
        <w:t xml:space="preserve">15. Difficultés rencontrées et enseignements</w:t>
      </w:r>
    </w:p>
    <w:p>
      <w:pPr>
        <w:jc w:val="both"/>
      </w:pPr>
      <w:r>
        <w:t xml:space="preserve">Un dossier qui ne raconte que des réussites ne raconte pas un vrai projet. Voici les quatre difficultés qui m’ont le plus appris, au-delà de celles déjà évoquées en route.</w:t>
      </w:r>
    </w:p>
    <w:p>
      <w:pPr>
        <w:jc w:val="both"/>
      </w:pPr>
      <w:r>
        <w:rPr>
          <w:b/>
          <w:bCs/>
        </w:rPr>
        <w:t xml:space="preserve">Le refresh concurrent. </w:t>
      </w:r>
      <w:r>
        <w:t xml:space="preserve">Peu après la mise en place du rafraîchissement silencieux, un comportement erratique : des déconnexions inexpliquées au retour sur un onglet resté ouvert. En traçant, j’ai compris la mécanique — plusieurs requêtes expiraient ensemble, chacune déclenchait son propre refresh, le premier consommait le jeton, les suivants présentaient un jeton déjà consommé… et ma propre détection de réutilisation révoquait la famille. Mon dispositif de sécurité fonctionnait parfaitement ; c’est mon client HTTP qui se comportait en attaquant. La correction est le single-flight du chapitre 8.3. Leçon : quand on implémente une mesure de sécurité agressive, il faut immédiatement vérifier que ses propres clients ne la déclenchent pas légitimement.</w:t>
      </w:r>
    </w:p>
    <w:p>
      <w:pPr>
        <w:jc w:val="both"/>
      </w:pPr>
      <w:r>
        <w:rPr>
          <w:b/>
          <w:bCs/>
        </w:rPr>
        <w:t xml:space="preserve">Le tri instable de l’attribution. </w:t>
      </w:r>
      <w:r>
        <w:t xml:space="preserve">Raconté au chapitre 12.2 : deux chevaux à score égal pouvaient s’intervertir d’une exécution à l’autre. Anodin techniquement, rédhibitoire pour la confiance de l’utilisateur — un moniteur qui relance le calcul et voit un autre résultat en conclura que « la machine fait n’importe quoi ». Le départage totalement ordonné a réglé le problème, et le test d’égalité de scores le verrouille.</w:t>
      </w:r>
    </w:p>
    <w:p>
      <w:pPr>
        <w:jc w:val="both"/>
      </w:pPr>
      <w:r>
        <w:rPr>
          <w:b/>
          <w:bCs/>
        </w:rPr>
        <w:t xml:space="preserve">Prisma 7 et le client TypeScript. </w:t>
      </w:r>
      <w:r>
        <w:t xml:space="preserve">Le générateur de la nouvelle version n’émet que du TypeScript, dans un projet qui a explicitement choisi de ne pas en avoir. J’ai envisagé trois issues — rester en Prisma 6, introduire tsc pour ce seul dossier, ou transpiler — et retenu la troisième : un script esbuild de vingt lignes efface les types après génération. Le choix respecte l’ADR 004 sans renoncer à la version courante de l’ORM. Leçon : une contrainte de dépendance se résout mieux quand les décisions d’architecture sont écrites — l’ADR disait précisément quoi protéger.</w:t>
      </w:r>
    </w:p>
    <w:p>
      <w:pPr>
        <w:jc w:val="both"/>
      </w:pPr>
      <w:r>
        <w:rPr>
          <w:b/>
          <w:bCs/>
        </w:rPr>
        <w:t xml:space="preserve">Les 429 fantômes des tests E2E. </w:t>
      </w:r>
      <w:r>
        <w:t xml:space="preserve">Des échecs E2E intermittents, uniquement en CI, jamais localement au premier passage : les tests d’intégration exécutés juste avant avaient consommé le quota de rate limiting de l’IP partagée. Une soirée de diagnostic pour trois lignes de correction (purger les compteurs Redis avant la suite E2E). Leçon : les suites de tests qui partagent une infrastructure à état sont couplées, même quand le code testé ne l’est pas — et un test qui échoue par intermittence mérite toujours l’enquête, c’est rarement « la CI qui est capricieuse ».</w:t>
      </w:r>
    </w:p>
    <w:p>
      <w:pPr>
        <w:pStyle w:val="Heading1"/>
        <w:pBdr>
          <w:bottom w:val="single" w:color="999999" w:sz="6" w:space="4"/>
        </w:pBdr>
      </w:pPr>
      <w:r>
        <w:t xml:space="preserve">16. Conclusion et perspectives</w:t>
      </w:r>
    </w:p>
    <w:p>
      <w:pPr>
        <w:jc w:val="both"/>
      </w:pPr>
      <w:r>
        <w:t xml:space="preserve">Equime couvre aujourd’hui l’intégralité du périmètre visé : un visiteur peut devenir client, inscrire ses cavaliers, réserver cours et stages, payer ses factures ; un moniteur prépare ses séances avec une attribution des chevaux calculée et corrigeable ; un administrateur pilote le centre avec des indicateurs et des alertes. Le tout repose sur une architecture en couches défendable ligne à ligne, une base de données conçue en Merise et migrée proprement, une authentification dont je maîtrise chaque mécanisme, 88 tests automatisés et une chaîne d’intégration continue complète. Les limites sont connues et assumées : paiement simulé, messagerie en polling, audit d’accessibilité à consigner, automatisation du déploiement à finaliser.</w:t>
      </w:r>
    </w:p>
    <w:p>
      <w:pPr>
        <w:jc w:val="both"/>
      </w:pPr>
      <w:r>
        <w:t xml:space="preserve">Les perspectives sont dans le backlog : l’intégration d’un prestataire de paiement réel, le passage au WebSocket pour la messagerie, l’export de portabilité enrichi, la purge automatisée des jetons expirés — le service existe, il reste à le planifier —, et le multi-centres que le modèle de données n’interdit pas. Sur le plan personnel, ce projet m’a surtout appris à arbitrer et à écrire mes arbitrages : entre une bibliothèque clé en main et une implémentation maîtrisée, entre l’exhaustivité et la profondeur, entre deux obligations réglementaires contradictoires. C’est, je crois, la compétence qui reste quand la stack aura changé.</w:t>
      </w:r>
    </w:p>
    <w:p>
      <w:pPr>
        <w:pageBreakBefore/>
      </w:pPr>
    </w:p>
    <w:p>
      <w:pPr>
        <w:pStyle w:val="Heading1"/>
        <w:pBdr>
          <w:bottom w:val="single" w:color="999999" w:sz="6" w:space="4"/>
        </w:pBdr>
      </w:pPr>
      <w:r>
        <w:t xml:space="preserve">Annexes</w:t>
      </w:r>
    </w:p>
    <w:p>
      <w:pPr>
        <w:pStyle w:val="Heading2"/>
      </w:pPr>
      <w:r>
        <w:t xml:space="preserve">Annexe A — Comptes de démonstration</w:t>
      </w:r>
    </w:p>
    <w:p>
      <w:pPr>
        <w:jc w:val="both"/>
      </w:pPr>
      <w:r>
        <w:t xml:space="preserve">Le seed de développement crée quatre comptes, mot de passe commun Equime!2026 (local uniquement) : admin@equime.local (administrateur), coach@equime.local (moniteur), lina@equime.local et alex@equime.local (deux familles clientes distinctes, ce qui permet de démontrer l’isolation des données en séance).</w:t>
      </w:r>
    </w:p>
    <w:p>
      <w:pPr>
        <w:pStyle w:val="Heading2"/>
      </w:pPr>
      <w:r>
        <w:t xml:space="preserve">Annexe B — Cartographie de la documentation du dépôt</w:t>
      </w:r>
    </w:p>
    <w:tbl>
      <w:tblPr>
        <w:tblW w:type="dxa" w:w="9500"/>
        <w:tblBorders>
          <w:top w:val="single" w:color="999999" w:sz="6"/>
          <w:left w:val="none"/>
          <w:bottom w:val="single" w:color="999999" w:sz="6"/>
          <w:right w:val="none"/>
          <w:insideH w:val="single" w:color="CCCCCC" w:sz="2"/>
          <w:insideV w:val="none"/>
        </w:tblBorders>
      </w:tblPr>
      <w:tblGrid>
        <w:gridCol w:w="2600"/>
        <w:gridCol w:w="6900"/>
      </w:tblGrid>
      <w:tr>
        <w:trPr>
          <w:tblHeader/>
        </w:trPr>
        <w:tc>
          <w:tcPr>
            <w:tcW w:type="dxa" w:w="26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Document</w:t>
            </w:r>
          </w:p>
        </w:tc>
        <w:tc>
          <w:tcPr>
            <w:tcW w:type="dxa" w:w="69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Contenu</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docs/architecture.md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Vue d’ensemble, couches, trois environnements, flux CI/CD</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docs/adr/001 à 005</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Décisions d’architecture argumentées (Express 5, auth maison, Prisma, JS sans TS, Tailwind 4)</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docs/merise/ — mcd, mld, mpd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Conception de la base en trois niveaux</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docs/uml/</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Cas d’utilisation par rôle, classes du domaine, séquences authentification et attribution</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docs/backlog.md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31 user stories MoSCoW, sprints, avancement</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docs/gantt.md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Planification, jalons, risques et mitigations</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docs/cahier-de-tests.md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Plus de soixante scénarios reliés aux US et aux tests automatisés</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docs/cahier-de-recette.md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Recette en préproduction, seed dédié</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docs/traceabilite.md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Matrice exigences → modules → fichiers → tests → statut</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docs/securite.md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Cartographie OWASP Top 10, enrichie à chaque sprint</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docs/rgpd.md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Finalités, bases légales, consentement, conservation, anonymisation</w:t>
            </w:r>
          </w:p>
        </w:tc>
      </w:tr>
      <w:tr>
        <w:tc>
          <w:tcPr>
            <w:tcW w:type="dxa" w:w="26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docs/design-system.md</w:t>
            </w:r>
          </w:p>
        </w:tc>
        <w:tc>
          <w:tcPr>
            <w:tcW w:type="dxa" w:w="69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Palette, typographie, composants, règles d’usage</w:t>
            </w:r>
          </w:p>
        </w:tc>
      </w:tr>
    </w:tbl>
    <w:p>
      <w:pPr>
        <w:pStyle w:val="Heading2"/>
      </w:pPr>
      <w:r>
        <w:t xml:space="preserve">Annexe C — Glossaire</w:t>
      </w:r>
    </w:p>
    <w:tbl>
      <w:tblPr>
        <w:tblW w:type="dxa" w:w="9500"/>
        <w:tblBorders>
          <w:top w:val="single" w:color="999999" w:sz="6"/>
          <w:left w:val="none"/>
          <w:bottom w:val="single" w:color="999999" w:sz="6"/>
          <w:right w:val="none"/>
          <w:insideH w:val="single" w:color="CCCCCC" w:sz="2"/>
          <w:insideV w:val="none"/>
        </w:tblBorders>
      </w:tblPr>
      <w:tblGrid>
        <w:gridCol w:w="3000"/>
        <w:gridCol w:w="6500"/>
      </w:tblGrid>
      <w:tr>
        <w:trPr>
          <w:tblHeader/>
        </w:trPr>
        <w:tc>
          <w:tcPr>
            <w:tcW w:type="dxa" w:w="30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Terme</w:t>
            </w:r>
          </w:p>
        </w:tc>
        <w:tc>
          <w:tcPr>
            <w:tcW w:type="dxa" w:w="6500"/>
            <w:tcBorders>
              <w:bottom w:val="single" w:color="999999" w:sz="6"/>
            </w:tcBorders>
            <w:tcMar>
              <w:top w:type="dxa" w:w="60"/>
              <w:left w:type="dxa" w:w="60"/>
              <w:bottom w:type="dxa" w:w="60"/>
              <w:right w:type="dxa" w:w="120"/>
            </w:tcMar>
          </w:tcPr>
          <w:p>
            <w:pPr>
              <w:spacing w:after="20"/>
              <w:jc w:val="left"/>
            </w:pPr>
            <w:r>
              <w:rPr>
                <w:rFonts w:ascii="Georgia" w:cs="Georgia" w:eastAsia="Georgia" w:hAnsi="Georgia"/>
                <w:b/>
                <w:bCs/>
                <w:sz w:val="18"/>
                <w:szCs w:val="18"/>
              </w:rPr>
              <w:t xml:space="preserve">Définition dans le contexte du projet</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Reprise</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Cours collectif hebdomadaire d’équitation</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Galop</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Diplôme fédéral de niveau, de 1 à 7 ; « initiation » précède le Galop 1</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Affinité</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Préférence déclarée d’un couple cavalier-cheval : favori, neutre, à éviter</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Access token / refresh token</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Jeton d’accès court (15 min, JWT) / jeton de session long (7 j, opaque, à rotation)</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Rotation</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Remplacement du refresh token à chaque usage ; l’ancien est révoqué</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Famille de jetons</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Lignée issue d’une connexion ; révoquée en bloc si un jeton consommé est rejoué</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IDOR</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Insecure Direct Object Reference — accéder à la ressource d’autrui en devinant son identifiant</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Magic bytes</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Premiers octets d’un fichier, signature fiable de son format réel</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Seed</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Script de peuplement de la base avec un jeu de données connu</w:t>
            </w:r>
          </w:p>
        </w:tc>
      </w:tr>
      <w:tr>
        <w:tc>
          <w:tcPr>
            <w:tcW w:type="dxa" w:w="30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ADR</w:t>
            </w:r>
          </w:p>
        </w:tc>
        <w:tc>
          <w:tcPr>
            <w:tcW w:type="dxa" w:w="6500"/>
            <w:tcMar>
              <w:top w:type="dxa" w:w="50"/>
              <w:left w:type="dxa" w:w="60"/>
              <w:bottom w:type="dxa" w:w="50"/>
              <w:right w:type="dxa" w:w="120"/>
            </w:tcMar>
          </w:tcPr>
          <w:p>
            <w:pPr>
              <w:spacing w:after="20"/>
              <w:jc w:val="left"/>
            </w:pPr>
            <w:r>
              <w:rPr>
                <w:rFonts w:ascii="Georgia" w:cs="Georgia" w:eastAsia="Georgia" w:hAnsi="Georgia"/>
                <w:b w:val="false"/>
                <w:bCs w:val="false"/>
                <w:sz w:val="18"/>
                <w:szCs w:val="18"/>
              </w:rPr>
              <w:t xml:space="preserve">Architecture Decision Record — décision d’architecture datée et argumentée</w:t>
            </w:r>
          </w:p>
        </w:tc>
      </w:tr>
    </w:tbl>
    <w:p>
      <w:pPr>
        <w:pStyle w:val="Heading2"/>
      </w:pPr>
      <w:r>
        <w:t xml:space="preserve">Annexe D — Fiche descriptive</w:t>
      </w:r>
    </w:p>
    <w:p>
      <w:pPr>
        <w:spacing w:after="160" w:before="80"/>
        <w:jc w:val="left"/>
      </w:pPr>
      <w:r>
        <w:rPr>
          <w:i/>
          <w:iCs/>
          <w:color w:val="8B0000"/>
          <w:sz w:val="19"/>
          <w:szCs w:val="19"/>
        </w:rPr>
        <w:t xml:space="preserve">[Joindre ici la fiche descriptive de projet fournie par le centre de formation — document obligatoire du dossier.]</w:t>
      </w:r>
    </w:p>
    <w:sectPr>
      <w:headerReference w:type="default" r:id="rId7"/>
      <w:headerReference w:type="first" r:id="rId8"/>
      <w:footerReference w:type="default" r:id="rId9"/>
      <w:footerReference w:type="first" r:id="rId10"/>
      <w:pgSz w:w="11906" w:h="16838" w:orient="portrait"/>
      <w:pgMar w:top="1303" w:right="1360" w:bottom="1303" w:left="13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444444"/>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6"/>
        <w:szCs w:val="16"/>
      </w:rPr>
      <w:t xml:space="preserve">Equime — Dossier de projet · Florian Faucher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Georgia" w:cs="Georgia" w:eastAsia="Georgia" w:hAnsi="Georgia"/>
      <w:b/>
      <w:bCs/>
      <w:color w:val="000000"/>
      <w:sz w:val="30"/>
      <w:szCs w:val="30"/>
    </w:rPr>
  </w:style>
  <w:style w:type="paragraph" w:styleId="Heading2">
    <w:name w:val="Heading 2"/>
    <w:basedOn w:val="Normal"/>
    <w:next w:val="Normal"/>
    <w:qFormat/>
    <w:pPr>
      <w:spacing w:after="130" w:before="260"/>
    </w:pPr>
    <w:rPr>
      <w:rFonts w:ascii="Georgia" w:cs="Georgia" w:eastAsia="Georgia" w:hAnsi="Georgia"/>
      <w:b/>
      <w:bCs/>
      <w:color w:val="000000"/>
      <w:sz w:val="24"/>
      <w:szCs w:val="24"/>
    </w:rPr>
  </w:style>
  <w:style w:type="paragraph" w:styleId="Heading3">
    <w:name w:val="Heading 3"/>
    <w:basedOn w:val="Normal"/>
    <w:next w:val="Normal"/>
    <w:qFormat/>
    <w:pPr>
      <w:spacing w:after="100" w:before="200"/>
    </w:pPr>
    <w:rPr>
      <w:rFonts w:ascii="Georgia" w:cs="Georgia" w:eastAsia="Georgia" w:hAnsi="Georgia"/>
      <w:b/>
      <w:bCs/>
      <w:i/>
      <w:iCs/>
      <w:color w:val="333333"/>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2026-07-08T09:06:12.532Z</dcterms:created>
  <dcterms:modified xsi:type="dcterms:W3CDTF">2026-07-08T09:06:12.533Z</dcterms:modified>
</cp:coreProperties>
</file>

<file path=docProps/custom.xml><?xml version="1.0" encoding="utf-8"?>
<Properties xmlns="http://schemas.openxmlformats.org/officeDocument/2006/custom-properties" xmlns:vt="http://schemas.openxmlformats.org/officeDocument/2006/docPropsVTypes"/>
</file>