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b/>
          <w:bCs/>
          <w:color w:val="1F3A5F"/>
          <w:sz w:val="72"/>
          <w:szCs w:val="72"/>
        </w:rPr>
        <w:t xml:space="preserve">EQUIME</w:t>
      </w:r>
    </w:p>
    <w:p>
      <w:pPr>
        <w:spacing w:after="600"/>
        <w:jc w:val="center"/>
      </w:pPr>
      <w:r>
        <w:rPr>
          <w:i/>
          <w:iCs/>
          <w:color w:val="8A6D1D"/>
          <w:sz w:val="28"/>
          <w:szCs w:val="28"/>
        </w:rPr>
        <w:t xml:space="preserve">Application web de gestion de centre équestre</w:t>
      </w:r>
    </w:p>
    <w:p>
      <w:pPr>
        <w:spacing w:after="200"/>
        <w:jc w:val="center"/>
      </w:pPr>
      <w:r>
        <w:rPr>
          <w:b/>
          <w:bCs/>
          <w:color w:val="000000"/>
          <w:sz w:val="40"/>
          <w:szCs w:val="40"/>
        </w:rPr>
        <w:t xml:space="preserve">Rapport de conformité CDA</w:t>
      </w:r>
    </w:p>
    <w:p>
      <w:pPr>
        <w:spacing w:after="1200"/>
        <w:jc w:val="center"/>
      </w:pPr>
      <w:r>
        <w:rPr>
          <w:color w:val="555555"/>
          <w:sz w:val="24"/>
          <w:szCs w:val="24"/>
        </w:rPr>
        <w:t xml:space="preserve">Audit du code, vérification des bibliothèques et matrice de conformité au référentiel — 7 juillet 2026</w:t>
      </w:r>
    </w:p>
    <w:p>
      <w:pPr>
        <w:jc w:val="center"/>
      </w:pPr>
      <w:r>
        <w:rPr>
          <w:sz w:val="22"/>
          <w:szCs w:val="22"/>
        </w:rPr>
        <w:t xml:space="preserve">Titre professionnel Concepteur Développeur d’Applications — RNCP37873 (niveau 6)</w:t>
      </w:r>
    </w:p>
    <w:p>
      <w:pPr>
        <w:jc w:val="center"/>
      </w:pPr>
      <w:r>
        <w:rPr>
          <w:sz w:val="22"/>
          <w:szCs w:val="22"/>
        </w:rPr>
        <w:t xml:space="preserve">Candidat : Florian Faucher</w:t>
      </w:r>
    </w:p>
    <w:p>
      <w:pPr>
        <w:jc w:val="center"/>
      </w:pPr>
      <w:r>
        <w:rPr>
          <w:sz w:val="22"/>
          <w:szCs w:val="22"/>
        </w:rPr>
        <w:t xml:space="preserve">Session 2026 — formation en alternance</w:t>
      </w:r>
    </w:p>
    <w:p>
      <w:pPr>
        <w:spacing w:before="400"/>
        <w:jc w:val="center"/>
      </w:pPr>
      <w:r>
        <w:rPr>
          <w:color w:val="555555"/>
          <w:sz w:val="18"/>
          <w:szCs w:val="18"/>
        </w:rPr>
        <w:t xml:space="preserve">Stack : Node.js 22 · Express 5 · Prisma 7 · PostgreSQL 17 · Redis 7 · React 18 · Vite · Tailwind CSS 4</w:t>
      </w:r>
    </w:p>
    <w:p/>
    <w:p>
      <w:pPr>
        <w:pageBreakBefore/>
        <w:spacing w:after="200"/>
      </w:pPr>
      <w:r>
        <w:rPr>
          <w:b/>
          <w:bCs/>
          <w:color w:val="1F3A5F"/>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1. Synthèse exécutive</w:t>
      </w:r>
    </w:p>
    <w:p>
      <w:pPr>
        <w:jc w:val="both"/>
      </w:pPr>
      <w:r>
        <w:t xml:space="preserve">Ce rapport consigne l’audit complet du dépôt Equime v2 réalisé le 7 juillet 2026 : analyse du code des trois workspaces, vérification de la conformité des usages de bibliothèques contre leur documentation officielle à jour (via Context7), exécution de la suite de tests, et confrontation du projet aux exigences du titre professionnel Concepteur Développeur d’Applications (RNCP37873).</w:t>
      </w:r>
    </w:p>
    <w:p>
      <w:pPr>
        <w:jc w:val="both"/>
      </w:pPr>
      <w:r>
        <w:rPr>
          <w:b/>
          <w:bCs/>
        </w:rPr>
        <w:t xml:space="preserve">Verdict global : </w:t>
      </w:r>
      <w:r>
        <w:t xml:space="preserve">le projet est en très bon état de conformité. La qualité du code est élevée et homogène (architecture en couches respectée partout, JSDoc systématique, sécurité argumentée dans le code même). Deux défauts réels ont été détectés et corrigés pendant l’audit. La suite complète de tests — 88 tests répartis sur 12 fichiers — est verte après corrections, et le lint ESLint ne remonte aucune erreur. Les écarts restants vis-à-vis du référentiel sont documentaires et opérationnels, pas techniques : ils sont listés au chapitre 5 avec un plan d’action.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200"/>
        <w:gridCol w:w="4800"/>
      </w:tblGrid>
      <w:tr>
        <w:trPr>
          <w:tblHeader/>
        </w:trPr>
        <w:tc>
          <w:tcPr>
            <w:tcW w:type="dxa" w:w="5200"/>
            <w:shd w:fill="E8EDF4" w:val="clear"/>
            <w:tcMar>
              <w:top w:type="dxa" w:w="40"/>
              <w:left w:type="dxa" w:w="80"/>
              <w:bottom w:type="dxa" w:w="40"/>
              <w:right w:type="dxa" w:w="80"/>
            </w:tcMar>
          </w:tcPr>
          <w:p>
            <w:pPr>
              <w:spacing w:after="20"/>
              <w:jc w:val="left"/>
            </w:pPr>
            <w:r>
              <w:rPr>
                <w:b/>
                <w:bCs/>
                <w:sz w:val="18"/>
                <w:szCs w:val="18"/>
              </w:rPr>
              <w:t xml:space="preserve">Contrôle</w:t>
            </w:r>
          </w:p>
        </w:tc>
        <w:tc>
          <w:tcPr>
            <w:tcW w:type="dxa" w:w="4800"/>
            <w:shd w:fill="E8EDF4" w:val="clear"/>
            <w:tcMar>
              <w:top w:type="dxa" w:w="40"/>
              <w:left w:type="dxa" w:w="80"/>
              <w:bottom w:type="dxa" w:w="40"/>
              <w:right w:type="dxa" w:w="80"/>
            </w:tcMar>
          </w:tcPr>
          <w:p>
            <w:pPr>
              <w:spacing w:after="20"/>
              <w:jc w:val="left"/>
            </w:pPr>
            <w:r>
              <w:rPr>
                <w:b/>
                <w:bCs/>
                <w:sz w:val="18"/>
                <w:szCs w:val="18"/>
              </w:rPr>
              <w:t xml:space="preserve">Résultat</w:t>
            </w:r>
          </w:p>
        </w:tc>
      </w:tr>
      <w:tr>
        <w:tc>
          <w:tcPr>
            <w:tcW w:type="dxa" w:w="5200"/>
            <w:tcMar>
              <w:top w:type="dxa" w:w="40"/>
              <w:left w:type="dxa" w:w="80"/>
              <w:bottom w:type="dxa" w:w="40"/>
              <w:right w:type="dxa" w:w="80"/>
            </w:tcMar>
          </w:tcPr>
          <w:p>
            <w:pPr>
              <w:spacing w:after="20"/>
              <w:jc w:val="left"/>
            </w:pPr>
            <w:r>
              <w:rPr>
                <w:b w:val="false"/>
                <w:bCs w:val="false"/>
                <w:sz w:val="18"/>
                <w:szCs w:val="18"/>
              </w:rPr>
              <w:t xml:space="preserve">Lint ESLint (monorepo complet)</w:t>
            </w:r>
          </w:p>
        </w:tc>
        <w:tc>
          <w:tcPr>
            <w:tcW w:type="dxa" w:w="4800"/>
            <w:tcMar>
              <w:top w:type="dxa" w:w="40"/>
              <w:left w:type="dxa" w:w="80"/>
              <w:bottom w:type="dxa" w:w="40"/>
              <w:right w:type="dxa" w:w="80"/>
            </w:tcMar>
          </w:tcPr>
          <w:p>
            <w:pPr>
              <w:spacing w:after="20"/>
              <w:jc w:val="left"/>
            </w:pPr>
            <w:r>
              <w:rPr>
                <w:b w:val="false"/>
                <w:bCs w:val="false"/>
                <w:sz w:val="18"/>
                <w:szCs w:val="18"/>
              </w:rPr>
              <w:t xml:space="preserve">0 erreur</w:t>
            </w:r>
          </w:p>
        </w:tc>
      </w:tr>
      <w:tr>
        <w:tc>
          <w:tcPr>
            <w:tcW w:type="dxa" w:w="5200"/>
            <w:tcMar>
              <w:top w:type="dxa" w:w="40"/>
              <w:left w:type="dxa" w:w="80"/>
              <w:bottom w:type="dxa" w:w="40"/>
              <w:right w:type="dxa" w:w="80"/>
            </w:tcMar>
          </w:tcPr>
          <w:p>
            <w:pPr>
              <w:spacing w:after="20"/>
              <w:jc w:val="left"/>
            </w:pPr>
            <w:r>
              <w:rPr>
                <w:b w:val="false"/>
                <w:bCs w:val="false"/>
                <w:sz w:val="18"/>
                <w:szCs w:val="18"/>
              </w:rPr>
              <w:t xml:space="preserve">Tests automatisés (Vitest + Supertest, PostgreSQL + Redis réels)</w:t>
            </w:r>
          </w:p>
        </w:tc>
        <w:tc>
          <w:tcPr>
            <w:tcW w:type="dxa" w:w="4800"/>
            <w:tcMar>
              <w:top w:type="dxa" w:w="40"/>
              <w:left w:type="dxa" w:w="80"/>
              <w:bottom w:type="dxa" w:w="40"/>
              <w:right w:type="dxa" w:w="80"/>
            </w:tcMar>
          </w:tcPr>
          <w:p>
            <w:pPr>
              <w:spacing w:after="20"/>
              <w:jc w:val="left"/>
            </w:pPr>
            <w:r>
              <w:rPr>
                <w:b w:val="false"/>
                <w:bCs w:val="false"/>
                <w:sz w:val="18"/>
                <w:szCs w:val="18"/>
              </w:rPr>
              <w:t xml:space="preserve">88 / 88 verts (12 fichiers), après corrections</w:t>
            </w:r>
          </w:p>
        </w:tc>
      </w:tr>
      <w:tr>
        <w:tc>
          <w:tcPr>
            <w:tcW w:type="dxa" w:w="5200"/>
            <w:tcMar>
              <w:top w:type="dxa" w:w="40"/>
              <w:left w:type="dxa" w:w="80"/>
              <w:bottom w:type="dxa" w:w="40"/>
              <w:right w:type="dxa" w:w="80"/>
            </w:tcMar>
          </w:tcPr>
          <w:p>
            <w:pPr>
              <w:spacing w:after="20"/>
              <w:jc w:val="left"/>
            </w:pPr>
            <w:r>
              <w:rPr>
                <w:b w:val="false"/>
                <w:bCs w:val="false"/>
                <w:sz w:val="18"/>
                <w:szCs w:val="18"/>
              </w:rPr>
              <w:t xml:space="preserve">Usages de bibliothèques vs documentation officielle (Context7)</w:t>
            </w:r>
          </w:p>
        </w:tc>
        <w:tc>
          <w:tcPr>
            <w:tcW w:type="dxa" w:w="4800"/>
            <w:tcMar>
              <w:top w:type="dxa" w:w="40"/>
              <w:left w:type="dxa" w:w="80"/>
              <w:bottom w:type="dxa" w:w="40"/>
              <w:right w:type="dxa" w:w="80"/>
            </w:tcMar>
          </w:tcPr>
          <w:p>
            <w:pPr>
              <w:spacing w:after="20"/>
              <w:jc w:val="left"/>
            </w:pPr>
            <w:r>
              <w:rPr>
                <w:b w:val="false"/>
                <w:bCs w:val="false"/>
                <w:sz w:val="18"/>
                <w:szCs w:val="18"/>
              </w:rPr>
              <w:t xml:space="preserve">Conformes — 1 API obsolète détectée et corrigée (Zod 4)</w:t>
            </w:r>
          </w:p>
        </w:tc>
      </w:tr>
      <w:tr>
        <w:tc>
          <w:tcPr>
            <w:tcW w:type="dxa" w:w="5200"/>
            <w:tcMar>
              <w:top w:type="dxa" w:w="40"/>
              <w:left w:type="dxa" w:w="80"/>
              <w:bottom w:type="dxa" w:w="40"/>
              <w:right w:type="dxa" w:w="80"/>
            </w:tcMar>
          </w:tcPr>
          <w:p>
            <w:pPr>
              <w:spacing w:after="20"/>
              <w:jc w:val="left"/>
            </w:pPr>
            <w:r>
              <w:rPr>
                <w:b w:val="false"/>
                <w:bCs w:val="false"/>
                <w:sz w:val="18"/>
                <w:szCs w:val="18"/>
              </w:rPr>
              <w:t xml:space="preserve">Failles de sécurité détectées</w:t>
            </w:r>
          </w:p>
        </w:tc>
        <w:tc>
          <w:tcPr>
            <w:tcW w:type="dxa" w:w="4800"/>
            <w:tcMar>
              <w:top w:type="dxa" w:w="40"/>
              <w:left w:type="dxa" w:w="80"/>
              <w:bottom w:type="dxa" w:w="40"/>
              <w:right w:type="dxa" w:w="80"/>
            </w:tcMar>
          </w:tcPr>
          <w:p>
            <w:pPr>
              <w:spacing w:after="20"/>
              <w:jc w:val="left"/>
            </w:pPr>
            <w:r>
              <w:rPr>
                <w:b w:val="false"/>
                <w:bCs w:val="false"/>
                <w:sz w:val="18"/>
                <w:szCs w:val="18"/>
              </w:rPr>
              <w:t xml:space="preserve">1 (contournement du contrôle MIME à l’upload) — corrigée</w:t>
            </w:r>
          </w:p>
        </w:tc>
      </w:tr>
      <w:tr>
        <w:tc>
          <w:tcPr>
            <w:tcW w:type="dxa" w:w="5200"/>
            <w:tcMar>
              <w:top w:type="dxa" w:w="40"/>
              <w:left w:type="dxa" w:w="80"/>
              <w:bottom w:type="dxa" w:w="40"/>
              <w:right w:type="dxa" w:w="80"/>
            </w:tcMar>
          </w:tcPr>
          <w:p>
            <w:pPr>
              <w:spacing w:after="20"/>
              <w:jc w:val="left"/>
            </w:pPr>
            <w:r>
              <w:rPr>
                <w:b w:val="false"/>
                <w:bCs w:val="false"/>
                <w:sz w:val="18"/>
                <w:szCs w:val="18"/>
              </w:rPr>
              <w:t xml:space="preserve">Conformité REAC (11 compétences)</w:t>
            </w:r>
          </w:p>
        </w:tc>
        <w:tc>
          <w:tcPr>
            <w:tcW w:type="dxa" w:w="4800"/>
            <w:tcMar>
              <w:top w:type="dxa" w:w="40"/>
              <w:left w:type="dxa" w:w="80"/>
              <w:bottom w:type="dxa" w:w="40"/>
              <w:right w:type="dxa" w:w="80"/>
            </w:tcMar>
          </w:tcPr>
          <w:p>
            <w:pPr>
              <w:spacing w:after="20"/>
              <w:jc w:val="left"/>
            </w:pPr>
            <w:r>
              <w:rPr>
                <w:b w:val="false"/>
                <w:bCs w:val="false"/>
                <w:sz w:val="18"/>
                <w:szCs w:val="18"/>
              </w:rPr>
              <w:t xml:space="preserve">11 couvertes ; 2 avec réserves opérationnelles (voir §4)</w:t>
            </w:r>
          </w:p>
        </w:tc>
      </w:tr>
      <w:tr>
        <w:tc>
          <w:tcPr>
            <w:tcW w:type="dxa" w:w="5200"/>
            <w:tcMar>
              <w:top w:type="dxa" w:w="40"/>
              <w:left w:type="dxa" w:w="80"/>
              <w:bottom w:type="dxa" w:w="40"/>
              <w:right w:type="dxa" w:w="80"/>
            </w:tcMar>
          </w:tcPr>
          <w:p>
            <w:pPr>
              <w:spacing w:after="20"/>
              <w:jc w:val="left"/>
            </w:pPr>
            <w:r>
              <w:rPr>
                <w:b w:val="false"/>
                <w:bCs w:val="false"/>
                <w:sz w:val="18"/>
                <w:szCs w:val="18"/>
              </w:rPr>
              <w:t xml:space="preserve">Attendus du dossier de projet</w:t>
            </w:r>
          </w:p>
        </w:tc>
        <w:tc>
          <w:tcPr>
            <w:tcW w:type="dxa" w:w="4800"/>
            <w:tcMar>
              <w:top w:type="dxa" w:w="40"/>
              <w:left w:type="dxa" w:w="80"/>
              <w:bottom w:type="dxa" w:w="40"/>
              <w:right w:type="dxa" w:w="80"/>
            </w:tcMar>
          </w:tcPr>
          <w:p>
            <w:pPr>
              <w:spacing w:after="20"/>
              <w:jc w:val="left"/>
            </w:pPr>
            <w:r>
              <w:rPr>
                <w:b w:val="false"/>
                <w:bCs w:val="false"/>
                <w:sz w:val="18"/>
                <w:szCs w:val="18"/>
              </w:rPr>
              <w:t xml:space="preserve">Généré (document joint) ; captures d’écran et fiche descriptive à insérer</w:t>
            </w:r>
          </w:p>
        </w:tc>
      </w:tr>
    </w:tbl>
    <w:p>
      <w:pPr>
        <w:pStyle w:val="Heading1"/>
      </w:pPr>
      <w:r>
        <w:t xml:space="preserve">2. Problèmes détectés et corrections appliquées</w:t>
      </w:r>
    </w:p>
    <w:p>
      <w:pPr>
        <w:pStyle w:val="Heading2"/>
      </w:pPr>
      <w:r>
        <w:t xml:space="preserve">2.1 Zod 4 — paramètre errorMap supprimé (corrigé)</w:t>
      </w:r>
    </w:p>
    <w:p>
      <w:pPr>
        <w:jc w:val="both"/>
      </w:pPr>
      <w:r>
        <w:rPr>
          <w:b/>
          <w:bCs/>
        </w:rPr>
        <w:t xml:space="preserve">Fichier : </w:t>
      </w:r>
      <w:r>
        <w:t xml:space="preserve">packages/shared/src/schemas/auth.js — deleteAccountSchema. </w:t>
      </w:r>
      <w:r>
        <w:t xml:space="preserve">Le schéma de confirmation de suppression de compte utilisait le paramètre errorMap, API de Zod 3 supprimée en Zod 4 (remplacée par le paramètre unifié error, cf. guide de migration officiel zod.dev/v4). Conséquence avant correction : le paramètre était silencieusement ignoré et l’utilisateur recevait le message d’erreur générique anglais de Zod au lieu du message français « Saisissez exactement “SUPPRIMER MON COMPTE” pour confirmer ». Aucun impact de sécurité, mais un défaut d’expérience utilisateur sur un parcours RGPD sensible.</w:t>
      </w:r>
    </w:p>
    <w:p>
      <w:pPr>
        <w:shd w:fill="F4F4F4" w:val="clear"/>
        <w:spacing w:after="0" w:line="216"/>
        <w:ind w:left="227"/>
      </w:pPr>
      <w:r>
        <w:rPr>
          <w:rFonts w:ascii="Consolas" w:cs="Consolas" w:eastAsia="Consolas" w:hAnsi="Consolas"/>
          <w:sz w:val="16"/>
          <w:szCs w:val="16"/>
        </w:rPr>
        <w:t xml:space="preserve">// Avant (Zod 3 — ignoré par Zod 4)</w:t>
      </w:r>
    </w:p>
    <w:p>
      <w:pPr>
        <w:shd w:fill="F4F4F4" w:val="clear"/>
        <w:spacing w:after="0" w:line="216"/>
        <w:ind w:left="227"/>
      </w:pPr>
      <w:r>
        <w:rPr>
          <w:rFonts w:ascii="Consolas" w:cs="Consolas" w:eastAsia="Consolas" w:hAnsi="Consolas"/>
          <w:sz w:val="16"/>
          <w:szCs w:val="16"/>
        </w:rPr>
        <w:t xml:space="preserve">confirmation: z.literal('SUPPRIMER MON COMPTE', {</w:t>
      </w:r>
    </w:p>
    <w:p>
      <w:pPr>
        <w:shd w:fill="F4F4F4" w:val="clear"/>
        <w:spacing w:after="0" w:line="216"/>
        <w:ind w:left="227"/>
      </w:pPr>
      <w:r>
        <w:rPr>
          <w:rFonts w:ascii="Consolas" w:cs="Consolas" w:eastAsia="Consolas" w:hAnsi="Consolas"/>
          <w:sz w:val="16"/>
          <w:szCs w:val="16"/>
        </w:rPr>
        <w:t xml:space="preserve">  errorMap: () =&gt; ({ message: 'Saisissez exactement … pour confirmer' }),</w:t>
      </w:r>
    </w:p>
    <w:p>
      <w:pPr>
        <w:shd w:fill="F4F4F4" w:val="clear"/>
        <w:spacing w:after="0" w:line="216"/>
        <w:ind w:left="227"/>
      </w:pPr>
      <w:r>
        <w:rPr>
          <w:rFonts w:ascii="Consolas" w:cs="Consolas" w:eastAsia="Consolas" w:hAnsi="Consolas"/>
          <w:sz w:val="16"/>
          <w:szCs w:val="16"/>
        </w:rPr>
        <w:t xml:space="preserve">}),</w:t>
      </w:r>
    </w:p>
    <w:p>
      <w:pPr>
        <w:shd w:fill="F4F4F4" w:val="clear"/>
        <w:spacing w:after="0" w:line="216"/>
        <w:ind w:left="227"/>
      </w:pPr>
      <w:r>
        <w:rPr>
          <w:rFonts w:ascii="Consolas" w:cs="Consolas" w:eastAsia="Consolas" w:hAnsi="Consolas"/>
          <w:sz w:val="16"/>
          <w:szCs w:val="16"/>
        </w:rPr>
        <w:t xml:space="preserve"> </w:t>
      </w:r>
    </w:p>
    <w:p>
      <w:pPr>
        <w:shd w:fill="F4F4F4" w:val="clear"/>
        <w:spacing w:after="0" w:line="216"/>
        <w:ind w:left="227"/>
      </w:pPr>
      <w:r>
        <w:rPr>
          <w:rFonts w:ascii="Consolas" w:cs="Consolas" w:eastAsia="Consolas" w:hAnsi="Consolas"/>
          <w:sz w:val="16"/>
          <w:szCs w:val="16"/>
        </w:rPr>
        <w:t xml:space="preserve">// Après (Zod 4)</w:t>
      </w:r>
    </w:p>
    <w:p>
      <w:pPr>
        <w:shd w:fill="F4F4F4" w:val="clear"/>
        <w:spacing w:after="0" w:line="216"/>
        <w:ind w:left="227"/>
      </w:pPr>
      <w:r>
        <w:rPr>
          <w:rFonts w:ascii="Consolas" w:cs="Consolas" w:eastAsia="Consolas" w:hAnsi="Consolas"/>
          <w:sz w:val="16"/>
          <w:szCs w:val="16"/>
        </w:rPr>
        <w:t xml:space="preserve">confirmation: z.literal('SUPPRIMER MON COMPTE', {</w:t>
      </w:r>
    </w:p>
    <w:p>
      <w:pPr>
        <w:shd w:fill="F4F4F4" w:val="clear"/>
        <w:spacing w:after="0" w:line="216"/>
        <w:ind w:left="227"/>
      </w:pPr>
      <w:r>
        <w:rPr>
          <w:rFonts w:ascii="Consolas" w:cs="Consolas" w:eastAsia="Consolas" w:hAnsi="Consolas"/>
          <w:sz w:val="16"/>
          <w:szCs w:val="16"/>
        </w:rPr>
        <w:t xml:space="preserve">  error: 'Saisissez exactement « SUPPRIMER MON COMPTE » pour confirmer',</w:t>
      </w:r>
    </w:p>
    <w:p>
      <w:pPr>
        <w:shd w:fill="F4F4F4" w:val="clear"/>
        <w:spacing w:after="0" w:line="216"/>
        <w:ind w:left="227"/>
      </w:pPr>
      <w:r>
        <w:rPr>
          <w:rFonts w:ascii="Consolas" w:cs="Consolas" w:eastAsia="Consolas" w:hAnsi="Consolas"/>
          <w:sz w:val="16"/>
          <w:szCs w:val="16"/>
        </w:rPr>
        <w:t xml:space="preserve">}),</w:t>
      </w:r>
    </w:p>
    <w:p>
      <w:pPr>
        <w:pStyle w:val="Heading2"/>
      </w:pPr>
      <w:r>
        <w:t xml:space="preserve">2.2 Upload — repli sur le Content-Type déclaré par le client (corrigé)</w:t>
      </w:r>
    </w:p>
    <w:p>
      <w:pPr>
        <w:jc w:val="both"/>
      </w:pPr>
      <w:r>
        <w:rPr>
          <w:b/>
          <w:bCs/>
        </w:rPr>
        <w:t xml:space="preserve">Fichier : </w:t>
      </w:r>
      <w:r>
        <w:t xml:space="preserve">apps/api/src/lib/uploads.js — persistRiderDocument. </w:t>
      </w:r>
      <w:r>
        <w:t xml:space="preserve">Le contrôle du type de fichier lisait bien les magic bytes (bibliothèque file-type), mais en cas d’échec de détection, le code se repliait sur file.mimetype — le Content-Type déclaré par le client, librement falsifiable. Un fichier texte arbitraire envoyé avec Content-Type: application/pdf passait donc le contrôle, contredisant l’objectif « contrôle MIME réel » affiché en commentaire et dans docs/securite.md. Correction : le fichier est rejeté si la détection par octets échoue ou si le type détecté n’est pas dans la liste blanche ; l’extension de stockage provient exclusivement de la détection. Les vrais PDF/JPEG/PNG sont toujours détectables par leurs octets : aucun faux positif introduit.</w:t>
      </w:r>
    </w:p>
    <w:p>
      <w:pPr>
        <w:shd w:fill="F4F4F4" w:val="clear"/>
        <w:spacing w:after="0" w:line="216"/>
        <w:ind w:left="227"/>
      </w:pPr>
      <w:r>
        <w:rPr>
          <w:rFonts w:ascii="Consolas" w:cs="Consolas" w:eastAsia="Consolas" w:hAnsi="Consolas"/>
          <w:sz w:val="16"/>
          <w:szCs w:val="16"/>
        </w:rPr>
        <w:t xml:space="preserve">// Avant</w:t>
      </w:r>
    </w:p>
    <w:p>
      <w:pPr>
        <w:shd w:fill="F4F4F4" w:val="clear"/>
        <w:spacing w:after="0" w:line="216"/>
        <w:ind w:left="227"/>
      </w:pPr>
      <w:r>
        <w:rPr>
          <w:rFonts w:ascii="Consolas" w:cs="Consolas" w:eastAsia="Consolas" w:hAnsi="Consolas"/>
          <w:sz w:val="16"/>
          <w:szCs w:val="16"/>
        </w:rPr>
        <w:t xml:space="preserve">const detected = await fileTypeFromBuffer(file.buffer);</w:t>
      </w:r>
    </w:p>
    <w:p>
      <w:pPr>
        <w:shd w:fill="F4F4F4" w:val="clear"/>
        <w:spacing w:after="0" w:line="216"/>
        <w:ind w:left="227"/>
      </w:pPr>
      <w:r>
        <w:rPr>
          <w:rFonts w:ascii="Consolas" w:cs="Consolas" w:eastAsia="Consolas" w:hAnsi="Consolas"/>
          <w:sz w:val="16"/>
          <w:szCs w:val="16"/>
        </w:rPr>
        <w:t xml:space="preserve">const mime = detected?.mime ?? file.mimetype;   // ← repli falsifiable</w:t>
      </w:r>
    </w:p>
    <w:p>
      <w:pPr>
        <w:shd w:fill="F4F4F4" w:val="clear"/>
        <w:spacing w:after="0" w:line="216"/>
        <w:ind w:left="227"/>
      </w:pPr>
      <w:r>
        <w:rPr>
          <w:rFonts w:ascii="Consolas" w:cs="Consolas" w:eastAsia="Consolas" w:hAnsi="Consolas"/>
          <w:sz w:val="16"/>
          <w:szCs w:val="16"/>
        </w:rPr>
        <w:t xml:space="preserve">if (!ALLOWED_MIME.has(mime)) throw AppError.badRequest(…);</w:t>
      </w:r>
    </w:p>
    <w:p>
      <w:pPr>
        <w:shd w:fill="F4F4F4" w:val="clear"/>
        <w:spacing w:after="0" w:line="216"/>
        <w:ind w:left="227"/>
      </w:pPr>
      <w:r>
        <w:rPr>
          <w:rFonts w:ascii="Consolas" w:cs="Consolas" w:eastAsia="Consolas" w:hAnsi="Consolas"/>
          <w:sz w:val="16"/>
          <w:szCs w:val="16"/>
        </w:rPr>
        <w:t xml:space="preserve"> </w:t>
      </w:r>
    </w:p>
    <w:p>
      <w:pPr>
        <w:shd w:fill="F4F4F4" w:val="clear"/>
        <w:spacing w:after="0" w:line="216"/>
        <w:ind w:left="227"/>
      </w:pPr>
      <w:r>
        <w:rPr>
          <w:rFonts w:ascii="Consolas" w:cs="Consolas" w:eastAsia="Consolas" w:hAnsi="Consolas"/>
          <w:sz w:val="16"/>
          <w:szCs w:val="16"/>
        </w:rPr>
        <w:t xml:space="preserve">// Après</w:t>
      </w:r>
    </w:p>
    <w:p>
      <w:pPr>
        <w:shd w:fill="F4F4F4" w:val="clear"/>
        <w:spacing w:after="0" w:line="216"/>
        <w:ind w:left="227"/>
      </w:pPr>
      <w:r>
        <w:rPr>
          <w:rFonts w:ascii="Consolas" w:cs="Consolas" w:eastAsia="Consolas" w:hAnsi="Consolas"/>
          <w:sz w:val="16"/>
          <w:szCs w:val="16"/>
        </w:rPr>
        <w:t xml:space="preserve">const detected = await fileTypeFromBuffer(file.buffer);</w:t>
      </w:r>
    </w:p>
    <w:p>
      <w:pPr>
        <w:shd w:fill="F4F4F4" w:val="clear"/>
        <w:spacing w:after="0" w:line="216"/>
        <w:ind w:left="227"/>
      </w:pPr>
      <w:r>
        <w:rPr>
          <w:rFonts w:ascii="Consolas" w:cs="Consolas" w:eastAsia="Consolas" w:hAnsi="Consolas"/>
          <w:sz w:val="16"/>
          <w:szCs w:val="16"/>
        </w:rPr>
        <w:t xml:space="preserve">if (!detected || !ALLOWED_MIME.has(detected.mime)) {</w:t>
      </w:r>
    </w:p>
    <w:p>
      <w:pPr>
        <w:shd w:fill="F4F4F4" w:val="clear"/>
        <w:spacing w:after="0" w:line="216"/>
        <w:ind w:left="227"/>
      </w:pPr>
      <w:r>
        <w:rPr>
          <w:rFonts w:ascii="Consolas" w:cs="Consolas" w:eastAsia="Consolas" w:hAnsi="Consolas"/>
          <w:sz w:val="16"/>
          <w:szCs w:val="16"/>
        </w:rPr>
        <w:t xml:space="preserve">  throw AppError.badRequest('Format non autorisé (PDF, JPG ou PNG uniquement)');</w:t>
      </w:r>
    </w:p>
    <w:p>
      <w:pPr>
        <w:shd w:fill="F4F4F4" w:val="clear"/>
        <w:spacing w:after="0" w:line="216"/>
        <w:ind w:left="227"/>
      </w:pPr>
      <w:r>
        <w:rPr>
          <w:rFonts w:ascii="Consolas" w:cs="Consolas" w:eastAsia="Consolas" w:hAnsi="Consolas"/>
          <w:sz w:val="16"/>
          <w:szCs w:val="16"/>
        </w:rPr>
        <w:t xml:space="preserve">}</w:t>
      </w:r>
    </w:p>
    <w:p>
      <w:pPr>
        <w:shd w:fill="F4F4F4" w:val="clear"/>
        <w:spacing w:after="0" w:line="216"/>
        <w:ind w:left="227"/>
      </w:pPr>
      <w:r>
        <w:rPr>
          <w:rFonts w:ascii="Consolas" w:cs="Consolas" w:eastAsia="Consolas" w:hAnsi="Consolas"/>
          <w:sz w:val="16"/>
          <w:szCs w:val="16"/>
        </w:rPr>
        <w:t xml:space="preserve">const ext = detected.ext;</w:t>
      </w:r>
    </w:p>
    <w:p>
      <w:pPr>
        <w:jc w:val="both"/>
      </w:pPr>
      <w:r>
        <w:t xml:space="preserve">La suite de tests complète a été ré-exécutée après ces deux corrections : 88 / 88 verts. Le scénario T-2.4 du cahier de tests (« .exe renommé en .pdf → 400 ») correspond exactement à la faille corrigée ; il est recommandé de l’automatiser explicitement (voir plan d’action).</w:t>
      </w:r>
    </w:p>
    <w:p>
      <w:pPr>
        <w:pageBreakBefore/>
      </w:pPr>
    </w:p>
    <w:p>
      <w:pPr>
        <w:pStyle w:val="Heading1"/>
      </w:pPr>
      <w:r>
        <w:t xml:space="preserve">3. Vérification des usages de bibliothèques (Context7)</w:t>
      </w:r>
    </w:p>
    <w:p>
      <w:pPr>
        <w:jc w:val="both"/>
      </w:pPr>
      <w:r>
        <w:t xml:space="preserve">Chaque bibliothèque structurante a été confrontée à sa documentation officielle courante. Résultats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5100"/>
        <w:gridCol w:w="2600"/>
      </w:tblGrid>
      <w:tr>
        <w:trPr>
          <w:tblHeader/>
        </w:trPr>
        <w:tc>
          <w:tcPr>
            <w:tcW w:type="dxa" w:w="1500"/>
            <w:shd w:fill="E8EDF4" w:val="clear"/>
            <w:tcMar>
              <w:top w:type="dxa" w:w="40"/>
              <w:left w:type="dxa" w:w="80"/>
              <w:bottom w:type="dxa" w:w="40"/>
              <w:right w:type="dxa" w:w="80"/>
            </w:tcMar>
          </w:tcPr>
          <w:p>
            <w:pPr>
              <w:spacing w:after="20"/>
              <w:jc w:val="left"/>
            </w:pPr>
            <w:r>
              <w:rPr>
                <w:b/>
                <w:bCs/>
                <w:sz w:val="18"/>
                <w:szCs w:val="18"/>
              </w:rPr>
              <w:t xml:space="preserve">Bibliothèque</w:t>
            </w:r>
          </w:p>
        </w:tc>
        <w:tc>
          <w:tcPr>
            <w:tcW w:type="dxa" w:w="800"/>
            <w:shd w:fill="E8EDF4" w:val="clear"/>
            <w:tcMar>
              <w:top w:type="dxa" w:w="40"/>
              <w:left w:type="dxa" w:w="80"/>
              <w:bottom w:type="dxa" w:w="40"/>
              <w:right w:type="dxa" w:w="80"/>
            </w:tcMar>
          </w:tcPr>
          <w:p>
            <w:pPr>
              <w:spacing w:after="20"/>
              <w:jc w:val="left"/>
            </w:pPr>
            <w:r>
              <w:rPr>
                <w:b/>
                <w:bCs/>
                <w:sz w:val="18"/>
                <w:szCs w:val="18"/>
              </w:rPr>
              <w:t xml:space="preserve">Version</w:t>
            </w:r>
          </w:p>
        </w:tc>
        <w:tc>
          <w:tcPr>
            <w:tcW w:type="dxa" w:w="5100"/>
            <w:shd w:fill="E8EDF4" w:val="clear"/>
            <w:tcMar>
              <w:top w:type="dxa" w:w="40"/>
              <w:left w:type="dxa" w:w="80"/>
              <w:bottom w:type="dxa" w:w="40"/>
              <w:right w:type="dxa" w:w="80"/>
            </w:tcMar>
          </w:tcPr>
          <w:p>
            <w:pPr>
              <w:spacing w:after="20"/>
              <w:jc w:val="left"/>
            </w:pPr>
            <w:r>
              <w:rPr>
                <w:b/>
                <w:bCs/>
                <w:sz w:val="18"/>
                <w:szCs w:val="18"/>
              </w:rPr>
              <w:t xml:space="preserve">Points vérifiés</w:t>
            </w:r>
          </w:p>
        </w:tc>
        <w:tc>
          <w:tcPr>
            <w:tcW w:type="dxa" w:w="2600"/>
            <w:shd w:fill="E8EDF4" w:val="clear"/>
            <w:tcMar>
              <w:top w:type="dxa" w:w="40"/>
              <w:left w:type="dxa" w:w="80"/>
              <w:bottom w:type="dxa" w:w="40"/>
              <w:right w:type="dxa" w:w="80"/>
            </w:tcMar>
          </w:tcPr>
          <w:p>
            <w:pPr>
              <w:spacing w:after="20"/>
              <w:jc w:val="left"/>
            </w:pPr>
            <w:r>
              <w:rPr>
                <w:b/>
                <w:bCs/>
                <w:sz w:val="18"/>
                <w:szCs w:val="18"/>
              </w:rPr>
              <w:t xml:space="preserve">Verdict</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Prisma</w:t>
            </w:r>
          </w:p>
        </w:tc>
        <w:tc>
          <w:tcPr>
            <w:tcW w:type="dxa" w:w="800"/>
            <w:tcMar>
              <w:top w:type="dxa" w:w="40"/>
              <w:left w:type="dxa" w:w="80"/>
              <w:bottom w:type="dxa" w:w="40"/>
              <w:right w:type="dxa" w:w="80"/>
            </w:tcMar>
          </w:tcPr>
          <w:p>
            <w:pPr>
              <w:spacing w:after="20"/>
              <w:jc w:val="left"/>
            </w:pPr>
            <w:r>
              <w:rPr>
                <w:b w:val="false"/>
                <w:bCs w:val="false"/>
                <w:sz w:val="18"/>
                <w:szCs w:val="18"/>
              </w:rPr>
              <w:t xml:space="preserve">7.8</w:t>
            </w:r>
          </w:p>
        </w:tc>
        <w:tc>
          <w:tcPr>
            <w:tcW w:type="dxa" w:w="5100"/>
            <w:tcMar>
              <w:top w:type="dxa" w:w="40"/>
              <w:left w:type="dxa" w:w="80"/>
              <w:bottom w:type="dxa" w:w="40"/>
              <w:right w:type="dxa" w:w="80"/>
            </w:tcMar>
          </w:tcPr>
          <w:p>
            <w:pPr>
              <w:spacing w:after="20"/>
              <w:jc w:val="left"/>
            </w:pPr>
            <w:r>
              <w:rPr>
                <w:b w:val="false"/>
                <w:bCs w:val="false"/>
                <w:sz w:val="18"/>
                <w:szCs w:val="18"/>
              </w:rPr>
              <w:t xml:space="preserve">prisma.config.js avec defineConfig ; nouveau générateur prisma-client avec output obligatoire hors node_modules ; driver adapter PrismaPg({ connectionString }) ; import depuis generated/prisma/client</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 au pattern officiel Prisma 7 — y compris la transpilation esbuild du client généré (contrainte ESM/JS pur, ADR 004)</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Zod</w:t>
            </w:r>
          </w:p>
        </w:tc>
        <w:tc>
          <w:tcPr>
            <w:tcW w:type="dxa" w:w="800"/>
            <w:tcMar>
              <w:top w:type="dxa" w:w="40"/>
              <w:left w:type="dxa" w:w="80"/>
              <w:bottom w:type="dxa" w:w="40"/>
              <w:right w:type="dxa" w:w="80"/>
            </w:tcMar>
          </w:tcPr>
          <w:p>
            <w:pPr>
              <w:spacing w:after="20"/>
              <w:jc w:val="left"/>
            </w:pPr>
            <w:r>
              <w:rPr>
                <w:b w:val="false"/>
                <w:bCs w:val="false"/>
                <w:sz w:val="18"/>
                <w:szCs w:val="18"/>
              </w:rPr>
              <w:t xml:space="preserve">4.4</w:t>
            </w:r>
          </w:p>
        </w:tc>
        <w:tc>
          <w:tcPr>
            <w:tcW w:type="dxa" w:w="5100"/>
            <w:tcMar>
              <w:top w:type="dxa" w:w="40"/>
              <w:left w:type="dxa" w:w="80"/>
              <w:bottom w:type="dxa" w:w="40"/>
              <w:right w:type="dxa" w:w="80"/>
            </w:tcMar>
          </w:tcPr>
          <w:p>
            <w:pPr>
              <w:spacing w:after="20"/>
              <w:jc w:val="left"/>
            </w:pPr>
            <w:r>
              <w:rPr>
                <w:b w:val="false"/>
                <w:bCs w:val="false"/>
                <w:sz w:val="18"/>
                <w:szCs w:val="18"/>
              </w:rPr>
              <w:t xml:space="preserve">z.email() / z.url() top-level (nouvelles API v4) ; result.error.issues ; paramètres de messages</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 après correction §2.1 — aucune autre API v3 résiduelle (errorMap, required_error, invalid_type_error, nativeEnum : absents)</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Express</w:t>
            </w:r>
          </w:p>
        </w:tc>
        <w:tc>
          <w:tcPr>
            <w:tcW w:type="dxa" w:w="800"/>
            <w:tcMar>
              <w:top w:type="dxa" w:w="40"/>
              <w:left w:type="dxa" w:w="80"/>
              <w:bottom w:type="dxa" w:w="40"/>
              <w:right w:type="dxa" w:w="80"/>
            </w:tcMar>
          </w:tcPr>
          <w:p>
            <w:pPr>
              <w:spacing w:after="20"/>
              <w:jc w:val="left"/>
            </w:pPr>
            <w:r>
              <w:rPr>
                <w:b w:val="false"/>
                <w:bCs w:val="false"/>
                <w:sz w:val="18"/>
                <w:szCs w:val="18"/>
              </w:rPr>
              <w:t xml:space="preserve">5.2</w:t>
            </w:r>
          </w:p>
        </w:tc>
        <w:tc>
          <w:tcPr>
            <w:tcW w:type="dxa" w:w="5100"/>
            <w:tcMar>
              <w:top w:type="dxa" w:w="40"/>
              <w:left w:type="dxa" w:w="80"/>
              <w:bottom w:type="dxa" w:w="40"/>
              <w:right w:type="dxa" w:w="80"/>
            </w:tcMar>
          </w:tcPr>
          <w:p>
            <w:pPr>
              <w:spacing w:after="20"/>
              <w:jc w:val="left"/>
            </w:pPr>
            <w:r>
              <w:rPr>
                <w:b w:val="false"/>
                <w:bCs w:val="false"/>
                <w:sz w:val="18"/>
                <w:szCs w:val="18"/>
              </w:rPr>
              <w:t xml:space="preserve">Rejets de promesses propagés au errorHandler ; req.query non réassignable (contourné proprement dans validate) ; app.set(“trust proxy”)</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 — le middleware validate documente et gère explicitement la spécificité Express 5</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TanStack Query</w:t>
            </w:r>
          </w:p>
        </w:tc>
        <w:tc>
          <w:tcPr>
            <w:tcW w:type="dxa" w:w="800"/>
            <w:tcMar>
              <w:top w:type="dxa" w:w="40"/>
              <w:left w:type="dxa" w:w="80"/>
              <w:bottom w:type="dxa" w:w="40"/>
              <w:right w:type="dxa" w:w="80"/>
            </w:tcMar>
          </w:tcPr>
          <w:p>
            <w:pPr>
              <w:spacing w:after="20"/>
              <w:jc w:val="left"/>
            </w:pPr>
            <w:r>
              <w:rPr>
                <w:b w:val="false"/>
                <w:bCs w:val="false"/>
                <w:sz w:val="18"/>
                <w:szCs w:val="18"/>
              </w:rPr>
              <w:t xml:space="preserve">v5</w:t>
            </w:r>
          </w:p>
        </w:tc>
        <w:tc>
          <w:tcPr>
            <w:tcW w:type="dxa" w:w="5100"/>
            <w:tcMar>
              <w:top w:type="dxa" w:w="40"/>
              <w:left w:type="dxa" w:w="80"/>
              <w:bottom w:type="dxa" w:w="40"/>
              <w:right w:type="dxa" w:w="80"/>
            </w:tcMar>
          </w:tcPr>
          <w:p>
            <w:pPr>
              <w:spacing w:after="20"/>
              <w:jc w:val="left"/>
            </w:pPr>
            <w:r>
              <w:rPr>
                <w:b w:val="false"/>
                <w:bCs w:val="false"/>
                <w:sz w:val="18"/>
                <w:szCs w:val="18"/>
              </w:rPr>
              <w:t xml:space="preserve">Syntaxe objet useQuery/useMutation ; invalidateQueries({ queryKey }) ; onSuccess sur mutations uniquement (supprimé de useQuery en v5)</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 — aucun usage de cacheTime/onSuccess de query (API v4) détecté</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React Router</w:t>
            </w:r>
          </w:p>
        </w:tc>
        <w:tc>
          <w:tcPr>
            <w:tcW w:type="dxa" w:w="800"/>
            <w:tcMar>
              <w:top w:type="dxa" w:w="40"/>
              <w:left w:type="dxa" w:w="80"/>
              <w:bottom w:type="dxa" w:w="40"/>
              <w:right w:type="dxa" w:w="80"/>
            </w:tcMar>
          </w:tcPr>
          <w:p>
            <w:pPr>
              <w:spacing w:after="20"/>
              <w:jc w:val="left"/>
            </w:pPr>
            <w:r>
              <w:rPr>
                <w:b w:val="false"/>
                <w:bCs w:val="false"/>
                <w:sz w:val="18"/>
                <w:szCs w:val="18"/>
              </w:rPr>
              <w:t xml:space="preserve">v7</w:t>
            </w:r>
          </w:p>
        </w:tc>
        <w:tc>
          <w:tcPr>
            <w:tcW w:type="dxa" w:w="5100"/>
            <w:tcMar>
              <w:top w:type="dxa" w:w="40"/>
              <w:left w:type="dxa" w:w="80"/>
              <w:bottom w:type="dxa" w:w="40"/>
              <w:right w:type="dxa" w:w="80"/>
            </w:tcMar>
          </w:tcPr>
          <w:p>
            <w:pPr>
              <w:spacing w:after="20"/>
              <w:jc w:val="left"/>
            </w:pPr>
            <w:r>
              <w:rPr>
                <w:b w:val="false"/>
                <w:bCs w:val="false"/>
                <w:sz w:val="18"/>
                <w:szCs w:val="18"/>
              </w:rPr>
              <w:t xml:space="preserve">Imports depuis react-router (et non react-router-dom) ; createBrowserRouter ; layouts imbriqués avec Outlet</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Zustand</w:t>
            </w:r>
          </w:p>
        </w:tc>
        <w:tc>
          <w:tcPr>
            <w:tcW w:type="dxa" w:w="800"/>
            <w:tcMar>
              <w:top w:type="dxa" w:w="40"/>
              <w:left w:type="dxa" w:w="80"/>
              <w:bottom w:type="dxa" w:w="40"/>
              <w:right w:type="dxa" w:w="80"/>
            </w:tcMar>
          </w:tcPr>
          <w:p>
            <w:pPr>
              <w:spacing w:after="20"/>
              <w:jc w:val="left"/>
            </w:pPr>
            <w:r>
              <w:rPr>
                <w:b w:val="false"/>
                <w:bCs w:val="false"/>
                <w:sz w:val="18"/>
                <w:szCs w:val="18"/>
              </w:rPr>
              <w:t xml:space="preserve">v5</w:t>
            </w:r>
          </w:p>
        </w:tc>
        <w:tc>
          <w:tcPr>
            <w:tcW w:type="dxa" w:w="5100"/>
            <w:tcMar>
              <w:top w:type="dxa" w:w="40"/>
              <w:left w:type="dxa" w:w="80"/>
              <w:bottom w:type="dxa" w:w="40"/>
              <w:right w:type="dxa" w:w="80"/>
            </w:tcMar>
          </w:tcPr>
          <w:p>
            <w:pPr>
              <w:spacing w:after="20"/>
              <w:jc w:val="left"/>
            </w:pPr>
            <w:r>
              <w:rPr>
                <w:b w:val="false"/>
                <w:bCs w:val="false"/>
                <w:sz w:val="18"/>
                <w:szCs w:val="18"/>
              </w:rPr>
              <w:t xml:space="preserve">create((set) =&gt; …) ; sélecteurs par slice</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w:t>
            </w:r>
          </w:p>
        </w:tc>
      </w:tr>
      <w:tr>
        <w:tc>
          <w:tcPr>
            <w:tcW w:type="dxa" w:w="1500"/>
            <w:tcMar>
              <w:top w:type="dxa" w:w="40"/>
              <w:left w:type="dxa" w:w="80"/>
              <w:bottom w:type="dxa" w:w="40"/>
              <w:right w:type="dxa" w:w="80"/>
            </w:tcMar>
          </w:tcPr>
          <w:p>
            <w:pPr>
              <w:spacing w:after="20"/>
              <w:jc w:val="left"/>
            </w:pPr>
            <w:r>
              <w:rPr>
                <w:b w:val="false"/>
                <w:bCs w:val="false"/>
                <w:sz w:val="18"/>
                <w:szCs w:val="18"/>
              </w:rPr>
              <w:t xml:space="preserve">argon2</w:t>
            </w:r>
          </w:p>
        </w:tc>
        <w:tc>
          <w:tcPr>
            <w:tcW w:type="dxa" w:w="800"/>
            <w:tcMar>
              <w:top w:type="dxa" w:w="40"/>
              <w:left w:type="dxa" w:w="80"/>
              <w:bottom w:type="dxa" w:w="40"/>
              <w:right w:type="dxa" w:w="80"/>
            </w:tcMar>
          </w:tcPr>
          <w:p>
            <w:pPr>
              <w:spacing w:after="20"/>
              <w:jc w:val="left"/>
            </w:pPr>
            <w:r>
              <w:rPr>
                <w:b w:val="false"/>
                <w:bCs w:val="false"/>
                <w:sz w:val="18"/>
                <w:szCs w:val="18"/>
              </w:rPr>
              <w:t xml:space="preserve">0.44</w:t>
            </w:r>
          </w:p>
        </w:tc>
        <w:tc>
          <w:tcPr>
            <w:tcW w:type="dxa" w:w="5100"/>
            <w:tcMar>
              <w:top w:type="dxa" w:w="40"/>
              <w:left w:type="dxa" w:w="80"/>
              <w:bottom w:type="dxa" w:w="40"/>
              <w:right w:type="dxa" w:w="80"/>
            </w:tcMar>
          </w:tcPr>
          <w:p>
            <w:pPr>
              <w:spacing w:after="20"/>
              <w:jc w:val="left"/>
            </w:pPr>
            <w:r>
              <w:rPr>
                <w:b w:val="false"/>
                <w:bCs w:val="false"/>
                <w:sz w:val="18"/>
                <w:szCs w:val="18"/>
              </w:rPr>
              <w:t xml:space="preserve">argon2id, memoryCost 19 456 KiB, timeCost 2 — paramètres OWASP</w:t>
            </w:r>
          </w:p>
        </w:tc>
        <w:tc>
          <w:tcPr>
            <w:tcW w:type="dxa" w:w="2600"/>
            <w:tcMar>
              <w:top w:type="dxa" w:w="40"/>
              <w:left w:type="dxa" w:w="80"/>
              <w:bottom w:type="dxa" w:w="40"/>
              <w:right w:type="dxa" w:w="80"/>
            </w:tcMar>
          </w:tcPr>
          <w:p>
            <w:pPr>
              <w:spacing w:after="20"/>
              <w:jc w:val="left"/>
            </w:pPr>
            <w:r>
              <w:rPr>
                <w:b w:val="false"/>
                <w:bCs w:val="false"/>
                <w:sz w:val="18"/>
                <w:szCs w:val="18"/>
              </w:rPr>
              <w:t xml:space="preserve">Conforme</w:t>
            </w:r>
          </w:p>
        </w:tc>
      </w:tr>
    </w:tbl>
    <w:p>
      <w:pPr>
        <w:pageBreakBefore/>
      </w:pPr>
    </w:p>
    <w:p>
      <w:pPr>
        <w:pStyle w:val="Heading1"/>
      </w:pPr>
      <w:r>
        <w:t xml:space="preserve">4. Matrice de conformité au référentiel (REAC RNCP37873)</w:t>
      </w:r>
    </w:p>
    <w:p>
      <w:pPr>
        <w:jc w:val="both"/>
      </w:pPr>
      <w:r>
        <w:t xml:space="preserve">Statuts : Conforme = démontrable en l’état au jury · Réserve = démontrable mais une action de consolidation est recommandée avant la session.</w:t>
      </w:r>
    </w:p>
    <w:p>
      <w:pPr>
        <w:pStyle w:val="Heading2"/>
      </w:pPr>
      <w:r>
        <w:t xml:space="preserve">CCP 1 — Développer une application sécurisée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100"/>
      </w:tblGrid>
      <w:tr>
        <w:trPr>
          <w:tblHeader/>
        </w:trPr>
        <w:tc>
          <w:tcPr>
            <w:tcW w:type="dxa" w:w="2600"/>
            <w:shd w:fill="E8EDF4" w:val="clear"/>
            <w:tcMar>
              <w:top w:type="dxa" w:w="40"/>
              <w:left w:type="dxa" w:w="80"/>
              <w:bottom w:type="dxa" w:w="40"/>
              <w:right w:type="dxa" w:w="80"/>
            </w:tcMar>
          </w:tcPr>
          <w:p>
            <w:pPr>
              <w:spacing w:after="20"/>
              <w:jc w:val="left"/>
            </w:pPr>
            <w:r>
              <w:rPr>
                <w:b/>
                <w:bCs/>
                <w:sz w:val="18"/>
                <w:szCs w:val="18"/>
              </w:rPr>
              <w:t xml:space="preserve">Compétence</w:t>
            </w:r>
          </w:p>
        </w:tc>
        <w:tc>
          <w:tcPr>
            <w:tcW w:type="dxa" w:w="5300"/>
            <w:shd w:fill="E8EDF4" w:val="clear"/>
            <w:tcMar>
              <w:top w:type="dxa" w:w="40"/>
              <w:left w:type="dxa" w:w="80"/>
              <w:bottom w:type="dxa" w:w="40"/>
              <w:right w:type="dxa" w:w="80"/>
            </w:tcMar>
          </w:tcPr>
          <w:p>
            <w:pPr>
              <w:spacing w:after="20"/>
              <w:jc w:val="left"/>
            </w:pPr>
            <w:r>
              <w:rPr>
                <w:b/>
                <w:bCs/>
                <w:sz w:val="18"/>
                <w:szCs w:val="18"/>
              </w:rPr>
              <w:t xml:space="preserve">Preuves dans le dépôt</w:t>
            </w:r>
          </w:p>
        </w:tc>
        <w:tc>
          <w:tcPr>
            <w:tcW w:type="dxa" w:w="2100"/>
            <w:shd w:fill="E8EDF4" w:val="clear"/>
            <w:tcMar>
              <w:top w:type="dxa" w:w="40"/>
              <w:left w:type="dxa" w:w="80"/>
              <w:bottom w:type="dxa" w:w="40"/>
              <w:right w:type="dxa" w:w="80"/>
            </w:tcMar>
          </w:tcPr>
          <w:p>
            <w:pPr>
              <w:spacing w:after="20"/>
              <w:jc w:val="left"/>
            </w:pPr>
            <w:r>
              <w:rPr>
                <w:b/>
                <w:bCs/>
                <w:sz w:val="18"/>
                <w:szCs w:val="18"/>
              </w:rPr>
              <w:t xml:space="preserve">Statut</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Installer et configurer son environnement de travail</w:t>
            </w:r>
          </w:p>
        </w:tc>
        <w:tc>
          <w:tcPr>
            <w:tcW w:type="dxa" w:w="5300"/>
            <w:tcMar>
              <w:top w:type="dxa" w:w="40"/>
              <w:left w:type="dxa" w:w="80"/>
              <w:bottom w:type="dxa" w:w="40"/>
              <w:right w:type="dxa" w:w="80"/>
            </w:tcMar>
          </w:tcPr>
          <w:p>
            <w:pPr>
              <w:spacing w:after="20"/>
              <w:jc w:val="left"/>
            </w:pPr>
            <w:r>
              <w:rPr>
                <w:b w:val="false"/>
                <w:bCs w:val="false"/>
                <w:sz w:val="18"/>
                <w:szCs w:val="18"/>
              </w:rPr>
              <w:t xml:space="preserve">docker-compose.yml (dev hot reload), Makefile, eslint.config.js, .prettierrc, .editorconfig, npm workspaces, .env.example validé par Zod (config/env.js)</w:t>
            </w:r>
          </w:p>
        </w:tc>
        <w:tc>
          <w:tcPr>
            <w:tcW w:type="dxa" w:w="2100"/>
            <w:tcMar>
              <w:top w:type="dxa" w:w="40"/>
              <w:left w:type="dxa" w:w="80"/>
              <w:bottom w:type="dxa" w:w="40"/>
              <w:right w:type="dxa" w:w="80"/>
            </w:tcMar>
          </w:tcPr>
          <w:p>
            <w:pPr>
              <w:spacing w:after="20"/>
              <w:jc w:val="left"/>
            </w:pPr>
            <w:r>
              <w:rPr>
                <w:b w:val="false"/>
                <w:bCs w:val="false"/>
                <w:sz w:val="18"/>
                <w:szCs w:val="18"/>
              </w:rPr>
              <w:t xml:space="preserve">Conforme</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Développer des interfaces utilisateur</w:t>
            </w:r>
          </w:p>
        </w:tc>
        <w:tc>
          <w:tcPr>
            <w:tcW w:type="dxa" w:w="5300"/>
            <w:tcMar>
              <w:top w:type="dxa" w:w="40"/>
              <w:left w:type="dxa" w:w="80"/>
              <w:bottom w:type="dxa" w:w="40"/>
              <w:right w:type="dxa" w:w="80"/>
            </w:tcMar>
          </w:tcPr>
          <w:p>
            <w:pPr>
              <w:spacing w:after="20"/>
              <w:jc w:val="left"/>
            </w:pPr>
            <w:r>
              <w:rPr>
                <w:b w:val="false"/>
                <w:bCs w:val="false"/>
                <w:sz w:val="18"/>
                <w:szCs w:val="18"/>
              </w:rPr>
              <w:t xml:space="preserve">20+ écrans React sur 4 rôles (apps/web/src/features/), design system (docs/design-system.md), formulaires react-hook-form + zodResolver, guards par rôle, états vides, badges sémantiques</w:t>
            </w:r>
          </w:p>
        </w:tc>
        <w:tc>
          <w:tcPr>
            <w:tcW w:type="dxa" w:w="2100"/>
            <w:tcMar>
              <w:top w:type="dxa" w:w="40"/>
              <w:left w:type="dxa" w:w="80"/>
              <w:bottom w:type="dxa" w:w="40"/>
              <w:right w:type="dxa" w:w="80"/>
            </w:tcMar>
          </w:tcPr>
          <w:p>
            <w:pPr>
              <w:spacing w:after="20"/>
              <w:jc w:val="left"/>
            </w:pPr>
            <w:r>
              <w:rPr>
                <w:b w:val="false"/>
                <w:bCs w:val="false"/>
                <w:sz w:val="18"/>
                <w:szCs w:val="18"/>
              </w:rPr>
              <w:t xml:space="preserve">Réserve : audit d’accessibilité RGAA prévu (T-A.1/T-A.2) non encore consigné</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Développer des composants métier</w:t>
            </w:r>
          </w:p>
        </w:tc>
        <w:tc>
          <w:tcPr>
            <w:tcW w:type="dxa" w:w="5300"/>
            <w:tcMar>
              <w:top w:type="dxa" w:w="40"/>
              <w:left w:type="dxa" w:w="80"/>
              <w:bottom w:type="dxa" w:w="40"/>
              <w:right w:type="dxa" w:w="80"/>
            </w:tcMar>
          </w:tcPr>
          <w:p>
            <w:pPr>
              <w:spacing w:after="20"/>
              <w:jc w:val="left"/>
            </w:pPr>
            <w:r>
              <w:rPr>
                <w:b w:val="false"/>
                <w:bCs w:val="false"/>
                <w:sz w:val="18"/>
                <w:szCs w:val="18"/>
              </w:rPr>
              <w:t xml:space="preserve">Services purs testés : horseAssignment.js (scoring), recurrence.js, pricing.js ; JSDoc systématique ; AppError opérationnelle</w:t>
            </w:r>
          </w:p>
        </w:tc>
        <w:tc>
          <w:tcPr>
            <w:tcW w:type="dxa" w:w="2100"/>
            <w:tcMar>
              <w:top w:type="dxa" w:w="40"/>
              <w:left w:type="dxa" w:w="80"/>
              <w:bottom w:type="dxa" w:w="40"/>
              <w:right w:type="dxa" w:w="80"/>
            </w:tcMar>
          </w:tcPr>
          <w:p>
            <w:pPr>
              <w:spacing w:after="20"/>
              <w:jc w:val="left"/>
            </w:pPr>
            <w:r>
              <w:rPr>
                <w:b w:val="false"/>
                <w:bCs w:val="false"/>
                <w:sz w:val="18"/>
                <w:szCs w:val="18"/>
              </w:rPr>
              <w:t xml:space="preserve">Conforme</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Contribuer à la gestion d’un projet informatique</w:t>
            </w:r>
          </w:p>
        </w:tc>
        <w:tc>
          <w:tcPr>
            <w:tcW w:type="dxa" w:w="5300"/>
            <w:tcMar>
              <w:top w:type="dxa" w:w="40"/>
              <w:left w:type="dxa" w:w="80"/>
              <w:bottom w:type="dxa" w:w="40"/>
              <w:right w:type="dxa" w:w="80"/>
            </w:tcMar>
          </w:tcPr>
          <w:p>
            <w:pPr>
              <w:spacing w:after="20"/>
              <w:jc w:val="left"/>
            </w:pPr>
            <w:r>
              <w:rPr>
                <w:b w:val="false"/>
                <w:bCs w:val="false"/>
                <w:sz w:val="18"/>
                <w:szCs w:val="18"/>
              </w:rPr>
              <w:t xml:space="preserve">backlog.md (31 US MoSCoW, sprints S0-S7), gantt.md (jalons, risques), traceabilite.md, GitFlow + commits conventionnels</w:t>
            </w:r>
          </w:p>
        </w:tc>
        <w:tc>
          <w:tcPr>
            <w:tcW w:type="dxa" w:w="2100"/>
            <w:tcMar>
              <w:top w:type="dxa" w:w="40"/>
              <w:left w:type="dxa" w:w="80"/>
              <w:bottom w:type="dxa" w:w="40"/>
              <w:right w:type="dxa" w:w="80"/>
            </w:tcMar>
          </w:tcPr>
          <w:p>
            <w:pPr>
              <w:spacing w:after="20"/>
              <w:jc w:val="left"/>
            </w:pPr>
            <w:r>
              <w:rPr>
                <w:b w:val="false"/>
                <w:bCs w:val="false"/>
                <w:sz w:val="18"/>
                <w:szCs w:val="18"/>
              </w:rPr>
              <w:t xml:space="preserve">Conforme</w:t>
            </w:r>
          </w:p>
        </w:tc>
      </w:tr>
    </w:tbl>
    <w:p>
      <w:pPr>
        <w:pStyle w:val="Heading2"/>
      </w:pPr>
      <w:r>
        <w:t xml:space="preserve">CCP 2 — Concevoir et développer une application sécurisée organisée en couches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100"/>
      </w:tblGrid>
      <w:tr>
        <w:trPr>
          <w:tblHeader/>
        </w:trPr>
        <w:tc>
          <w:tcPr>
            <w:tcW w:type="dxa" w:w="2600"/>
            <w:shd w:fill="E8EDF4" w:val="clear"/>
            <w:tcMar>
              <w:top w:type="dxa" w:w="40"/>
              <w:left w:type="dxa" w:w="80"/>
              <w:bottom w:type="dxa" w:w="40"/>
              <w:right w:type="dxa" w:w="80"/>
            </w:tcMar>
          </w:tcPr>
          <w:p>
            <w:pPr>
              <w:spacing w:after="20"/>
              <w:jc w:val="left"/>
            </w:pPr>
            <w:r>
              <w:rPr>
                <w:b/>
                <w:bCs/>
                <w:sz w:val="18"/>
                <w:szCs w:val="18"/>
              </w:rPr>
              <w:t xml:space="preserve">Compétence</w:t>
            </w:r>
          </w:p>
        </w:tc>
        <w:tc>
          <w:tcPr>
            <w:tcW w:type="dxa" w:w="5300"/>
            <w:shd w:fill="E8EDF4" w:val="clear"/>
            <w:tcMar>
              <w:top w:type="dxa" w:w="40"/>
              <w:left w:type="dxa" w:w="80"/>
              <w:bottom w:type="dxa" w:w="40"/>
              <w:right w:type="dxa" w:w="80"/>
            </w:tcMar>
          </w:tcPr>
          <w:p>
            <w:pPr>
              <w:spacing w:after="20"/>
              <w:jc w:val="left"/>
            </w:pPr>
            <w:r>
              <w:rPr>
                <w:b/>
                <w:bCs/>
                <w:sz w:val="18"/>
                <w:szCs w:val="18"/>
              </w:rPr>
              <w:t xml:space="preserve">Preuves dans le dépôt</w:t>
            </w:r>
          </w:p>
        </w:tc>
        <w:tc>
          <w:tcPr>
            <w:tcW w:type="dxa" w:w="2100"/>
            <w:shd w:fill="E8EDF4" w:val="clear"/>
            <w:tcMar>
              <w:top w:type="dxa" w:w="40"/>
              <w:left w:type="dxa" w:w="80"/>
              <w:bottom w:type="dxa" w:w="40"/>
              <w:right w:type="dxa" w:w="80"/>
            </w:tcMar>
          </w:tcPr>
          <w:p>
            <w:pPr>
              <w:spacing w:after="20"/>
              <w:jc w:val="left"/>
            </w:pPr>
            <w:r>
              <w:rPr>
                <w:b/>
                <w:bCs/>
                <w:sz w:val="18"/>
                <w:szCs w:val="18"/>
              </w:rPr>
              <w:t xml:space="preserve">Statut</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Analyser les besoins et maquetter une application</w:t>
            </w:r>
          </w:p>
        </w:tc>
        <w:tc>
          <w:tcPr>
            <w:tcW w:type="dxa" w:w="5300"/>
            <w:tcMar>
              <w:top w:type="dxa" w:w="40"/>
              <w:left w:type="dxa" w:w="80"/>
              <w:bottom w:type="dxa" w:w="40"/>
              <w:right w:type="dxa" w:w="80"/>
            </w:tcMar>
          </w:tcPr>
          <w:p>
            <w:pPr>
              <w:spacing w:after="20"/>
              <w:jc w:val="left"/>
            </w:pPr>
            <w:r>
              <w:rPr>
                <w:b w:val="false"/>
                <w:bCs w:val="false"/>
                <w:sz w:val="18"/>
                <w:szCs w:val="18"/>
              </w:rPr>
              <w:t xml:space="preserve">Expression de besoin + US avec critères d’acceptation (backlog.md), cas d’utilisation par rôle (docs/uml/), design system</w:t>
            </w:r>
          </w:p>
        </w:tc>
        <w:tc>
          <w:tcPr>
            <w:tcW w:type="dxa" w:w="2100"/>
            <w:tcMar>
              <w:top w:type="dxa" w:w="40"/>
              <w:left w:type="dxa" w:w="80"/>
              <w:bottom w:type="dxa" w:w="40"/>
              <w:right w:type="dxa" w:w="80"/>
            </w:tcMar>
          </w:tcPr>
          <w:p>
            <w:pPr>
              <w:spacing w:after="20"/>
              <w:jc w:val="left"/>
            </w:pPr>
            <w:r>
              <w:rPr>
                <w:b w:val="false"/>
                <w:bCs w:val="false"/>
                <w:sz w:val="18"/>
                <w:szCs w:val="18"/>
              </w:rPr>
              <w:t xml:space="preserve">Réserve : pas de maquettes/wireframes formalisés — combler par les captures d’écran légendées dans le dossier de projet (emplacements prévus)</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Définir l’architecture logicielle</w:t>
            </w:r>
          </w:p>
        </w:tc>
        <w:tc>
          <w:tcPr>
            <w:tcW w:type="dxa" w:w="5300"/>
            <w:tcMar>
              <w:top w:type="dxa" w:w="40"/>
              <w:left w:type="dxa" w:w="80"/>
              <w:bottom w:type="dxa" w:w="40"/>
              <w:right w:type="dxa" w:w="80"/>
            </w:tcMar>
          </w:tcPr>
          <w:p>
            <w:pPr>
              <w:spacing w:after="20"/>
              <w:jc w:val="left"/>
            </w:pPr>
            <w:r>
              <w:rPr>
                <w:b w:val="false"/>
                <w:bCs w:val="false"/>
                <w:sz w:val="18"/>
                <w:szCs w:val="18"/>
              </w:rPr>
              <w:t xml:space="preserve">docs/architecture.md (couches, 3 environnements, CI/CD), 5 ADR argumentés, diagrammes Mermaid</w:t>
            </w:r>
          </w:p>
        </w:tc>
        <w:tc>
          <w:tcPr>
            <w:tcW w:type="dxa" w:w="2100"/>
            <w:tcMar>
              <w:top w:type="dxa" w:w="40"/>
              <w:left w:type="dxa" w:w="80"/>
              <w:bottom w:type="dxa" w:w="40"/>
              <w:right w:type="dxa" w:w="80"/>
            </w:tcMar>
          </w:tcPr>
          <w:p>
            <w:pPr>
              <w:spacing w:after="20"/>
              <w:jc w:val="left"/>
            </w:pPr>
            <w:r>
              <w:rPr>
                <w:b w:val="false"/>
                <w:bCs w:val="false"/>
                <w:sz w:val="18"/>
                <w:szCs w:val="18"/>
              </w:rPr>
              <w:t xml:space="preserve">Conforme</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Concevoir et mettre en place une BDD relationnelle</w:t>
            </w:r>
          </w:p>
        </w:tc>
        <w:tc>
          <w:tcPr>
            <w:tcW w:type="dxa" w:w="5300"/>
            <w:tcMar>
              <w:top w:type="dxa" w:w="40"/>
              <w:left w:type="dxa" w:w="80"/>
              <w:bottom w:type="dxa" w:w="40"/>
              <w:right w:type="dxa" w:w="80"/>
            </w:tcMar>
          </w:tcPr>
          <w:p>
            <w:pPr>
              <w:spacing w:after="20"/>
              <w:jc w:val="left"/>
            </w:pPr>
            <w:r>
              <w:rPr>
                <w:b w:val="false"/>
                <w:bCs w:val="false"/>
                <w:sz w:val="18"/>
                <w:szCs w:val="18"/>
              </w:rPr>
              <w:t xml:space="preserve">Merise complet (mcd.md, mld.md, mpd.md), schema.prisma (26 modèles), 4 migrations SQL versionnées, seed dev + seed recette</w:t>
            </w:r>
          </w:p>
        </w:tc>
        <w:tc>
          <w:tcPr>
            <w:tcW w:type="dxa" w:w="2100"/>
            <w:tcMar>
              <w:top w:type="dxa" w:w="40"/>
              <w:left w:type="dxa" w:w="80"/>
              <w:bottom w:type="dxa" w:w="40"/>
              <w:right w:type="dxa" w:w="80"/>
            </w:tcMar>
          </w:tcPr>
          <w:p>
            <w:pPr>
              <w:spacing w:after="20"/>
              <w:jc w:val="left"/>
            </w:pPr>
            <w:r>
              <w:rPr>
                <w:b w:val="false"/>
                <w:bCs w:val="false"/>
                <w:sz w:val="18"/>
                <w:szCs w:val="18"/>
              </w:rPr>
              <w:t xml:space="preserve">Conforme</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Développer des composants d’accès aux données SQL et NoSQL</w:t>
            </w:r>
          </w:p>
        </w:tc>
        <w:tc>
          <w:tcPr>
            <w:tcW w:type="dxa" w:w="5300"/>
            <w:tcMar>
              <w:top w:type="dxa" w:w="40"/>
              <w:left w:type="dxa" w:w="80"/>
              <w:bottom w:type="dxa" w:w="40"/>
              <w:right w:type="dxa" w:w="80"/>
            </w:tcMar>
          </w:tcPr>
          <w:p>
            <w:pPr>
              <w:spacing w:after="20"/>
              <w:jc w:val="left"/>
            </w:pPr>
            <w:r>
              <w:rPr>
                <w:b w:val="false"/>
                <w:bCs w:val="false"/>
                <w:sz w:val="18"/>
                <w:szCs w:val="18"/>
              </w:rPr>
              <w:t xml:space="preserve">SQL : Prisma 7 + transactions (attribution, inscription+famille) ; NoSQL : Redis — blacklist jti, rate limiting, cache planning avec invalidation (planningCache.js)</w:t>
            </w:r>
          </w:p>
        </w:tc>
        <w:tc>
          <w:tcPr>
            <w:tcW w:type="dxa" w:w="2100"/>
            <w:tcMar>
              <w:top w:type="dxa" w:w="40"/>
              <w:left w:type="dxa" w:w="80"/>
              <w:bottom w:type="dxa" w:w="40"/>
              <w:right w:type="dxa" w:w="80"/>
            </w:tcMar>
          </w:tcPr>
          <w:p>
            <w:pPr>
              <w:spacing w:after="20"/>
              <w:jc w:val="left"/>
            </w:pPr>
            <w:r>
              <w:rPr>
                <w:b w:val="false"/>
                <w:bCs w:val="false"/>
                <w:sz w:val="18"/>
                <w:szCs w:val="18"/>
              </w:rPr>
              <w:t xml:space="preserve">Conforme — bien expliciter à l’oral que Redis EST le composant NoSQL</w:t>
            </w:r>
          </w:p>
        </w:tc>
      </w:tr>
    </w:tbl>
    <w:p>
      <w:pPr>
        <w:pStyle w:val="Heading2"/>
      </w:pPr>
      <w:r>
        <w:t xml:space="preserve">CCP 3 — Préparer le déploiement d’une application sécurisée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100"/>
      </w:tblGrid>
      <w:tr>
        <w:trPr>
          <w:tblHeader/>
        </w:trPr>
        <w:tc>
          <w:tcPr>
            <w:tcW w:type="dxa" w:w="2600"/>
            <w:shd w:fill="E8EDF4" w:val="clear"/>
            <w:tcMar>
              <w:top w:type="dxa" w:w="40"/>
              <w:left w:type="dxa" w:w="80"/>
              <w:bottom w:type="dxa" w:w="40"/>
              <w:right w:type="dxa" w:w="80"/>
            </w:tcMar>
          </w:tcPr>
          <w:p>
            <w:pPr>
              <w:spacing w:after="20"/>
              <w:jc w:val="left"/>
            </w:pPr>
            <w:r>
              <w:rPr>
                <w:b/>
                <w:bCs/>
                <w:sz w:val="18"/>
                <w:szCs w:val="18"/>
              </w:rPr>
              <w:t xml:space="preserve">Compétence</w:t>
            </w:r>
          </w:p>
        </w:tc>
        <w:tc>
          <w:tcPr>
            <w:tcW w:type="dxa" w:w="5300"/>
            <w:shd w:fill="E8EDF4" w:val="clear"/>
            <w:tcMar>
              <w:top w:type="dxa" w:w="40"/>
              <w:left w:type="dxa" w:w="80"/>
              <w:bottom w:type="dxa" w:w="40"/>
              <w:right w:type="dxa" w:w="80"/>
            </w:tcMar>
          </w:tcPr>
          <w:p>
            <w:pPr>
              <w:spacing w:after="20"/>
              <w:jc w:val="left"/>
            </w:pPr>
            <w:r>
              <w:rPr>
                <w:b/>
                <w:bCs/>
                <w:sz w:val="18"/>
                <w:szCs w:val="18"/>
              </w:rPr>
              <w:t xml:space="preserve">Preuves dans le dépôt</w:t>
            </w:r>
          </w:p>
        </w:tc>
        <w:tc>
          <w:tcPr>
            <w:tcW w:type="dxa" w:w="2100"/>
            <w:shd w:fill="E8EDF4" w:val="clear"/>
            <w:tcMar>
              <w:top w:type="dxa" w:w="40"/>
              <w:left w:type="dxa" w:w="80"/>
              <w:bottom w:type="dxa" w:w="40"/>
              <w:right w:type="dxa" w:w="80"/>
            </w:tcMar>
          </w:tcPr>
          <w:p>
            <w:pPr>
              <w:spacing w:after="20"/>
              <w:jc w:val="left"/>
            </w:pPr>
            <w:r>
              <w:rPr>
                <w:b/>
                <w:bCs/>
                <w:sz w:val="18"/>
                <w:szCs w:val="18"/>
              </w:rPr>
              <w:t xml:space="preserve">Statut</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Préparer et exécuter les plans de tests</w:t>
            </w:r>
          </w:p>
        </w:tc>
        <w:tc>
          <w:tcPr>
            <w:tcW w:type="dxa" w:w="5300"/>
            <w:tcMar>
              <w:top w:type="dxa" w:w="40"/>
              <w:left w:type="dxa" w:w="80"/>
              <w:bottom w:type="dxa" w:w="40"/>
              <w:right w:type="dxa" w:w="80"/>
            </w:tcMar>
          </w:tcPr>
          <w:p>
            <w:pPr>
              <w:spacing w:after="20"/>
              <w:jc w:val="left"/>
            </w:pPr>
            <w:r>
              <w:rPr>
                <w:b w:val="false"/>
                <w:bCs w:val="false"/>
                <w:sz w:val="18"/>
                <w:szCs w:val="18"/>
              </w:rPr>
              <w:t xml:space="preserve">cahier-de-tests.md (60+ scénarios reliés aux US), 88 tests Vitest/Supertest, couverture ≥ 70 % bloquante en CI, 4 parcours Playwright, cahier-de-recette.md</w:t>
            </w:r>
          </w:p>
        </w:tc>
        <w:tc>
          <w:tcPr>
            <w:tcW w:type="dxa" w:w="2100"/>
            <w:tcMar>
              <w:top w:type="dxa" w:w="40"/>
              <w:left w:type="dxa" w:w="80"/>
              <w:bottom w:type="dxa" w:w="40"/>
              <w:right w:type="dxa" w:w="80"/>
            </w:tcMar>
          </w:tcPr>
          <w:p>
            <w:pPr>
              <w:spacing w:after="20"/>
              <w:jc w:val="left"/>
            </w:pPr>
            <w:r>
              <w:rPr>
                <w:b w:val="false"/>
                <w:bCs w:val="false"/>
                <w:sz w:val="18"/>
                <w:szCs w:val="18"/>
              </w:rPr>
              <w:t xml:space="preserve">Réserve : la recette préproduction comporte des scénarios non exécutés (statut ⬜) — à dérouler et consigner avant la session</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Préparer et documenter le déploiement</w:t>
            </w:r>
          </w:p>
        </w:tc>
        <w:tc>
          <w:tcPr>
            <w:tcW w:type="dxa" w:w="5300"/>
            <w:tcMar>
              <w:top w:type="dxa" w:w="40"/>
              <w:left w:type="dxa" w:w="80"/>
              <w:bottom w:type="dxa" w:w="40"/>
              <w:right w:type="dxa" w:w="80"/>
            </w:tcMar>
          </w:tcPr>
          <w:p>
            <w:pPr>
              <w:spacing w:after="20"/>
              <w:jc w:val="left"/>
            </w:pPr>
            <w:r>
              <w:rPr>
                <w:b w:val="false"/>
                <w:bCs w:val="false"/>
                <w:sz w:val="18"/>
                <w:szCs w:val="18"/>
              </w:rPr>
              <w:t xml:space="preserve">Dockerfiles multi-stage non-root, compose préprod/prod, configs Nginx (docker/nginx/), README (quickstart), .env.*.example</w:t>
            </w:r>
          </w:p>
        </w:tc>
        <w:tc>
          <w:tcPr>
            <w:tcW w:type="dxa" w:w="2100"/>
            <w:tcMar>
              <w:top w:type="dxa" w:w="40"/>
              <w:left w:type="dxa" w:w="80"/>
              <w:bottom w:type="dxa" w:w="40"/>
              <w:right w:type="dxa" w:w="80"/>
            </w:tcMar>
          </w:tcPr>
          <w:p>
            <w:pPr>
              <w:spacing w:after="20"/>
              <w:jc w:val="left"/>
            </w:pPr>
            <w:r>
              <w:rPr>
                <w:b w:val="false"/>
                <w:bCs w:val="false"/>
                <w:sz w:val="18"/>
                <w:szCs w:val="18"/>
              </w:rPr>
              <w:t xml:space="preserve">Réserve : SSL/HSTS à valider en situation réelle sur le VPS</w:t>
            </w:r>
          </w:p>
        </w:tc>
      </w:tr>
      <w:tr>
        <w:tc>
          <w:tcPr>
            <w:tcW w:type="dxa" w:w="2600"/>
            <w:tcMar>
              <w:top w:type="dxa" w:w="40"/>
              <w:left w:type="dxa" w:w="80"/>
              <w:bottom w:type="dxa" w:w="40"/>
              <w:right w:type="dxa" w:w="80"/>
            </w:tcMar>
          </w:tcPr>
          <w:p>
            <w:pPr>
              <w:spacing w:after="20"/>
              <w:jc w:val="left"/>
            </w:pPr>
            <w:r>
              <w:rPr>
                <w:b w:val="false"/>
                <w:bCs w:val="false"/>
                <w:sz w:val="18"/>
                <w:szCs w:val="18"/>
              </w:rPr>
              <w:t xml:space="preserve">Contribuer à la mise en production dans une démarche DevOps</w:t>
            </w:r>
          </w:p>
        </w:tc>
        <w:tc>
          <w:tcPr>
            <w:tcW w:type="dxa" w:w="5300"/>
            <w:tcMar>
              <w:top w:type="dxa" w:w="40"/>
              <w:left w:type="dxa" w:w="80"/>
              <w:bottom w:type="dxa" w:w="40"/>
              <w:right w:type="dxa" w:w="80"/>
            </w:tcMar>
          </w:tcPr>
          <w:p>
            <w:pPr>
              <w:spacing w:after="20"/>
              <w:jc w:val="left"/>
            </w:pPr>
            <w:r>
              <w:rPr>
                <w:b w:val="false"/>
                <w:bCs w:val="false"/>
                <w:sz w:val="18"/>
                <w:szCs w:val="18"/>
              </w:rPr>
              <w:t xml:space="preserve">ci.yml : lint, format, tests avec services PG 17 + Redis 7, couverture, build web, job E2E avec artefact, build d’images ghcr.io ; GitFlow</w:t>
            </w:r>
          </w:p>
        </w:tc>
        <w:tc>
          <w:tcPr>
            <w:tcW w:type="dxa" w:w="2100"/>
            <w:tcMar>
              <w:top w:type="dxa" w:w="40"/>
              <w:left w:type="dxa" w:w="80"/>
              <w:bottom w:type="dxa" w:w="40"/>
              <w:right w:type="dxa" w:w="80"/>
            </w:tcMar>
          </w:tcPr>
          <w:p>
            <w:pPr>
              <w:spacing w:after="20"/>
              <w:jc w:val="left"/>
            </w:pPr>
            <w:r>
              <w:rPr>
                <w:b w:val="false"/>
                <w:bCs w:val="false"/>
                <w:sz w:val="18"/>
                <w:szCs w:val="18"/>
              </w:rPr>
              <w:t xml:space="preserve">Réserve : workflows de déploiement auto préprod (develop) et prod avec approbation (main) restants — assumé dans le backlog Phase 6</w:t>
            </w:r>
          </w:p>
        </w:tc>
      </w:tr>
    </w:tbl>
    <w:p>
      <w:pPr>
        <w:pageBreakBefore/>
      </w:pPr>
    </w:p>
    <w:p>
      <w:pPr>
        <w:pStyle w:val="Heading1"/>
      </w:pPr>
      <w:r>
        <w:t xml:space="preserve">5. Attendus du dossier de projet et plan d’action avant la session</w:t>
      </w:r>
    </w:p>
    <w:p>
      <w:pPr>
        <w:pStyle w:val="Heading2"/>
      </w:pPr>
      <w:r>
        <w:t xml:space="preserve">5.1 Conformité aux attendus du dossier</w:t>
      </w:r>
    </w:p>
    <w:p>
      <w:pPr>
        <w:jc w:val="both"/>
      </w:pPr>
      <w:r>
        <w:t xml:space="preserve">Le référentiel d’évaluation attend un dossier de projet contenant notamment : la liste des compétences mises en œuvre, le cahier des charges ou l’expression du besoin, la gestion de projet, les spécifications fonctionnelles (contexte, contraintes, livrables, architecture, maquettes et leur enchaînement, modèle entités-associations et modèle physique, script SQL, diagrammes de cas d’utilisation et de séquence), les spécifications techniques y compris sécurité, les réalisations avec extraits de code argumentés, le jeu d’essai de la fonctionnalité la plus représentative (entrées, attendu, obtenu), des extraits du plan de tests, la description de la veille — dont la veille sécurité sur les vulnérabilités — et une recherche effectuée en anglais avec sa synthèse en français.</w:t>
      </w:r>
    </w:p>
    <w:p>
      <w:pPr>
        <w:jc w:val="both"/>
      </w:pPr>
      <w:r>
        <w:t xml:space="preserve">Le dossier de projet joint (Equime-Dossier-de-projet-CDA.docx) couvre chacun de ces points à partir du contenu réel du dépôt. Trois emplacements y sont réservés, signalés en rouge, qui ne peuvent pas être produits automatiquement :</w:t>
      </w:r>
    </w:p>
    <w:p>
      <w:pPr>
        <w:pStyle w:val="ListParagraph"/>
        <w:numPr>
          <w:ilvl w:val="0"/>
          <w:numId w:val="2"/>
        </w:numPr>
        <w:jc w:val="both"/>
      </w:pPr>
      <w:r>
        <w:t xml:space="preserve">Captures d’écran des interfaces (chapitre 8 du dossier) — 8 captures légendées recommandées ; elles tiennent aussi lieu de maquettes finales pour la compétence « maquetter ».</w:t>
      </w:r>
    </w:p>
    <w:p>
      <w:pPr>
        <w:pStyle w:val="ListParagraph"/>
        <w:numPr>
          <w:ilvl w:val="0"/>
          <w:numId w:val="2"/>
        </w:numPr>
        <w:jc w:val="both"/>
      </w:pPr>
      <w:r>
        <w:t xml:space="preserve">Maquettes/wireframes initiaux (chapitre 4.4) — si tu en as réalisé (papier, Figma), les insérer ; sinon supprimer l’emplacement, le chapitre renvoie déjà aux captures.</w:t>
      </w:r>
    </w:p>
    <w:p>
      <w:pPr>
        <w:pStyle w:val="ListParagraph"/>
        <w:numPr>
          <w:ilvl w:val="0"/>
          <w:numId w:val="2"/>
        </w:numPr>
        <w:jc w:val="both"/>
      </w:pPr>
      <w:r>
        <w:t xml:space="preserve">Fiche descriptive de projet fournie par le centre de formation (annexe C).</w:t>
      </w:r>
    </w:p>
    <w:p>
      <w:pPr>
        <w:pStyle w:val="Heading2"/>
      </w:pPr>
      <w:r>
        <w:t xml:space="preserve">5.2 Plan d’action priorisé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1500"/>
        <w:gridCol w:w="2300"/>
      </w:tblGrid>
      <w:tr>
        <w:trPr>
          <w:tblHeader/>
        </w:trPr>
        <w:tc>
          <w:tcPr>
            <w:tcW w:type="dxa" w:w="500"/>
            <w:shd w:fill="E8EDF4" w:val="clear"/>
            <w:tcMar>
              <w:top w:type="dxa" w:w="40"/>
              <w:left w:type="dxa" w:w="80"/>
              <w:bottom w:type="dxa" w:w="40"/>
              <w:right w:type="dxa" w:w="80"/>
            </w:tcMar>
          </w:tcPr>
          <w:p>
            <w:pPr>
              <w:spacing w:after="20"/>
              <w:jc w:val="left"/>
            </w:pPr>
            <w:r>
              <w:rPr>
                <w:b/>
                <w:bCs/>
                <w:sz w:val="18"/>
                <w:szCs w:val="18"/>
              </w:rPr>
              <w:t xml:space="preserve">#</w:t>
            </w:r>
          </w:p>
        </w:tc>
        <w:tc>
          <w:tcPr>
            <w:tcW w:type="dxa" w:w="5700"/>
            <w:shd w:fill="E8EDF4" w:val="clear"/>
            <w:tcMar>
              <w:top w:type="dxa" w:w="40"/>
              <w:left w:type="dxa" w:w="80"/>
              <w:bottom w:type="dxa" w:w="40"/>
              <w:right w:type="dxa" w:w="80"/>
            </w:tcMar>
          </w:tcPr>
          <w:p>
            <w:pPr>
              <w:spacing w:after="20"/>
              <w:jc w:val="left"/>
            </w:pPr>
            <w:r>
              <w:rPr>
                <w:b/>
                <w:bCs/>
                <w:sz w:val="18"/>
                <w:szCs w:val="18"/>
              </w:rPr>
              <w:t xml:space="preserve">Action</w:t>
            </w:r>
          </w:p>
        </w:tc>
        <w:tc>
          <w:tcPr>
            <w:tcW w:type="dxa" w:w="1500"/>
            <w:shd w:fill="E8EDF4" w:val="clear"/>
            <w:tcMar>
              <w:top w:type="dxa" w:w="40"/>
              <w:left w:type="dxa" w:w="80"/>
              <w:bottom w:type="dxa" w:w="40"/>
              <w:right w:type="dxa" w:w="80"/>
            </w:tcMar>
          </w:tcPr>
          <w:p>
            <w:pPr>
              <w:spacing w:after="20"/>
              <w:jc w:val="left"/>
            </w:pPr>
            <w:r>
              <w:rPr>
                <w:b/>
                <w:bCs/>
                <w:sz w:val="18"/>
                <w:szCs w:val="18"/>
              </w:rPr>
              <w:t xml:space="preserve">Effort</w:t>
            </w:r>
          </w:p>
        </w:tc>
        <w:tc>
          <w:tcPr>
            <w:tcW w:type="dxa" w:w="2300"/>
            <w:shd w:fill="E8EDF4" w:val="clear"/>
            <w:tcMar>
              <w:top w:type="dxa" w:w="40"/>
              <w:left w:type="dxa" w:w="80"/>
              <w:bottom w:type="dxa" w:w="40"/>
              <w:right w:type="dxa" w:w="80"/>
            </w:tcMar>
          </w:tcPr>
          <w:p>
            <w:pPr>
              <w:spacing w:after="20"/>
              <w:jc w:val="left"/>
            </w:pPr>
            <w:r>
              <w:rPr>
                <w:b/>
                <w:bCs/>
                <w:sz w:val="18"/>
                <w:szCs w:val="18"/>
              </w:rPr>
              <w:t xml:space="preserve">Échéance conseillée</w:t>
            </w:r>
          </w:p>
        </w:tc>
      </w:tr>
      <w:tr>
        <w:tc>
          <w:tcPr>
            <w:tcW w:type="dxa" w:w="500"/>
            <w:tcMar>
              <w:top w:type="dxa" w:w="40"/>
              <w:left w:type="dxa" w:w="80"/>
              <w:bottom w:type="dxa" w:w="40"/>
              <w:right w:type="dxa" w:w="80"/>
            </w:tcMar>
          </w:tcPr>
          <w:p>
            <w:pPr>
              <w:spacing w:after="20"/>
              <w:jc w:val="left"/>
            </w:pPr>
            <w:r>
              <w:rPr>
                <w:b w:val="false"/>
                <w:bCs w:val="false"/>
                <w:sz w:val="18"/>
                <w:szCs w:val="18"/>
              </w:rPr>
              <w:t xml:space="preserve">1</w:t>
            </w:r>
          </w:p>
        </w:tc>
        <w:tc>
          <w:tcPr>
            <w:tcW w:type="dxa" w:w="5700"/>
            <w:tcMar>
              <w:top w:type="dxa" w:w="40"/>
              <w:left w:type="dxa" w:w="80"/>
              <w:bottom w:type="dxa" w:w="40"/>
              <w:right w:type="dxa" w:w="80"/>
            </w:tcMar>
          </w:tcPr>
          <w:p>
            <w:pPr>
              <w:spacing w:after="20"/>
              <w:jc w:val="left"/>
            </w:pPr>
            <w:r>
              <w:rPr>
                <w:b w:val="false"/>
                <w:bCs w:val="false"/>
                <w:sz w:val="18"/>
                <w:szCs w:val="18"/>
              </w:rPr>
              <w:t xml:space="preserve">Insérer les captures d’écran + fiche descriptive dans le dossier de projet, relire, viser 35-45 pages hors annexes</w:t>
            </w:r>
          </w:p>
        </w:tc>
        <w:tc>
          <w:tcPr>
            <w:tcW w:type="dxa" w:w="1500"/>
            <w:tcMar>
              <w:top w:type="dxa" w:w="40"/>
              <w:left w:type="dxa" w:w="80"/>
              <w:bottom w:type="dxa" w:w="40"/>
              <w:right w:type="dxa" w:w="80"/>
            </w:tcMar>
          </w:tcPr>
          <w:p>
            <w:pPr>
              <w:spacing w:after="20"/>
              <w:jc w:val="left"/>
            </w:pPr>
            <w:r>
              <w:rPr>
                <w:b w:val="false"/>
                <w:bCs w:val="false"/>
                <w:sz w:val="18"/>
                <w:szCs w:val="18"/>
              </w:rPr>
              <w:t xml:space="preserve">½ journée</w:t>
            </w:r>
          </w:p>
        </w:tc>
        <w:tc>
          <w:tcPr>
            <w:tcW w:type="dxa" w:w="2300"/>
            <w:tcMar>
              <w:top w:type="dxa" w:w="40"/>
              <w:left w:type="dxa" w:w="80"/>
              <w:bottom w:type="dxa" w:w="40"/>
              <w:right w:type="dxa" w:w="80"/>
            </w:tcMar>
          </w:tcPr>
          <w:p>
            <w:pPr>
              <w:spacing w:after="20"/>
              <w:jc w:val="left"/>
            </w:pPr>
            <w:r>
              <w:rPr>
                <w:b w:val="false"/>
                <w:bCs w:val="false"/>
                <w:sz w:val="18"/>
                <w:szCs w:val="18"/>
              </w:rPr>
              <w:t xml:space="preserve">Dès que possible</w:t>
            </w:r>
          </w:p>
        </w:tc>
      </w:tr>
      <w:tr>
        <w:tc>
          <w:tcPr>
            <w:tcW w:type="dxa" w:w="500"/>
            <w:tcMar>
              <w:top w:type="dxa" w:w="40"/>
              <w:left w:type="dxa" w:w="80"/>
              <w:bottom w:type="dxa" w:w="40"/>
              <w:right w:type="dxa" w:w="80"/>
            </w:tcMar>
          </w:tcPr>
          <w:p>
            <w:pPr>
              <w:spacing w:after="20"/>
              <w:jc w:val="left"/>
            </w:pPr>
            <w:r>
              <w:rPr>
                <w:b w:val="false"/>
                <w:bCs w:val="false"/>
                <w:sz w:val="18"/>
                <w:szCs w:val="18"/>
              </w:rPr>
              <w:t xml:space="preserve">2</w:t>
            </w:r>
          </w:p>
        </w:tc>
        <w:tc>
          <w:tcPr>
            <w:tcW w:type="dxa" w:w="5700"/>
            <w:tcMar>
              <w:top w:type="dxa" w:w="40"/>
              <w:left w:type="dxa" w:w="80"/>
              <w:bottom w:type="dxa" w:w="40"/>
              <w:right w:type="dxa" w:w="80"/>
            </w:tcMar>
          </w:tcPr>
          <w:p>
            <w:pPr>
              <w:spacing w:after="20"/>
              <w:jc w:val="left"/>
            </w:pPr>
            <w:r>
              <w:rPr>
                <w:b w:val="false"/>
                <w:bCs w:val="false"/>
                <w:sz w:val="18"/>
                <w:szCs w:val="18"/>
              </w:rPr>
              <w:t xml:space="preserve">Exécuter le cahier de recette en préproduction et consigner les statuts (✅/❌) dans docs/cahier-de-recette.md</w:t>
            </w:r>
          </w:p>
        </w:tc>
        <w:tc>
          <w:tcPr>
            <w:tcW w:type="dxa" w:w="1500"/>
            <w:tcMar>
              <w:top w:type="dxa" w:w="40"/>
              <w:left w:type="dxa" w:w="80"/>
              <w:bottom w:type="dxa" w:w="40"/>
              <w:right w:type="dxa" w:w="80"/>
            </w:tcMar>
          </w:tcPr>
          <w:p>
            <w:pPr>
              <w:spacing w:after="20"/>
              <w:jc w:val="left"/>
            </w:pPr>
            <w:r>
              <w:rPr>
                <w:b w:val="false"/>
                <w:bCs w:val="false"/>
                <w:sz w:val="18"/>
                <w:szCs w:val="18"/>
              </w:rPr>
              <w:t xml:space="preserve">1 journée</w:t>
            </w:r>
          </w:p>
        </w:tc>
        <w:tc>
          <w:tcPr>
            <w:tcW w:type="dxa" w:w="2300"/>
            <w:tcMar>
              <w:top w:type="dxa" w:w="40"/>
              <w:left w:type="dxa" w:w="80"/>
              <w:bottom w:type="dxa" w:w="40"/>
              <w:right w:type="dxa" w:w="80"/>
            </w:tcMar>
          </w:tcPr>
          <w:p>
            <w:pPr>
              <w:spacing w:after="20"/>
              <w:jc w:val="left"/>
            </w:pPr>
            <w:r>
              <w:rPr>
                <w:b w:val="false"/>
                <w:bCs w:val="false"/>
                <w:sz w:val="18"/>
                <w:szCs w:val="18"/>
              </w:rPr>
              <w:t xml:space="preserve">Avant la session</w:t>
            </w:r>
          </w:p>
        </w:tc>
      </w:tr>
      <w:tr>
        <w:tc>
          <w:tcPr>
            <w:tcW w:type="dxa" w:w="500"/>
            <w:tcMar>
              <w:top w:type="dxa" w:w="40"/>
              <w:left w:type="dxa" w:w="80"/>
              <w:bottom w:type="dxa" w:w="40"/>
              <w:right w:type="dxa" w:w="80"/>
            </w:tcMar>
          </w:tcPr>
          <w:p>
            <w:pPr>
              <w:spacing w:after="20"/>
              <w:jc w:val="left"/>
            </w:pPr>
            <w:r>
              <w:rPr>
                <w:b w:val="false"/>
                <w:bCs w:val="false"/>
                <w:sz w:val="18"/>
                <w:szCs w:val="18"/>
              </w:rPr>
              <w:t xml:space="preserve">3</w:t>
            </w:r>
          </w:p>
        </w:tc>
        <w:tc>
          <w:tcPr>
            <w:tcW w:type="dxa" w:w="5700"/>
            <w:tcMar>
              <w:top w:type="dxa" w:w="40"/>
              <w:left w:type="dxa" w:w="80"/>
              <w:bottom w:type="dxa" w:w="40"/>
              <w:right w:type="dxa" w:w="80"/>
            </w:tcMar>
          </w:tcPr>
          <w:p>
            <w:pPr>
              <w:spacing w:after="20"/>
              <w:jc w:val="left"/>
            </w:pPr>
            <w:r>
              <w:rPr>
                <w:b w:val="false"/>
                <w:bCs w:val="false"/>
                <w:sz w:val="18"/>
                <w:szCs w:val="18"/>
              </w:rPr>
              <w:t xml:space="preserve">Automatiser le test T-2.4 (upload .exe renommé .pdf → 400) qui matérialise la faille corrigée §2.2</w:t>
            </w:r>
          </w:p>
        </w:tc>
        <w:tc>
          <w:tcPr>
            <w:tcW w:type="dxa" w:w="1500"/>
            <w:tcMar>
              <w:top w:type="dxa" w:w="40"/>
              <w:left w:type="dxa" w:w="80"/>
              <w:bottom w:type="dxa" w:w="40"/>
              <w:right w:type="dxa" w:w="80"/>
            </w:tcMar>
          </w:tcPr>
          <w:p>
            <w:pPr>
              <w:spacing w:after="20"/>
              <w:jc w:val="left"/>
            </w:pPr>
            <w:r>
              <w:rPr>
                <w:b w:val="false"/>
                <w:bCs w:val="false"/>
                <w:sz w:val="18"/>
                <w:szCs w:val="18"/>
              </w:rPr>
              <w:t xml:space="preserve">1 h</w:t>
            </w:r>
          </w:p>
        </w:tc>
        <w:tc>
          <w:tcPr>
            <w:tcW w:type="dxa" w:w="2300"/>
            <w:tcMar>
              <w:top w:type="dxa" w:w="40"/>
              <w:left w:type="dxa" w:w="80"/>
              <w:bottom w:type="dxa" w:w="40"/>
              <w:right w:type="dxa" w:w="80"/>
            </w:tcMar>
          </w:tcPr>
          <w:p>
            <w:pPr>
              <w:spacing w:after="20"/>
              <w:jc w:val="left"/>
            </w:pPr>
            <w:r>
              <w:rPr>
                <w:b w:val="false"/>
                <w:bCs w:val="false"/>
                <w:sz w:val="18"/>
                <w:szCs w:val="18"/>
              </w:rPr>
              <w:t xml:space="preserve">Prochain commit</w:t>
            </w:r>
          </w:p>
        </w:tc>
      </w:tr>
      <w:tr>
        <w:tc>
          <w:tcPr>
            <w:tcW w:type="dxa" w:w="500"/>
            <w:tcMar>
              <w:top w:type="dxa" w:w="40"/>
              <w:left w:type="dxa" w:w="80"/>
              <w:bottom w:type="dxa" w:w="40"/>
              <w:right w:type="dxa" w:w="80"/>
            </w:tcMar>
          </w:tcPr>
          <w:p>
            <w:pPr>
              <w:spacing w:after="20"/>
              <w:jc w:val="left"/>
            </w:pPr>
            <w:r>
              <w:rPr>
                <w:b w:val="false"/>
                <w:bCs w:val="false"/>
                <w:sz w:val="18"/>
                <w:szCs w:val="18"/>
              </w:rPr>
              <w:t xml:space="preserve">4</w:t>
            </w:r>
          </w:p>
        </w:tc>
        <w:tc>
          <w:tcPr>
            <w:tcW w:type="dxa" w:w="5700"/>
            <w:tcMar>
              <w:top w:type="dxa" w:w="40"/>
              <w:left w:type="dxa" w:w="80"/>
              <w:bottom w:type="dxa" w:w="40"/>
              <w:right w:type="dxa" w:w="80"/>
            </w:tcMar>
          </w:tcPr>
          <w:p>
            <w:pPr>
              <w:spacing w:after="20"/>
              <w:jc w:val="left"/>
            </w:pPr>
            <w:r>
              <w:rPr>
                <w:b w:val="false"/>
                <w:bCs w:val="false"/>
                <w:sz w:val="18"/>
                <w:szCs w:val="18"/>
              </w:rPr>
              <w:t xml:space="preserve">Finaliser les 2 workflows de déploiement (develop → préprod auto ; main → prod avec approbation) et valider SSL/HSTS sur le VPS</w:t>
            </w:r>
          </w:p>
        </w:tc>
        <w:tc>
          <w:tcPr>
            <w:tcW w:type="dxa" w:w="1500"/>
            <w:tcMar>
              <w:top w:type="dxa" w:w="40"/>
              <w:left w:type="dxa" w:w="80"/>
              <w:bottom w:type="dxa" w:w="40"/>
              <w:right w:type="dxa" w:w="80"/>
            </w:tcMar>
          </w:tcPr>
          <w:p>
            <w:pPr>
              <w:spacing w:after="20"/>
              <w:jc w:val="left"/>
            </w:pPr>
            <w:r>
              <w:rPr>
                <w:b w:val="false"/>
                <w:bCs w:val="false"/>
                <w:sz w:val="18"/>
                <w:szCs w:val="18"/>
              </w:rPr>
              <w:t xml:space="preserve">1-2 journées</w:t>
            </w:r>
          </w:p>
        </w:tc>
        <w:tc>
          <w:tcPr>
            <w:tcW w:type="dxa" w:w="2300"/>
            <w:tcMar>
              <w:top w:type="dxa" w:w="40"/>
              <w:left w:type="dxa" w:w="80"/>
              <w:bottom w:type="dxa" w:w="40"/>
              <w:right w:type="dxa" w:w="80"/>
            </w:tcMar>
          </w:tcPr>
          <w:p>
            <w:pPr>
              <w:spacing w:after="20"/>
              <w:jc w:val="left"/>
            </w:pPr>
            <w:r>
              <w:rPr>
                <w:b w:val="false"/>
                <w:bCs w:val="false"/>
                <w:sz w:val="18"/>
                <w:szCs w:val="18"/>
              </w:rPr>
              <w:t xml:space="preserve">Avant la session</w:t>
            </w:r>
          </w:p>
        </w:tc>
      </w:tr>
      <w:tr>
        <w:tc>
          <w:tcPr>
            <w:tcW w:type="dxa" w:w="500"/>
            <w:tcMar>
              <w:top w:type="dxa" w:w="40"/>
              <w:left w:type="dxa" w:w="80"/>
              <w:bottom w:type="dxa" w:w="40"/>
              <w:right w:type="dxa" w:w="80"/>
            </w:tcMar>
          </w:tcPr>
          <w:p>
            <w:pPr>
              <w:spacing w:after="20"/>
              <w:jc w:val="left"/>
            </w:pPr>
            <w:r>
              <w:rPr>
                <w:b w:val="false"/>
                <w:bCs w:val="false"/>
                <w:sz w:val="18"/>
                <w:szCs w:val="18"/>
              </w:rPr>
              <w:t xml:space="preserve">5</w:t>
            </w:r>
          </w:p>
        </w:tc>
        <w:tc>
          <w:tcPr>
            <w:tcW w:type="dxa" w:w="5700"/>
            <w:tcMar>
              <w:top w:type="dxa" w:w="40"/>
              <w:left w:type="dxa" w:w="80"/>
              <w:bottom w:type="dxa" w:w="40"/>
              <w:right w:type="dxa" w:w="80"/>
            </w:tcMar>
          </w:tcPr>
          <w:p>
            <w:pPr>
              <w:spacing w:after="20"/>
              <w:jc w:val="left"/>
            </w:pPr>
            <w:r>
              <w:rPr>
                <w:b w:val="false"/>
                <w:bCs w:val="false"/>
                <w:sz w:val="18"/>
                <w:szCs w:val="18"/>
              </w:rPr>
              <w:t xml:space="preserve">Consigner l’audit d’accessibilité RGAA (T-A.1/T-A.2) dans le cahier de recette</w:t>
            </w:r>
          </w:p>
        </w:tc>
        <w:tc>
          <w:tcPr>
            <w:tcW w:type="dxa" w:w="1500"/>
            <w:tcMar>
              <w:top w:type="dxa" w:w="40"/>
              <w:left w:type="dxa" w:w="80"/>
              <w:bottom w:type="dxa" w:w="40"/>
              <w:right w:type="dxa" w:w="80"/>
            </w:tcMar>
          </w:tcPr>
          <w:p>
            <w:pPr>
              <w:spacing w:after="20"/>
              <w:jc w:val="left"/>
            </w:pPr>
            <w:r>
              <w:rPr>
                <w:b w:val="false"/>
                <w:bCs w:val="false"/>
                <w:sz w:val="18"/>
                <w:szCs w:val="18"/>
              </w:rPr>
              <w:t xml:space="preserve">½ journée</w:t>
            </w:r>
          </w:p>
        </w:tc>
        <w:tc>
          <w:tcPr>
            <w:tcW w:type="dxa" w:w="2300"/>
            <w:tcMar>
              <w:top w:type="dxa" w:w="40"/>
              <w:left w:type="dxa" w:w="80"/>
              <w:bottom w:type="dxa" w:w="40"/>
              <w:right w:type="dxa" w:w="80"/>
            </w:tcMar>
          </w:tcPr>
          <w:p>
            <w:pPr>
              <w:spacing w:after="20"/>
              <w:jc w:val="left"/>
            </w:pPr>
            <w:r>
              <w:rPr>
                <w:b w:val="false"/>
                <w:bCs w:val="false"/>
                <w:sz w:val="18"/>
                <w:szCs w:val="18"/>
              </w:rPr>
              <w:t xml:space="preserve">Avant la session</w:t>
            </w:r>
          </w:p>
        </w:tc>
      </w:tr>
      <w:tr>
        <w:tc>
          <w:tcPr>
            <w:tcW w:type="dxa" w:w="500"/>
            <w:tcMar>
              <w:top w:type="dxa" w:w="40"/>
              <w:left w:type="dxa" w:w="80"/>
              <w:bottom w:type="dxa" w:w="40"/>
              <w:right w:type="dxa" w:w="80"/>
            </w:tcMar>
          </w:tcPr>
          <w:p>
            <w:pPr>
              <w:spacing w:after="20"/>
              <w:jc w:val="left"/>
            </w:pPr>
            <w:r>
              <w:rPr>
                <w:b w:val="false"/>
                <w:bCs w:val="false"/>
                <w:sz w:val="18"/>
                <w:szCs w:val="18"/>
              </w:rPr>
              <w:t xml:space="preserve">6</w:t>
            </w:r>
          </w:p>
        </w:tc>
        <w:tc>
          <w:tcPr>
            <w:tcW w:type="dxa" w:w="5700"/>
            <w:tcMar>
              <w:top w:type="dxa" w:w="40"/>
              <w:left w:type="dxa" w:w="80"/>
              <w:bottom w:type="dxa" w:w="40"/>
              <w:right w:type="dxa" w:w="80"/>
            </w:tcMar>
          </w:tcPr>
          <w:p>
            <w:pPr>
              <w:spacing w:after="20"/>
              <w:jc w:val="left"/>
            </w:pPr>
            <w:r>
              <w:rPr>
                <w:b w:val="false"/>
                <w:bCs w:val="false"/>
                <w:sz w:val="18"/>
                <w:szCs w:val="18"/>
              </w:rPr>
              <w:t xml:space="preserve">Préparer la démo de soutenance sur le seed de recette (docs/soutenance-plan.md) et réviser docs/questions-jury.md</w:t>
            </w:r>
          </w:p>
        </w:tc>
        <w:tc>
          <w:tcPr>
            <w:tcW w:type="dxa" w:w="1500"/>
            <w:tcMar>
              <w:top w:type="dxa" w:w="40"/>
              <w:left w:type="dxa" w:w="80"/>
              <w:bottom w:type="dxa" w:w="40"/>
              <w:right w:type="dxa" w:w="80"/>
            </w:tcMar>
          </w:tcPr>
          <w:p>
            <w:pPr>
              <w:spacing w:after="20"/>
              <w:jc w:val="left"/>
            </w:pPr>
            <w:r>
              <w:rPr>
                <w:b w:val="false"/>
                <w:bCs w:val="false"/>
                <w:sz w:val="18"/>
                <w:szCs w:val="18"/>
              </w:rPr>
              <w:t xml:space="preserve">½ journée</w:t>
            </w:r>
          </w:p>
        </w:tc>
        <w:tc>
          <w:tcPr>
            <w:tcW w:type="dxa" w:w="2300"/>
            <w:tcMar>
              <w:top w:type="dxa" w:w="40"/>
              <w:left w:type="dxa" w:w="80"/>
              <w:bottom w:type="dxa" w:w="40"/>
              <w:right w:type="dxa" w:w="80"/>
            </w:tcMar>
          </w:tcPr>
          <w:p>
            <w:pPr>
              <w:spacing w:after="20"/>
              <w:jc w:val="left"/>
            </w:pPr>
            <w:r>
              <w:rPr>
                <w:b w:val="false"/>
                <w:bCs w:val="false"/>
                <w:sz w:val="18"/>
                <w:szCs w:val="18"/>
              </w:rPr>
              <w:t xml:space="preserve">Semaine de la session</w:t>
            </w:r>
          </w:p>
        </w:tc>
      </w:tr>
    </w:tbl>
    <w:p>
      <w:pPr>
        <w:pStyle w:val="Heading2"/>
      </w:pPr>
      <w:r>
        <w:t xml:space="preserve">5.3 Points forts à valoriser à l’oral</w:t>
      </w:r>
    </w:p>
    <w:p>
      <w:pPr>
        <w:pStyle w:val="ListParagraph"/>
        <w:numPr>
          <w:ilvl w:val="0"/>
          <w:numId w:val="2"/>
        </w:numPr>
        <w:jc w:val="both"/>
      </w:pPr>
      <w:r>
        <w:t xml:space="preserve">L’authentification maison entièrement maîtrisée : rotation + détection de réutilisation + blacklist Redis — sujet le plus scruté par les jurys CDA, ici démontrable ligne par ligne (ADR 002, diagramme de séquence, 14 tests).</w:t>
      </w:r>
    </w:p>
    <w:p>
      <w:pPr>
        <w:pStyle w:val="ListParagraph"/>
        <w:numPr>
          <w:ilvl w:val="0"/>
          <w:numId w:val="2"/>
        </w:numPr>
        <w:jc w:val="both"/>
      </w:pPr>
      <w:r>
        <w:t xml:space="preserve">L’attribution des chevaux : fonctions pures testées (égalité de scores, atomicité) + transaction Prisma + mode audit sans écriture — illustre parfaitement « composants métier » et « accès aux données ».</w:t>
      </w:r>
    </w:p>
    <w:p>
      <w:pPr>
        <w:pStyle w:val="ListParagraph"/>
        <w:numPr>
          <w:ilvl w:val="0"/>
          <w:numId w:val="2"/>
        </w:numPr>
        <w:jc w:val="both"/>
      </w:pPr>
      <w:r>
        <w:t xml:space="preserve">La chaîne qualité complète : schémas Zod partagés front/back, 88 tests, couverture bloquante, E2E, CI multi-jobs — peu de candidats présentent une CI avec services et E2E.</w:t>
      </w:r>
    </w:p>
    <w:p>
      <w:pPr>
        <w:pStyle w:val="ListParagraph"/>
        <w:numPr>
          <w:ilvl w:val="0"/>
          <w:numId w:val="2"/>
        </w:numPr>
        <w:jc w:val="both"/>
      </w:pPr>
      <w:r>
        <w:t xml:space="preserve">La correction documentée de la faille MIME (§2.2) : raconter une vulnérabilité trouvée et corrigée en revue vaut mieux qu’un projet prétendu parfait — c’est exactement l’attendu de la veille sécurité du référentiel.</w:t>
      </w:r>
    </w:p>
    <w:sectPr>
      <w:headerReference w:type="default" r:id="rId7"/>
      <w:footerReference w:type="default" r:id="rId8"/>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Florian Faucher — Titre professionnel CDA (RNCP37873)    </w:t>
    </w:r>
    <w:r>
      <w:rPr>
        <w:color w:val="55555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55555"/>
        <w:sz w:val="16"/>
        <w:szCs w:val="16"/>
      </w:rPr>
      <w:t xml:space="preserve">Equime — Rapport de conformité CDA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A5F"/>
      <w:sz w:val="30"/>
      <w:szCs w:val="30"/>
    </w:rPr>
  </w:style>
  <w:style w:type="paragraph" w:styleId="Heading2">
    <w:name w:val="Heading 2"/>
    <w:basedOn w:val="Normal"/>
    <w:next w:val="Normal"/>
    <w:qFormat/>
    <w:pPr>
      <w:spacing w:after="120" w:before="240"/>
    </w:pPr>
    <w:rPr>
      <w:rFonts w:ascii="Calibri" w:cs="Calibri" w:eastAsia="Calibri" w:hAnsi="Calibri"/>
      <w:b/>
      <w:bCs/>
      <w:color w:val="1F3A5F"/>
      <w:sz w:val="25"/>
      <w:szCs w:val="25"/>
    </w:rPr>
  </w:style>
  <w:style w:type="paragraph" w:styleId="Heading3">
    <w:name w:val="Heading 3"/>
    <w:basedOn w:val="Normal"/>
    <w:next w:val="Normal"/>
    <w:qFormat/>
    <w:pPr>
      <w:spacing w:after="90" w:before="180"/>
    </w:pPr>
    <w:rPr>
      <w:rFonts w:ascii="Calibri" w:cs="Calibri" w:eastAsia="Calibri" w:hAnsi="Calibri"/>
      <w:b/>
      <w:bCs/>
      <w:color w:val="8A6D1D"/>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2026-07-07T13:53:04.005Z</dcterms:created>
  <dcterms:modified xsi:type="dcterms:W3CDTF">2026-07-07T13:53:04.007Z</dcterms:modified>
</cp:coreProperties>
</file>

<file path=docProps/custom.xml><?xml version="1.0" encoding="utf-8"?>
<Properties xmlns="http://schemas.openxmlformats.org/officeDocument/2006/custom-properties" xmlns:vt="http://schemas.openxmlformats.org/officeDocument/2006/docPropsVTypes"/>
</file>