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00000"/>
          <w:sz w:val="40"/>
          <w:szCs w:val="40"/>
        </w:rPr>
        <w:t xml:space="preserve">Research Proposal</w:t>
      </w:r>
    </w:p>
    <w:p>
      <w:pPr>
        <w:pBdr>
          <w:bottom w:val="single" w:color="000000" w:sz="12" w:space="8"/>
        </w:pBdr>
        <w:spacing w:after="260"/>
      </w:pPr>
      <w:r>
        <w:rPr>
          <w:color w:val="000000"/>
          <w:sz w:val="26"/>
          <w:szCs w:val="26"/>
        </w:rPr>
        <w:t xml:space="preserve">AI in international, multilingual sales and customer processes at BAS World</w:t>
      </w:r>
    </w:p>
    <w:tbl>
      <w:tblPr>
        <w:tblW w:type="dxa" w:w="9026"/>
        <w:tblBorders>
          <w:top w:val="single" w:color="000000" w:sz="10"/>
          <w:left w:val="none" w:color="auto" w:sz="0"/>
          <w:bottom w:val="single" w:color="000000" w:sz="10"/>
          <w:right w:val="none" w:color="auto" w:sz="0"/>
          <w:insideH w:val="single" w:color="BFBFBF" w:sz="4"/>
          <w:insideV w:val="none" w:color="auto" w:sz="0"/>
        </w:tblBorders>
      </w:tblPr>
      <w:tblGrid>
        <w:gridCol w:w="1986"/>
        <w:gridCol w:w="7040"/>
      </w:tblGrid>
      <w:tr>
        <w:tc>
          <w:tcPr>
            <w:tcW w:type="dxa" w:w="1986"/>
            <w:shd w:fill="E8EAED" w:color="auto" w:val="clear"/>
            <w:tcMar>
              <w:top w:type="dxa" w:w="90"/>
              <w:left w:type="dxa" w:w="120"/>
              <w:bottom w:type="dxa" w:w="90"/>
              <w:right w:type="dxa" w:w="120"/>
            </w:tcMar>
          </w:tcPr>
          <w:p>
            <w:pPr>
              <w:spacing w:after="0" w:line="260"/>
            </w:pPr>
            <w:r>
              <w:rPr>
                <w:b/>
                <w:bCs/>
                <w:color w:val="000000"/>
                <w:sz w:val="19"/>
                <w:szCs w:val="19"/>
              </w:rPr>
              <w:t xml:space="preserve">Team</w:t>
            </w:r>
          </w:p>
        </w:tc>
        <w:tc>
          <w:tcPr>
            <w:tcW w:type="dxa" w:w="7040"/>
            <w:tcMar>
              <w:top w:type="dxa" w:w="90"/>
              <w:left w:type="dxa" w:w="120"/>
              <w:bottom w:type="dxa" w:w="90"/>
              <w:right w:type="dxa" w:w="120"/>
            </w:tcMar>
          </w:tcPr>
          <w:p>
            <w:pPr>
              <w:spacing w:after="0" w:line="260"/>
            </w:pPr>
            <w:r>
              <w:rPr>
                <w:b w:val="false"/>
                <w:bCs w:val="false"/>
                <w:color w:val="000000"/>
                <w:sz w:val="19"/>
                <w:szCs w:val="19"/>
              </w:rPr>
              <w:t xml:space="preserve">Aäron Bos, Floyd Godlieb, Ivan van Vreeswijk, Baran Yapici</w:t>
            </w:r>
          </w:p>
        </w:tc>
      </w:tr>
      <w:tr>
        <w:tc>
          <w:tcPr>
            <w:tcW w:type="dxa" w:w="1986"/>
            <w:shd w:fill="E8EAED" w:color="auto" w:val="clear"/>
            <w:tcMar>
              <w:top w:type="dxa" w:w="90"/>
              <w:left w:type="dxa" w:w="120"/>
              <w:bottom w:type="dxa" w:w="90"/>
              <w:right w:type="dxa" w:w="120"/>
            </w:tcMar>
          </w:tcPr>
          <w:p>
            <w:pPr>
              <w:spacing w:after="0" w:line="260"/>
            </w:pPr>
            <w:r>
              <w:rPr>
                <w:b/>
                <w:bCs/>
                <w:color w:val="000000"/>
                <w:sz w:val="19"/>
                <w:szCs w:val="19"/>
              </w:rPr>
              <w:t xml:space="preserve">Version</w:t>
            </w:r>
          </w:p>
        </w:tc>
        <w:tc>
          <w:tcPr>
            <w:tcW w:type="dxa" w:w="7040"/>
            <w:tcMar>
              <w:top w:type="dxa" w:w="90"/>
              <w:left w:type="dxa" w:w="120"/>
              <w:bottom w:type="dxa" w:w="90"/>
              <w:right w:type="dxa" w:w="120"/>
            </w:tcMar>
          </w:tcPr>
          <w:p>
            <w:pPr>
              <w:spacing w:after="0" w:line="260"/>
            </w:pPr>
            <w:r>
              <w:rPr>
                <w:b w:val="false"/>
                <w:bCs w:val="false"/>
                <w:color w:val="000000"/>
                <w:sz w:val="19"/>
                <w:szCs w:val="19"/>
              </w:rPr>
              <w:t xml:space="preserve">1.0</w:t>
            </w:r>
          </w:p>
        </w:tc>
      </w:tr>
      <w:tr>
        <w:tc>
          <w:tcPr>
            <w:tcW w:type="dxa" w:w="1986"/>
            <w:shd w:fill="E8EAED" w:color="auto" w:val="clear"/>
            <w:tcMar>
              <w:top w:type="dxa" w:w="90"/>
              <w:left w:type="dxa" w:w="120"/>
              <w:bottom w:type="dxa" w:w="90"/>
              <w:right w:type="dxa" w:w="120"/>
            </w:tcMar>
          </w:tcPr>
          <w:p>
            <w:pPr>
              <w:spacing w:after="0" w:line="260"/>
            </w:pPr>
            <w:r>
              <w:rPr>
                <w:b/>
                <w:bCs/>
                <w:color w:val="000000"/>
                <w:sz w:val="19"/>
                <w:szCs w:val="19"/>
              </w:rPr>
              <w:t xml:space="preserve">Date</w:t>
            </w:r>
          </w:p>
        </w:tc>
        <w:tc>
          <w:tcPr>
            <w:tcW w:type="dxa" w:w="7040"/>
            <w:tcMar>
              <w:top w:type="dxa" w:w="90"/>
              <w:left w:type="dxa" w:w="120"/>
              <w:bottom w:type="dxa" w:w="90"/>
              <w:right w:type="dxa" w:w="120"/>
            </w:tcMar>
          </w:tcPr>
          <w:p>
            <w:pPr>
              <w:spacing w:after="0" w:line="260"/>
            </w:pPr>
            <w:r>
              <w:rPr>
                <w:b w:val="false"/>
                <w:bCs w:val="false"/>
                <w:color w:val="000000"/>
                <w:sz w:val="19"/>
                <w:szCs w:val="19"/>
              </w:rPr>
              <w:t xml:space="preserve">10 September 2026</w:t>
            </w:r>
          </w:p>
        </w:tc>
      </w:tr>
      <w:tr>
        <w:tc>
          <w:tcPr>
            <w:tcW w:type="dxa" w:w="1986"/>
            <w:shd w:fill="E8EAED" w:color="auto" w:val="clear"/>
            <w:tcMar>
              <w:top w:type="dxa" w:w="90"/>
              <w:left w:type="dxa" w:w="120"/>
              <w:bottom w:type="dxa" w:w="90"/>
              <w:right w:type="dxa" w:w="120"/>
            </w:tcMar>
          </w:tcPr>
          <w:p>
            <w:pPr>
              <w:spacing w:after="0" w:line="260"/>
            </w:pPr>
            <w:r>
              <w:rPr>
                <w:b/>
                <w:bCs/>
                <w:color w:val="000000"/>
                <w:sz w:val="19"/>
                <w:szCs w:val="19"/>
              </w:rPr>
              <w:t xml:space="preserve">Status</w:t>
            </w:r>
          </w:p>
        </w:tc>
        <w:tc>
          <w:tcPr>
            <w:tcW w:type="dxa" w:w="7040"/>
            <w:tcMar>
              <w:top w:type="dxa" w:w="90"/>
              <w:left w:type="dxa" w:w="120"/>
              <w:bottom w:type="dxa" w:w="90"/>
              <w:right w:type="dxa" w:w="120"/>
            </w:tcMar>
          </w:tcPr>
          <w:p>
            <w:pPr>
              <w:spacing w:after="0" w:line="260"/>
            </w:pPr>
            <w:r>
              <w:rPr>
                <w:b w:val="false"/>
                <w:bCs w:val="false"/>
                <w:color w:val="000000"/>
                <w:sz w:val="19"/>
                <w:szCs w:val="19"/>
              </w:rPr>
              <w:t xml:space="preserve">First draft</w:t>
            </w:r>
          </w:p>
        </w:tc>
      </w:tr>
      <w:tr>
        <w:tc>
          <w:tcPr>
            <w:tcW w:type="dxa" w:w="1986"/>
            <w:shd w:fill="E8EAED" w:color="auto" w:val="clear"/>
            <w:tcMar>
              <w:top w:type="dxa" w:w="90"/>
              <w:left w:type="dxa" w:w="120"/>
              <w:bottom w:type="dxa" w:w="90"/>
              <w:right w:type="dxa" w:w="120"/>
            </w:tcMar>
          </w:tcPr>
          <w:p>
            <w:pPr>
              <w:spacing w:after="0" w:line="260"/>
            </w:pPr>
            <w:r>
              <w:rPr>
                <w:b/>
                <w:bCs/>
                <w:color w:val="000000"/>
                <w:sz w:val="19"/>
                <w:szCs w:val="19"/>
              </w:rPr>
              <w:t xml:space="preserve">Scope note</w:t>
            </w:r>
          </w:p>
        </w:tc>
        <w:tc>
          <w:tcPr>
            <w:tcW w:type="dxa" w:w="7040"/>
            <w:tcMar>
              <w:top w:type="dxa" w:w="90"/>
              <w:left w:type="dxa" w:w="120"/>
              <w:bottom w:type="dxa" w:w="90"/>
              <w:right w:type="dxa" w:w="120"/>
            </w:tcMar>
          </w:tcPr>
          <w:p>
            <w:pPr>
              <w:spacing w:after="0" w:line="260"/>
            </w:pPr>
            <w:r>
              <w:rPr>
                <w:b w:val="false"/>
                <w:bCs w:val="false"/>
                <w:color w:val="000000"/>
                <w:sz w:val="19"/>
                <w:szCs w:val="19"/>
              </w:rPr>
              <w:t xml:space="preserve">BAS World employs more than 450 people and is not an SME. Using it as our partner organisation was agreed with the lecturers as an exception. Section 3 says what that exception costs us, and criterion 5 in section 4 says how we pay it back.</w:t>
            </w:r>
          </w:p>
        </w:tc>
      </w:tr>
    </w:tbl>
    <w:p>
      <w:pPr>
        <w:spacing w:after="200"/>
      </w:pPr>
    </w:p>
    <w:p>
      <w:pPr>
        <w:pBdr>
          <w:bottom w:val="single" w:color="000000" w:sz="6" w:space="6"/>
        </w:pBdr>
        <w:spacing w:after="160" w:before="320"/>
      </w:pPr>
      <w:r>
        <w:rPr>
          <w:b/>
          <w:bCs/>
          <w:color w:val="000000"/>
          <w:sz w:val="24"/>
          <w:szCs w:val="24"/>
        </w:rPr>
        <w:t xml:space="preserve">1. THE RESEARCH PROBLEM</w:t>
      </w:r>
    </w:p>
    <w:p>
      <w:pPr>
        <w:spacing w:after="100" w:before="160" w:line="280"/>
      </w:pPr>
      <w:r>
        <w:rPr>
          <w:b/>
          <w:bCs/>
          <w:color w:val="000000"/>
          <w:sz w:val="21"/>
          <w:szCs w:val="21"/>
        </w:rPr>
        <w:t xml:space="preserve">What Draghi found</w:t>
      </w:r>
    </w:p>
    <w:p>
      <w:pPr>
        <w:spacing w:after="140" w:before="0" w:line="280"/>
      </w:pPr>
      <w:r>
        <w:rPr>
          <w:color w:val="000000"/>
          <w:sz w:val="21"/>
          <w:szCs w:val="21"/>
        </w:rPr>
        <w:t xml:space="preserve">The report on European competitiveness of 9 September 2024 traces Europe's growth gap with the United States and China to technology, though not to any shortage of ideas. The problem is diffusion. European firms keep pouring research money into mature sectors while digital tools spread slowly through the businesses that already exist. Draghi lists the barriers plainly: a fragmented single market, regulatory load (55 percent of EU SMEs name administrative and regulatory burden as their biggest obstacle), thin access to capital, missing skills, too little scale. He treats reliance on high-risk suppliers outside Europe as a separate worry rather than the main one.</w:t>
      </w:r>
    </w:p>
    <w:p>
      <w:pPr>
        <w:spacing w:after="100" w:before="160" w:line="280"/>
      </w:pPr>
      <w:r>
        <w:rPr>
          <w:b/>
          <w:bCs/>
          <w:color w:val="000000"/>
          <w:sz w:val="21"/>
          <w:szCs w:val="21"/>
        </w:rPr>
        <w:t xml:space="preserve">Why this lands on BAS World</w:t>
      </w:r>
    </w:p>
    <w:p>
      <w:pPr>
        <w:spacing w:after="140" w:before="0" w:line="280"/>
      </w:pPr>
      <w:r>
        <w:rPr>
          <w:color w:val="000000"/>
          <w:sz w:val="21"/>
          <w:szCs w:val="21"/>
        </w:rPr>
        <w:t xml:space="preserve">Diffusion is the open question at BAS World. One AI feature runs in production, the AI Search on basworld.com, and multilingual first contact is handled by a chat and flowbot layer. Neither tells us how far AI reaches into the rest of the sales and documentation chain.</w:t>
      </w:r>
    </w:p>
    <w:p>
      <w:pPr>
        <w:spacing w:after="140" w:before="0" w:line="280"/>
      </w:pPr>
      <w:r>
        <w:rPr>
          <w:color w:val="000000"/>
          <w:sz w:val="21"/>
          <w:szCs w:val="21"/>
        </w:rPr>
        <w:t xml:space="preserve">CBS figures sharpen the picture. In 2025, 17 percent of Dutch firms used AI, rising to 66 percent among firms with 250 staff or more, while wholesale and trade sat at 12 percent and transport and storage at 7 percent. BAS World lands in a size class where AI is already common, inside a sector where it stays rare. Whether it is ahead of its trade, or only ahead at the shop window, is something we have to find out instead of assuming.</w:t>
      </w:r>
    </w:p>
    <w:tbl>
      <w:tblPr>
        <w:tblW w:type="dxa" w:w="9026"/>
        <w:tblBorders>
          <w:top w:val="single" w:color="000000" w:sz="10"/>
          <w:left w:val="none" w:color="auto" w:sz="0"/>
          <w:bottom w:val="single" w:color="000000" w:sz="10"/>
          <w:right w:val="none" w:color="auto" w:sz="0"/>
          <w:insideH w:val="single" w:color="BFBFBF" w:sz="4"/>
          <w:insideV w:val="single" w:color="D9D9D9" w:sz="2"/>
        </w:tblBorders>
      </w:tblPr>
      <w:tblGrid>
        <w:gridCol w:w="3069"/>
        <w:gridCol w:w="3430"/>
        <w:gridCol w:w="2527"/>
      </w:tblGrid>
      <w:tr>
        <w:trPr>
          <w:tblHeader/>
        </w:trPr>
        <w:tc>
          <w:tcPr>
            <w:tcW w:type="dxa" w:w="3069"/>
            <w:shd w:fill="E8EAED" w:color="auto" w:val="clear"/>
            <w:tcMar>
              <w:top w:type="dxa" w:w="90"/>
              <w:left w:type="dxa" w:w="120"/>
              <w:bottom w:type="dxa" w:w="90"/>
              <w:right w:type="dxa" w:w="120"/>
            </w:tcMar>
          </w:tcPr>
          <w:p>
            <w:pPr>
              <w:spacing w:after="0" w:line="260"/>
            </w:pPr>
            <w:r>
              <w:rPr>
                <w:b/>
                <w:bCs/>
                <w:color w:val="000000"/>
                <w:sz w:val="19"/>
                <w:szCs w:val="19"/>
              </w:rPr>
              <w:t xml:space="preserve">Group (CBS, 2025)</w:t>
            </w:r>
          </w:p>
        </w:tc>
        <w:tc>
          <w:tcPr>
            <w:tcW w:type="dxa" w:w="3430"/>
            <w:shd w:fill="E8EAED" w:color="auto" w:val="clear"/>
            <w:tcMar>
              <w:top w:type="dxa" w:w="90"/>
              <w:left w:type="dxa" w:w="120"/>
              <w:bottom w:type="dxa" w:w="90"/>
              <w:right w:type="dxa" w:w="120"/>
            </w:tcMar>
          </w:tcPr>
          <w:p>
            <w:pPr>
              <w:spacing w:after="0" w:line="260"/>
            </w:pPr>
            <w:r>
              <w:rPr>
                <w:b/>
                <w:bCs/>
                <w:color w:val="000000"/>
                <w:sz w:val="19"/>
                <w:szCs w:val="19"/>
              </w:rPr>
              <w:t xml:space="preserve">Share using AI</w:t>
            </w:r>
          </w:p>
        </w:tc>
        <w:tc>
          <w:tcPr>
            <w:tcW w:type="dxa" w:w="2527"/>
            <w:shd w:fill="E8EAED" w:color="auto" w:val="clear"/>
            <w:tcMar>
              <w:top w:type="dxa" w:w="90"/>
              <w:left w:type="dxa" w:w="120"/>
              <w:bottom w:type="dxa" w:w="90"/>
              <w:right w:type="dxa" w:w="120"/>
            </w:tcMar>
          </w:tcPr>
          <w:p>
            <w:pPr>
              <w:spacing w:after="0" w:line="260"/>
            </w:pPr>
            <w:r>
              <w:rPr>
                <w:b/>
                <w:bCs/>
                <w:color w:val="000000"/>
                <w:sz w:val="19"/>
                <w:szCs w:val="19"/>
              </w:rPr>
              <w:t xml:space="preserve">What it says about BAS World</w:t>
            </w:r>
          </w:p>
        </w:tc>
      </w:tr>
      <w:tr>
        <w:tc>
          <w:tcPr>
            <w:tcW w:type="dxa" w:w="3069"/>
            <w:tcMar>
              <w:top w:type="dxa" w:w="90"/>
              <w:left w:type="dxa" w:w="120"/>
              <w:bottom w:type="dxa" w:w="90"/>
              <w:right w:type="dxa" w:w="120"/>
            </w:tcMar>
          </w:tcPr>
          <w:p>
            <w:pPr>
              <w:spacing w:after="0" w:line="260"/>
            </w:pPr>
            <w:r>
              <w:rPr>
                <w:b w:val="false"/>
                <w:bCs w:val="false"/>
                <w:color w:val="000000"/>
                <w:sz w:val="19"/>
                <w:szCs w:val="19"/>
              </w:rPr>
              <w:t xml:space="preserve">Dutch firms overall</w:t>
            </w:r>
          </w:p>
        </w:tc>
        <w:tc>
          <w:tcPr>
            <w:tcW w:type="dxa" w:w="3430"/>
            <w:tcMar>
              <w:top w:type="dxa" w:w="90"/>
              <w:left w:type="dxa" w:w="120"/>
              <w:bottom w:type="dxa" w:w="90"/>
              <w:right w:type="dxa" w:w="120"/>
            </w:tcMar>
          </w:tcPr>
          <w:p>
            <w:pPr>
              <w:spacing w:after="0" w:line="260"/>
            </w:pPr>
            <w:r>
              <w:rPr>
                <w:b w:val="false"/>
                <w:bCs w:val="false"/>
                <w:color w:val="000000"/>
                <w:sz w:val="19"/>
                <w:szCs w:val="19"/>
              </w:rPr>
              <w:t xml:space="preserve">17 percent</w:t>
            </w:r>
          </w:p>
        </w:tc>
        <w:tc>
          <w:tcPr>
            <w:tcW w:type="dxa" w:w="2527"/>
            <w:tcMar>
              <w:top w:type="dxa" w:w="90"/>
              <w:left w:type="dxa" w:w="120"/>
              <w:bottom w:type="dxa" w:w="90"/>
              <w:right w:type="dxa" w:w="120"/>
            </w:tcMar>
          </w:tcPr>
          <w:p>
            <w:pPr>
              <w:spacing w:after="0" w:line="260"/>
            </w:pPr>
            <w:r>
              <w:rPr>
                <w:b w:val="false"/>
                <w:bCs w:val="false"/>
                <w:color w:val="000000"/>
                <w:sz w:val="19"/>
                <w:szCs w:val="19"/>
              </w:rPr>
              <w:t xml:space="preserve">Baseline</w:t>
            </w:r>
          </w:p>
        </w:tc>
      </w:tr>
      <w:tr>
        <w:tc>
          <w:tcPr>
            <w:tcW w:type="dxa" w:w="3069"/>
            <w:tcMar>
              <w:top w:type="dxa" w:w="90"/>
              <w:left w:type="dxa" w:w="120"/>
              <w:bottom w:type="dxa" w:w="90"/>
              <w:right w:type="dxa" w:w="120"/>
            </w:tcMar>
          </w:tcPr>
          <w:p>
            <w:pPr>
              <w:spacing w:after="0" w:line="260"/>
            </w:pPr>
            <w:r>
              <w:rPr>
                <w:b w:val="false"/>
                <w:bCs w:val="false"/>
                <w:color w:val="000000"/>
                <w:sz w:val="19"/>
                <w:szCs w:val="19"/>
              </w:rPr>
              <w:t xml:space="preserve">Firms with 250 staff or more</w:t>
            </w:r>
          </w:p>
        </w:tc>
        <w:tc>
          <w:tcPr>
            <w:tcW w:type="dxa" w:w="3430"/>
            <w:tcMar>
              <w:top w:type="dxa" w:w="90"/>
              <w:left w:type="dxa" w:w="120"/>
              <w:bottom w:type="dxa" w:w="90"/>
              <w:right w:type="dxa" w:w="120"/>
            </w:tcMar>
          </w:tcPr>
          <w:p>
            <w:pPr>
              <w:spacing w:after="0" w:line="260"/>
            </w:pPr>
            <w:r>
              <w:rPr>
                <w:b w:val="false"/>
                <w:bCs w:val="false"/>
                <w:color w:val="000000"/>
                <w:sz w:val="19"/>
                <w:szCs w:val="19"/>
              </w:rPr>
              <w:t xml:space="preserve">66 percent</w:t>
            </w:r>
          </w:p>
        </w:tc>
        <w:tc>
          <w:tcPr>
            <w:tcW w:type="dxa" w:w="2527"/>
            <w:tcMar>
              <w:top w:type="dxa" w:w="90"/>
              <w:left w:type="dxa" w:w="120"/>
              <w:bottom w:type="dxa" w:w="90"/>
              <w:right w:type="dxa" w:w="120"/>
            </w:tcMar>
          </w:tcPr>
          <w:p>
            <w:pPr>
              <w:spacing w:after="0" w:line="260"/>
            </w:pPr>
            <w:r>
              <w:rPr>
                <w:b w:val="false"/>
                <w:bCs w:val="false"/>
                <w:color w:val="000000"/>
                <w:sz w:val="19"/>
                <w:szCs w:val="19"/>
              </w:rPr>
              <w:t xml:space="preserve">The size class BAS World sits in</w:t>
            </w:r>
          </w:p>
        </w:tc>
      </w:tr>
      <w:tr>
        <w:tc>
          <w:tcPr>
            <w:tcW w:type="dxa" w:w="3069"/>
            <w:tcMar>
              <w:top w:type="dxa" w:w="90"/>
              <w:left w:type="dxa" w:w="120"/>
              <w:bottom w:type="dxa" w:w="90"/>
              <w:right w:type="dxa" w:w="120"/>
            </w:tcMar>
          </w:tcPr>
          <w:p>
            <w:pPr>
              <w:spacing w:after="0" w:line="260"/>
            </w:pPr>
            <w:r>
              <w:rPr>
                <w:b w:val="false"/>
                <w:bCs w:val="false"/>
                <w:color w:val="000000"/>
                <w:sz w:val="19"/>
                <w:szCs w:val="19"/>
              </w:rPr>
              <w:t xml:space="preserve">Wholesale and trade</w:t>
            </w:r>
          </w:p>
        </w:tc>
        <w:tc>
          <w:tcPr>
            <w:tcW w:type="dxa" w:w="3430"/>
            <w:tcMar>
              <w:top w:type="dxa" w:w="90"/>
              <w:left w:type="dxa" w:w="120"/>
              <w:bottom w:type="dxa" w:w="90"/>
              <w:right w:type="dxa" w:w="120"/>
            </w:tcMar>
          </w:tcPr>
          <w:p>
            <w:pPr>
              <w:spacing w:after="0" w:line="260"/>
            </w:pPr>
            <w:r>
              <w:rPr>
                <w:b w:val="false"/>
                <w:bCs w:val="false"/>
                <w:color w:val="000000"/>
                <w:sz w:val="19"/>
                <w:szCs w:val="19"/>
              </w:rPr>
              <w:t xml:space="preserve">12 percent</w:t>
            </w:r>
          </w:p>
        </w:tc>
        <w:tc>
          <w:tcPr>
            <w:tcW w:type="dxa" w:w="2527"/>
            <w:tcMar>
              <w:top w:type="dxa" w:w="90"/>
              <w:left w:type="dxa" w:w="120"/>
              <w:bottom w:type="dxa" w:w="90"/>
              <w:right w:type="dxa" w:w="120"/>
            </w:tcMar>
          </w:tcPr>
          <w:p>
            <w:pPr>
              <w:spacing w:after="0" w:line="260"/>
            </w:pPr>
            <w:r>
              <w:rPr>
                <w:b w:val="false"/>
                <w:bCs w:val="false"/>
                <w:color w:val="000000"/>
                <w:sz w:val="19"/>
                <w:szCs w:val="19"/>
              </w:rPr>
              <w:t xml:space="preserve">The sector BAS World sits in</w:t>
            </w:r>
          </w:p>
        </w:tc>
      </w:tr>
      <w:tr>
        <w:tc>
          <w:tcPr>
            <w:tcW w:type="dxa" w:w="3069"/>
            <w:tcMar>
              <w:top w:type="dxa" w:w="90"/>
              <w:left w:type="dxa" w:w="120"/>
              <w:bottom w:type="dxa" w:w="90"/>
              <w:right w:type="dxa" w:w="120"/>
            </w:tcMar>
          </w:tcPr>
          <w:p>
            <w:pPr>
              <w:spacing w:after="0" w:line="260"/>
            </w:pPr>
            <w:r>
              <w:rPr>
                <w:b w:val="false"/>
                <w:bCs w:val="false"/>
                <w:color w:val="000000"/>
                <w:sz w:val="19"/>
                <w:szCs w:val="19"/>
              </w:rPr>
              <w:t xml:space="preserve">Transport and storage</w:t>
            </w:r>
          </w:p>
        </w:tc>
        <w:tc>
          <w:tcPr>
            <w:tcW w:type="dxa" w:w="3430"/>
            <w:tcMar>
              <w:top w:type="dxa" w:w="90"/>
              <w:left w:type="dxa" w:w="120"/>
              <w:bottom w:type="dxa" w:w="90"/>
              <w:right w:type="dxa" w:w="120"/>
            </w:tcMar>
          </w:tcPr>
          <w:p>
            <w:pPr>
              <w:spacing w:after="0" w:line="260"/>
            </w:pPr>
            <w:r>
              <w:rPr>
                <w:b w:val="false"/>
                <w:bCs w:val="false"/>
                <w:color w:val="000000"/>
                <w:sz w:val="19"/>
                <w:szCs w:val="19"/>
              </w:rPr>
              <w:t xml:space="preserve">7 percent</w:t>
            </w:r>
          </w:p>
        </w:tc>
        <w:tc>
          <w:tcPr>
            <w:tcW w:type="dxa" w:w="2527"/>
            <w:tcMar>
              <w:top w:type="dxa" w:w="90"/>
              <w:left w:type="dxa" w:w="120"/>
              <w:bottom w:type="dxa" w:w="90"/>
              <w:right w:type="dxa" w:w="120"/>
            </w:tcMar>
          </w:tcPr>
          <w:p>
            <w:pPr>
              <w:spacing w:after="0" w:line="260"/>
            </w:pPr>
            <w:r>
              <w:rPr>
                <w:b w:val="false"/>
                <w:bCs w:val="false"/>
                <w:color w:val="000000"/>
                <w:sz w:val="19"/>
                <w:szCs w:val="19"/>
              </w:rPr>
              <w:t xml:space="preserve">The adjacent sector it sells into</w:t>
            </w:r>
          </w:p>
        </w:tc>
      </w:tr>
    </w:tbl>
    <w:p>
      <w:pPr>
        <w:spacing w:after="160"/>
      </w:pPr>
    </w:p>
    <w:p>
      <w:pPr>
        <w:spacing w:after="100" w:before="160" w:line="280"/>
      </w:pPr>
      <w:r>
        <w:rPr>
          <w:b/>
          <w:bCs/>
          <w:color w:val="000000"/>
          <w:sz w:val="21"/>
          <w:szCs w:val="21"/>
        </w:rPr>
        <w:t xml:space="preserve">What the company needs to work out</w:t>
      </w:r>
    </w:p>
    <w:p>
      <w:pPr>
        <w:spacing w:after="140" w:before="0" w:line="280"/>
      </w:pPr>
      <w:r>
        <w:rPr>
          <w:color w:val="000000"/>
          <w:sz w:val="21"/>
          <w:szCs w:val="21"/>
        </w:rPr>
        <w:t xml:space="preserve">Which parts of the sales and service chain already run on AI, and who owns them. Which steps between a first lead and a delivered export document still run entirely on people. Which of those can take support without damaging the personal contact this trade competes on. And which duties shape the answer: EU AI Act transparency rules now in force, GDPR on customer and interview data, and the screening of buyers and final destinations.</w:t>
      </w:r>
    </w:p>
    <w:p>
      <w:pPr>
        <w:spacing w:after="60" w:before="120"/>
        <w:ind w:left="360"/>
      </w:pPr>
      <w:r>
        <w:rPr>
          <w:i/>
          <w:iCs/>
          <w:color w:val="000000"/>
          <w:sz w:val="22"/>
          <w:szCs w:val="22"/>
        </w:rPr>
        <w:t xml:space="preserve">"Our search is already AI. Where is the next one, and how do I know it will not cost me the customer relationship or land me a compliance problem?"</w:t>
      </w:r>
    </w:p>
    <w:p>
      <w:pPr>
        <w:spacing w:after="160"/>
        <w:ind w:left="360"/>
      </w:pPr>
      <w:r>
        <w:rPr>
          <w:color w:val="000000"/>
          <w:sz w:val="19"/>
          <w:szCs w:val="19"/>
        </w:rPr>
        <w:t xml:space="preserve">— The decision, in a manager's words</w:t>
      </w:r>
    </w:p>
    <w:p>
      <w:pPr>
        <w:pBdr>
          <w:bottom w:val="single" w:color="000000" w:sz="6" w:space="6"/>
        </w:pBdr>
        <w:spacing w:after="160" w:before="320"/>
      </w:pPr>
      <w:r>
        <w:rPr>
          <w:b/>
          <w:bCs/>
          <w:color w:val="000000"/>
          <w:sz w:val="24"/>
          <w:szCs w:val="24"/>
        </w:rPr>
        <w:t xml:space="preserve">2. RESEARCH QUESTION AND SUB-QUESTIONS</w:t>
      </w:r>
    </w:p>
    <w:p>
      <w:pPr>
        <w:spacing w:after="140" w:before="0" w:line="280"/>
      </w:pPr>
      <w:r>
        <w:rPr>
          <w:b/>
          <w:bCs/>
          <w:color w:val="000000"/>
          <w:sz w:val="21"/>
          <w:szCs w:val="21"/>
        </w:rPr>
        <w:t xml:space="preserve">Main question.</w:t>
      </w:r>
      <w:r>
        <w:rPr>
          <w:color w:val="000000"/>
          <w:sz w:val="21"/>
          <w:szCs w:val="21"/>
        </w:rPr>
        <w:t xml:space="preserve"> Where and how does BAS World use AI in its international, multilingual sales and customer process, and where can that use responsibly grow?</w:t>
      </w:r>
    </w:p>
    <w:tbl>
      <w:tblPr>
        <w:tblW w:type="dxa" w:w="9026"/>
        <w:tblBorders>
          <w:top w:val="single" w:color="000000" w:sz="10"/>
          <w:left w:val="none" w:color="auto" w:sz="0"/>
          <w:bottom w:val="single" w:color="000000" w:sz="10"/>
          <w:right w:val="none" w:color="auto" w:sz="0"/>
          <w:insideH w:val="single" w:color="BFBFBF" w:sz="4"/>
          <w:insideV w:val="single" w:color="D9D9D9" w:sz="2"/>
        </w:tblBorders>
      </w:tblPr>
      <w:tblGrid>
        <w:gridCol w:w="542"/>
        <w:gridCol w:w="1805"/>
        <w:gridCol w:w="6679"/>
      </w:tblGrid>
      <w:tr>
        <w:trPr>
          <w:tblHeader/>
        </w:trPr>
        <w:tc>
          <w:tcPr>
            <w:tcW w:type="dxa" w:w="542"/>
            <w:shd w:fill="E8EAED" w:color="auto" w:val="clear"/>
            <w:tcMar>
              <w:top w:type="dxa" w:w="90"/>
              <w:left w:type="dxa" w:w="120"/>
              <w:bottom w:type="dxa" w:w="90"/>
              <w:right w:type="dxa" w:w="120"/>
            </w:tcMar>
          </w:tcPr>
          <w:p>
            <w:pPr>
              <w:spacing w:after="0" w:line="260"/>
            </w:pPr>
            <w:r>
              <w:rPr>
                <w:b/>
                <w:bCs/>
                <w:color w:val="000000"/>
                <w:sz w:val="19"/>
                <w:szCs w:val="19"/>
              </w:rPr>
              <w:t xml:space="preserve">#</w:t>
            </w:r>
          </w:p>
        </w:tc>
        <w:tc>
          <w:tcPr>
            <w:tcW w:type="dxa" w:w="1805"/>
            <w:shd w:fill="E8EAED" w:color="auto" w:val="clear"/>
            <w:tcMar>
              <w:top w:type="dxa" w:w="90"/>
              <w:left w:type="dxa" w:w="120"/>
              <w:bottom w:type="dxa" w:w="90"/>
              <w:right w:type="dxa" w:w="120"/>
            </w:tcMar>
          </w:tcPr>
          <w:p>
            <w:pPr>
              <w:spacing w:after="0" w:line="260"/>
            </w:pPr>
            <w:r>
              <w:rPr>
                <w:b/>
                <w:bCs/>
                <w:color w:val="000000"/>
                <w:sz w:val="19"/>
                <w:szCs w:val="19"/>
              </w:rPr>
              <w:t xml:space="preserve">Angle</w:t>
            </w:r>
          </w:p>
        </w:tc>
        <w:tc>
          <w:tcPr>
            <w:tcW w:type="dxa" w:w="6679"/>
            <w:shd w:fill="E8EAED" w:color="auto" w:val="clear"/>
            <w:tcMar>
              <w:top w:type="dxa" w:w="90"/>
              <w:left w:type="dxa" w:w="120"/>
              <w:bottom w:type="dxa" w:w="90"/>
              <w:right w:type="dxa" w:w="120"/>
            </w:tcMar>
          </w:tcPr>
          <w:p>
            <w:pPr>
              <w:spacing w:after="0" w:line="260"/>
            </w:pPr>
            <w:r>
              <w:rPr>
                <w:b/>
                <w:bCs/>
                <w:color w:val="000000"/>
                <w:sz w:val="19"/>
                <w:szCs w:val="19"/>
              </w:rPr>
              <w:t xml:space="preserve">Sub-question</w:t>
            </w:r>
          </w:p>
        </w:tc>
      </w:tr>
      <w:tr>
        <w:tc>
          <w:tcPr>
            <w:tcW w:type="dxa" w:w="542"/>
            <w:tcMar>
              <w:top w:type="dxa" w:w="90"/>
              <w:left w:type="dxa" w:w="120"/>
              <w:bottom w:type="dxa" w:w="90"/>
              <w:right w:type="dxa" w:w="120"/>
            </w:tcMar>
          </w:tcPr>
          <w:p>
            <w:pPr>
              <w:spacing w:after="0" w:line="260"/>
            </w:pPr>
            <w:r>
              <w:rPr>
                <w:b w:val="false"/>
                <w:bCs w:val="false"/>
                <w:color w:val="000000"/>
                <w:sz w:val="19"/>
                <w:szCs w:val="19"/>
              </w:rPr>
              <w:t xml:space="preserve">1</w:t>
            </w:r>
          </w:p>
        </w:tc>
        <w:tc>
          <w:tcPr>
            <w:tcW w:type="dxa" w:w="1805"/>
            <w:tcMar>
              <w:top w:type="dxa" w:w="90"/>
              <w:left w:type="dxa" w:w="120"/>
              <w:bottom w:type="dxa" w:w="90"/>
              <w:right w:type="dxa" w:w="120"/>
            </w:tcMar>
          </w:tcPr>
          <w:p>
            <w:pPr>
              <w:spacing w:after="0" w:line="260"/>
            </w:pPr>
            <w:r>
              <w:rPr>
                <w:b w:val="false"/>
                <w:bCs w:val="false"/>
                <w:color w:val="000000"/>
                <w:sz w:val="19"/>
                <w:szCs w:val="19"/>
              </w:rPr>
              <w:t xml:space="preserve">External: market</w:t>
            </w:r>
          </w:p>
        </w:tc>
        <w:tc>
          <w:tcPr>
            <w:tcW w:type="dxa" w:w="6679"/>
            <w:tcMar>
              <w:top w:type="dxa" w:w="90"/>
              <w:left w:type="dxa" w:w="120"/>
              <w:bottom w:type="dxa" w:w="90"/>
              <w:right w:type="dxa" w:w="120"/>
            </w:tcMar>
          </w:tcPr>
          <w:p>
            <w:pPr>
              <w:spacing w:after="0" w:line="260"/>
            </w:pPr>
            <w:r>
              <w:rPr>
                <w:b w:val="false"/>
                <w:bCs w:val="false"/>
                <w:color w:val="000000"/>
                <w:sz w:val="19"/>
                <w:szCs w:val="19"/>
              </w:rPr>
              <w:t xml:space="preserve">Which AI applications are visible at comparable international platforms for used vehicles and machinery (Ritchie Bros with its valuation and price-results tooling, Mascus, TruckScout24, Machineryline), which process step does each one sit in, and what does that suggest is workable at BAS World's scale?</w:t>
            </w:r>
          </w:p>
        </w:tc>
      </w:tr>
      <w:tr>
        <w:tc>
          <w:tcPr>
            <w:tcW w:type="dxa" w:w="542"/>
            <w:tcMar>
              <w:top w:type="dxa" w:w="90"/>
              <w:left w:type="dxa" w:w="120"/>
              <w:bottom w:type="dxa" w:w="90"/>
              <w:right w:type="dxa" w:w="120"/>
            </w:tcMar>
          </w:tcPr>
          <w:p>
            <w:pPr>
              <w:spacing w:after="0" w:line="260"/>
            </w:pPr>
            <w:r>
              <w:rPr>
                <w:b w:val="false"/>
                <w:bCs w:val="false"/>
                <w:color w:val="000000"/>
                <w:sz w:val="19"/>
                <w:szCs w:val="19"/>
              </w:rPr>
              <w:t xml:space="preserve">2</w:t>
            </w:r>
          </w:p>
        </w:tc>
        <w:tc>
          <w:tcPr>
            <w:tcW w:type="dxa" w:w="1805"/>
            <w:tcMar>
              <w:top w:type="dxa" w:w="90"/>
              <w:left w:type="dxa" w:w="120"/>
              <w:bottom w:type="dxa" w:w="90"/>
              <w:right w:type="dxa" w:w="120"/>
            </w:tcMar>
          </w:tcPr>
          <w:p>
            <w:pPr>
              <w:spacing w:after="0" w:line="260"/>
            </w:pPr>
            <w:r>
              <w:rPr>
                <w:b w:val="false"/>
                <w:bCs w:val="false"/>
                <w:color w:val="000000"/>
                <w:sz w:val="19"/>
                <w:szCs w:val="19"/>
              </w:rPr>
              <w:t xml:space="preserve">External: risk</w:t>
            </w:r>
          </w:p>
        </w:tc>
        <w:tc>
          <w:tcPr>
            <w:tcW w:type="dxa" w:w="6679"/>
            <w:tcMar>
              <w:top w:type="dxa" w:w="90"/>
              <w:left w:type="dxa" w:w="120"/>
              <w:bottom w:type="dxa" w:w="90"/>
              <w:right w:type="dxa" w:w="120"/>
            </w:tcMar>
          </w:tcPr>
          <w:p>
            <w:pPr>
              <w:spacing w:after="0" w:line="260"/>
            </w:pPr>
            <w:r>
              <w:rPr>
                <w:b w:val="false"/>
                <w:bCs w:val="false"/>
                <w:color w:val="000000"/>
                <w:sz w:val="19"/>
                <w:szCs w:val="19"/>
              </w:rPr>
              <w:t xml:space="preserve">Which rules and exposures apply to AI in customer-facing cross-border trade in used vehicles: AI Act transparency duties under Article 50 (applicable from 2 August 2026) and AI literacy under Article 4, GDPR on customer and interview data, plus sanctions exposure and third country circumvention risk in used transport vehicles?</w:t>
            </w:r>
          </w:p>
        </w:tc>
      </w:tr>
      <w:tr>
        <w:tc>
          <w:tcPr>
            <w:tcW w:type="dxa" w:w="542"/>
            <w:tcMar>
              <w:top w:type="dxa" w:w="90"/>
              <w:left w:type="dxa" w:w="120"/>
              <w:bottom w:type="dxa" w:w="90"/>
              <w:right w:type="dxa" w:w="120"/>
            </w:tcMar>
          </w:tcPr>
          <w:p>
            <w:pPr>
              <w:spacing w:after="0" w:line="260"/>
            </w:pPr>
            <w:r>
              <w:rPr>
                <w:b w:val="false"/>
                <w:bCs w:val="false"/>
                <w:color w:val="000000"/>
                <w:sz w:val="19"/>
                <w:szCs w:val="19"/>
              </w:rPr>
              <w:t xml:space="preserve">3</w:t>
            </w:r>
          </w:p>
        </w:tc>
        <w:tc>
          <w:tcPr>
            <w:tcW w:type="dxa" w:w="1805"/>
            <w:tcMar>
              <w:top w:type="dxa" w:w="90"/>
              <w:left w:type="dxa" w:w="120"/>
              <w:bottom w:type="dxa" w:w="90"/>
              <w:right w:type="dxa" w:w="120"/>
            </w:tcMar>
          </w:tcPr>
          <w:p>
            <w:pPr>
              <w:spacing w:after="0" w:line="260"/>
            </w:pPr>
            <w:r>
              <w:rPr>
                <w:b w:val="false"/>
                <w:bCs w:val="false"/>
                <w:color w:val="000000"/>
                <w:sz w:val="19"/>
                <w:szCs w:val="19"/>
              </w:rPr>
              <w:t xml:space="preserve">Internal: current state</w:t>
            </w:r>
          </w:p>
        </w:tc>
        <w:tc>
          <w:tcPr>
            <w:tcW w:type="dxa" w:w="6679"/>
            <w:tcMar>
              <w:top w:type="dxa" w:w="90"/>
              <w:left w:type="dxa" w:w="120"/>
              <w:bottom w:type="dxa" w:w="90"/>
              <w:right w:type="dxa" w:w="120"/>
            </w:tcMar>
          </w:tcPr>
          <w:p>
            <w:pPr>
              <w:spacing w:after="0" w:line="260"/>
            </w:pPr>
            <w:r>
              <w:rPr>
                <w:b w:val="false"/>
                <w:bCs w:val="false"/>
                <w:color w:val="000000"/>
                <w:sz w:val="19"/>
                <w:szCs w:val="19"/>
              </w:rPr>
              <w:t xml:space="preserve">In which steps of BAS World's own chain (lead, quotation, transaction, transport, export documentation, after-sales) does AI or rule-based automation run today, which of those were bought in and which built in-house, and which roles own them?</w:t>
            </w:r>
          </w:p>
        </w:tc>
      </w:tr>
      <w:tr>
        <w:tc>
          <w:tcPr>
            <w:tcW w:type="dxa" w:w="542"/>
            <w:tcMar>
              <w:top w:type="dxa" w:w="90"/>
              <w:left w:type="dxa" w:w="120"/>
              <w:bottom w:type="dxa" w:w="90"/>
              <w:right w:type="dxa" w:w="120"/>
            </w:tcMar>
          </w:tcPr>
          <w:p>
            <w:pPr>
              <w:spacing w:after="0" w:line="260"/>
            </w:pPr>
            <w:r>
              <w:rPr>
                <w:b w:val="false"/>
                <w:bCs w:val="false"/>
                <w:color w:val="000000"/>
                <w:sz w:val="19"/>
                <w:szCs w:val="19"/>
              </w:rPr>
              <w:t xml:space="preserve">4</w:t>
            </w:r>
          </w:p>
        </w:tc>
        <w:tc>
          <w:tcPr>
            <w:tcW w:type="dxa" w:w="1805"/>
            <w:tcMar>
              <w:top w:type="dxa" w:w="90"/>
              <w:left w:type="dxa" w:w="120"/>
              <w:bottom w:type="dxa" w:w="90"/>
              <w:right w:type="dxa" w:w="120"/>
            </w:tcMar>
          </w:tcPr>
          <w:p>
            <w:pPr>
              <w:spacing w:after="0" w:line="260"/>
            </w:pPr>
            <w:r>
              <w:rPr>
                <w:b w:val="false"/>
                <w:bCs w:val="false"/>
                <w:color w:val="000000"/>
                <w:sz w:val="19"/>
                <w:szCs w:val="19"/>
              </w:rPr>
              <w:t xml:space="preserve">Internal: the limit</w:t>
            </w:r>
          </w:p>
        </w:tc>
        <w:tc>
          <w:tcPr>
            <w:tcW w:type="dxa" w:w="6679"/>
            <w:tcMar>
              <w:top w:type="dxa" w:w="90"/>
              <w:left w:type="dxa" w:w="120"/>
              <w:bottom w:type="dxa" w:w="90"/>
              <w:right w:type="dxa" w:w="120"/>
            </w:tcMar>
          </w:tcPr>
          <w:p>
            <w:pPr>
              <w:spacing w:after="0" w:line="260"/>
            </w:pPr>
            <w:r>
              <w:rPr>
                <w:b w:val="false"/>
                <w:bCs w:val="false"/>
                <w:color w:val="000000"/>
                <w:sz w:val="19"/>
                <w:szCs w:val="19"/>
              </w:rPr>
              <w:t xml:space="preserve">Which steps in that same chain do BAS World's sales, service and documentation staff find most repetitive or most tied to language, and where do they themselves draw the line past which automation would cost customer trust?</w:t>
            </w:r>
          </w:p>
        </w:tc>
      </w:tr>
    </w:tbl>
    <w:p>
      <w:pPr>
        <w:spacing w:after="160"/>
      </w:pPr>
    </w:p>
    <w:p>
      <w:pPr>
        <w:spacing w:after="140" w:before="0" w:line="280"/>
      </w:pPr>
      <w:r>
        <w:rPr>
          <w:b/>
          <w:bCs/>
          <w:color w:val="000000"/>
          <w:sz w:val="21"/>
          <w:szCs w:val="21"/>
        </w:rPr>
        <w:t xml:space="preserve">How the four fit together.</w:t>
      </w:r>
      <w:r>
        <w:rPr>
          <w:color w:val="000000"/>
          <w:sz w:val="21"/>
          <w:szCs w:val="21"/>
        </w:rPr>
        <w:t xml:space="preserve"> Questions 1 and 2 supply the outside benchmark and the binding constraints. Questions 3 and 4 supply the real starting point inside the company, plus the limit its own people accept. Drop question 3 and we recommend something that already exists. Drop question 4 and we recommend something nobody will use.</w:t>
      </w:r>
    </w:p>
    <w:p>
      <w:pPr>
        <w:pBdr>
          <w:bottom w:val="single" w:color="000000" w:sz="6" w:space="6"/>
        </w:pBdr>
        <w:spacing w:after="160" w:before="320"/>
      </w:pPr>
      <w:r>
        <w:rPr>
          <w:b/>
          <w:bCs/>
          <w:color w:val="000000"/>
          <w:sz w:val="24"/>
          <w:szCs w:val="24"/>
        </w:rPr>
        <w:t xml:space="preserve">3. TARGET AUDIENCE</w:t>
      </w:r>
    </w:p>
    <w:tbl>
      <w:tblPr>
        <w:tblW w:type="dxa" w:w="9026"/>
        <w:tblBorders>
          <w:top w:val="single" w:color="000000" w:sz="10"/>
          <w:left w:val="none" w:color="auto" w:sz="0"/>
          <w:bottom w:val="single" w:color="000000" w:sz="10"/>
          <w:right w:val="none" w:color="auto" w:sz="0"/>
          <w:insideH w:val="single" w:color="BFBFBF" w:sz="4"/>
          <w:insideV w:val="single" w:color="D9D9D9" w:sz="2"/>
        </w:tblBorders>
      </w:tblPr>
      <w:tblGrid>
        <w:gridCol w:w="2166"/>
        <w:gridCol w:w="6860"/>
      </w:tblGrid>
      <w:tr>
        <w:trPr>
          <w:tblHeader/>
        </w:trPr>
        <w:tc>
          <w:tcPr>
            <w:tcW w:type="dxa" w:w="2166"/>
            <w:shd w:fill="E8EAED" w:color="auto" w:val="clear"/>
            <w:tcMar>
              <w:top w:type="dxa" w:w="90"/>
              <w:left w:type="dxa" w:w="120"/>
              <w:bottom w:type="dxa" w:w="90"/>
              <w:right w:type="dxa" w:w="120"/>
            </w:tcMar>
          </w:tcPr>
          <w:p>
            <w:pPr>
              <w:spacing w:after="0" w:line="260"/>
            </w:pPr>
            <w:r>
              <w:rPr>
                <w:b/>
                <w:bCs/>
                <w:color w:val="000000"/>
                <w:sz w:val="19"/>
                <w:szCs w:val="19"/>
              </w:rPr>
              <w:t xml:space="preserve">Dimension</w:t>
            </w:r>
          </w:p>
        </w:tc>
        <w:tc>
          <w:tcPr>
            <w:tcW w:type="dxa" w:w="6860"/>
            <w:shd w:fill="E8EAED" w:color="auto" w:val="clear"/>
            <w:tcMar>
              <w:top w:type="dxa" w:w="90"/>
              <w:left w:type="dxa" w:w="120"/>
              <w:bottom w:type="dxa" w:w="90"/>
              <w:right w:type="dxa" w:w="120"/>
            </w:tcMar>
          </w:tcPr>
          <w:p>
            <w:pPr>
              <w:spacing w:after="0" w:line="260"/>
            </w:pPr>
            <w:r>
              <w:rPr>
                <w:b/>
                <w:bCs/>
                <w:color w:val="000000"/>
                <w:sz w:val="19"/>
                <w:szCs w:val="19"/>
              </w:rPr>
              <w:t xml:space="preserve">Description</w:t>
            </w:r>
          </w:p>
        </w:tc>
      </w:tr>
      <w:tr>
        <w:tc>
          <w:tcPr>
            <w:tcW w:type="dxa" w:w="2166"/>
            <w:tcMar>
              <w:top w:type="dxa" w:w="90"/>
              <w:left w:type="dxa" w:w="120"/>
              <w:bottom w:type="dxa" w:w="90"/>
              <w:right w:type="dxa" w:w="120"/>
            </w:tcMar>
          </w:tcPr>
          <w:p>
            <w:pPr>
              <w:spacing w:after="0" w:line="260"/>
            </w:pPr>
            <w:r>
              <w:rPr>
                <w:b w:val="false"/>
                <w:bCs w:val="false"/>
                <w:color w:val="000000"/>
                <w:sz w:val="19"/>
                <w:szCs w:val="19"/>
              </w:rPr>
              <w:t xml:space="preserve">Sector</w:t>
            </w:r>
          </w:p>
        </w:tc>
        <w:tc>
          <w:tcPr>
            <w:tcW w:type="dxa" w:w="6860"/>
            <w:tcMar>
              <w:top w:type="dxa" w:w="90"/>
              <w:left w:type="dxa" w:w="120"/>
              <w:bottom w:type="dxa" w:w="90"/>
              <w:right w:type="dxa" w:w="120"/>
            </w:tcMar>
          </w:tcPr>
          <w:p>
            <w:pPr>
              <w:spacing w:after="0" w:line="260"/>
            </w:pPr>
            <w:r>
              <w:rPr>
                <w:b w:val="false"/>
                <w:bCs w:val="false"/>
                <w:color w:val="000000"/>
                <w:sz w:val="19"/>
                <w:szCs w:val="19"/>
              </w:rPr>
              <w:t xml:space="preserve">International B2B trade in used commercial vehicles, trailers and machinery, sold in many languages from a Dutch hub into mostly non-EU markets.</w:t>
            </w:r>
          </w:p>
        </w:tc>
      </w:tr>
      <w:tr>
        <w:tc>
          <w:tcPr>
            <w:tcW w:type="dxa" w:w="2166"/>
            <w:tcMar>
              <w:top w:type="dxa" w:w="90"/>
              <w:left w:type="dxa" w:w="120"/>
              <w:bottom w:type="dxa" w:w="90"/>
              <w:right w:type="dxa" w:w="120"/>
            </w:tcMar>
          </w:tcPr>
          <w:p>
            <w:pPr>
              <w:spacing w:after="0" w:line="260"/>
            </w:pPr>
            <w:r>
              <w:rPr>
                <w:b w:val="false"/>
                <w:bCs w:val="false"/>
                <w:color w:val="000000"/>
                <w:sz w:val="19"/>
                <w:szCs w:val="19"/>
              </w:rPr>
              <w:t xml:space="preserve">Size and structure</w:t>
            </w:r>
          </w:p>
        </w:tc>
        <w:tc>
          <w:tcPr>
            <w:tcW w:type="dxa" w:w="6860"/>
            <w:tcMar>
              <w:top w:type="dxa" w:w="90"/>
              <w:left w:type="dxa" w:w="120"/>
              <w:bottom w:type="dxa" w:w="90"/>
              <w:right w:type="dxa" w:w="120"/>
            </w:tcMar>
          </w:tcPr>
          <w:p>
            <w:pPr>
              <w:spacing w:after="0" w:line="260"/>
            </w:pPr>
            <w:r>
              <w:rPr>
                <w:b w:val="false"/>
                <w:bCs w:val="false"/>
                <w:color w:val="000000"/>
                <w:sz w:val="19"/>
                <w:szCs w:val="19"/>
              </w:rPr>
              <w:t xml:space="preserve">More than 450 staff, family-owned under BAS Group in Veghel, with an in-house portal and tech capability. Unlike a typical SME, the limit here is not IT capacity. It is process, compliance and trust, which makes this a different research problem rather than a scaled-up version of the usual one.</w:t>
            </w:r>
          </w:p>
        </w:tc>
      </w:tr>
      <w:tr>
        <w:tc>
          <w:tcPr>
            <w:tcW w:type="dxa" w:w="2166"/>
            <w:tcMar>
              <w:top w:type="dxa" w:w="90"/>
              <w:left w:type="dxa" w:w="120"/>
              <w:bottom w:type="dxa" w:w="90"/>
              <w:right w:type="dxa" w:w="120"/>
            </w:tcMar>
          </w:tcPr>
          <w:p>
            <w:pPr>
              <w:spacing w:after="0" w:line="260"/>
            </w:pPr>
            <w:r>
              <w:rPr>
                <w:b w:val="false"/>
                <w:bCs w:val="false"/>
                <w:color w:val="000000"/>
                <w:sz w:val="19"/>
                <w:szCs w:val="19"/>
              </w:rPr>
              <w:t xml:space="preserve">Region</w:t>
            </w:r>
          </w:p>
        </w:tc>
        <w:tc>
          <w:tcPr>
            <w:tcW w:type="dxa" w:w="6860"/>
            <w:tcMar>
              <w:top w:type="dxa" w:w="90"/>
              <w:left w:type="dxa" w:w="120"/>
              <w:bottom w:type="dxa" w:w="90"/>
              <w:right w:type="dxa" w:w="120"/>
            </w:tcMar>
          </w:tcPr>
          <w:p>
            <w:pPr>
              <w:spacing w:after="0" w:line="260"/>
            </w:pPr>
            <w:r>
              <w:rPr>
                <w:b w:val="false"/>
                <w:bCs w:val="false"/>
                <w:color w:val="000000"/>
                <w:sz w:val="19"/>
                <w:szCs w:val="19"/>
              </w:rPr>
              <w:t xml:space="preserve">Veghel in Noord-Brabant, selling into more than 150 countries, with sites added in Dortmund and Dubai during 2024.</w:t>
            </w:r>
          </w:p>
        </w:tc>
      </w:tr>
      <w:tr>
        <w:tc>
          <w:tcPr>
            <w:tcW w:type="dxa" w:w="2166"/>
            <w:tcMar>
              <w:top w:type="dxa" w:w="90"/>
              <w:left w:type="dxa" w:w="120"/>
              <w:bottom w:type="dxa" w:w="90"/>
              <w:right w:type="dxa" w:w="120"/>
            </w:tcMar>
          </w:tcPr>
          <w:p>
            <w:pPr>
              <w:spacing w:after="0" w:line="260"/>
            </w:pPr>
            <w:r>
              <w:rPr>
                <w:b w:val="false"/>
                <w:bCs w:val="false"/>
                <w:color w:val="000000"/>
                <w:sz w:val="19"/>
                <w:szCs w:val="19"/>
              </w:rPr>
              <w:t xml:space="preserve">Named partner</w:t>
            </w:r>
          </w:p>
        </w:tc>
        <w:tc>
          <w:tcPr>
            <w:tcW w:type="dxa" w:w="6860"/>
            <w:tcMar>
              <w:top w:type="dxa" w:w="90"/>
              <w:left w:type="dxa" w:w="120"/>
              <w:bottom w:type="dxa" w:w="90"/>
              <w:right w:type="dxa" w:w="120"/>
            </w:tcMar>
          </w:tcPr>
          <w:p>
            <w:pPr>
              <w:spacing w:after="0" w:line="260"/>
            </w:pPr>
            <w:r>
              <w:rPr>
                <w:b w:val="false"/>
                <w:bCs w:val="false"/>
                <w:color w:val="000000"/>
                <w:sz w:val="19"/>
                <w:szCs w:val="19"/>
              </w:rPr>
              <w:t xml:space="preserve">BAS World.</w:t>
            </w:r>
          </w:p>
        </w:tc>
      </w:tr>
      <w:tr>
        <w:tc>
          <w:tcPr>
            <w:tcW w:type="dxa" w:w="2166"/>
            <w:tcMar>
              <w:top w:type="dxa" w:w="90"/>
              <w:left w:type="dxa" w:w="120"/>
              <w:bottom w:type="dxa" w:w="90"/>
              <w:right w:type="dxa" w:w="120"/>
            </w:tcMar>
          </w:tcPr>
          <w:p>
            <w:pPr>
              <w:spacing w:after="0" w:line="260"/>
            </w:pPr>
            <w:r>
              <w:rPr>
                <w:b w:val="false"/>
                <w:bCs w:val="false"/>
                <w:color w:val="000000"/>
                <w:sz w:val="19"/>
                <w:szCs w:val="19"/>
              </w:rPr>
              <w:t xml:space="preserve">Who reads the handbook</w:t>
            </w:r>
          </w:p>
        </w:tc>
        <w:tc>
          <w:tcPr>
            <w:tcW w:type="dxa" w:w="6860"/>
            <w:tcMar>
              <w:top w:type="dxa" w:w="90"/>
              <w:left w:type="dxa" w:w="120"/>
              <w:bottom w:type="dxa" w:w="90"/>
              <w:right w:type="dxa" w:w="120"/>
            </w:tcMar>
          </w:tcPr>
          <w:p>
            <w:pPr>
              <w:spacing w:after="0" w:line="260"/>
            </w:pPr>
            <w:r>
              <w:rPr>
                <w:b w:val="false"/>
                <w:bCs w:val="false"/>
                <w:color w:val="000000"/>
                <w:sz w:val="19"/>
                <w:szCs w:val="19"/>
              </w:rPr>
              <w:t xml:space="preserve">Commercial and operations management at BAS World. Because the handbook's standing reader is a non-technical owner, every page also has to work for a much smaller trader in the same business. Criterion 5 covers that.</w:t>
            </w:r>
          </w:p>
        </w:tc>
      </w:tr>
    </w:tbl>
    <w:p>
      <w:pPr>
        <w:spacing w:after="160"/>
      </w:pPr>
    </w:p>
    <w:p>
      <w:pPr>
        <w:pBdr>
          <w:left w:val="single" w:color="000000" w:sz="12" w:space="8"/>
        </w:pBdr>
        <w:shd w:fill="F2F2F2" w:color="auto" w:val="clear"/>
        <w:spacing w:after="120" w:before="160"/>
        <w:ind w:left="180"/>
      </w:pPr>
      <w:r>
        <w:rPr>
          <w:i/>
          <w:iCs/>
          <w:color w:val="000000"/>
          <w:sz w:val="21"/>
          <w:szCs w:val="21"/>
        </w:rPr>
        <w:t xml:space="preserve">Figures above come from the company itself. Section 5 says how we treat them.</w:t>
      </w:r>
    </w:p>
    <w:p>
      <w:pPr>
        <w:pBdr>
          <w:bottom w:val="single" w:color="000000" w:sz="6" w:space="6"/>
        </w:pBdr>
        <w:spacing w:after="160" w:before="320"/>
      </w:pPr>
      <w:r>
        <w:rPr>
          <w:b/>
          <w:bCs/>
          <w:color w:val="000000"/>
          <w:sz w:val="24"/>
          <w:szCs w:val="24"/>
        </w:rPr>
        <w:t xml:space="preserve">4. QUALITY CRITERIA FOR THE HANDBOOK</w:t>
      </w:r>
    </w:p>
    <w:p>
      <w:pPr>
        <w:spacing w:after="140" w:before="0" w:line="280"/>
      </w:pPr>
      <w:r>
        <w:rPr>
          <w:b/>
          <w:bCs/>
          <w:color w:val="000000"/>
          <w:sz w:val="21"/>
          <w:szCs w:val="21"/>
        </w:rPr>
        <w:t xml:space="preserve">Floor criteria from the chapter template.</w:t>
      </w:r>
      <w:r>
        <w:rPr>
          <w:color w:val="000000"/>
          <w:sz w:val="21"/>
          <w:szCs w:val="21"/>
        </w:rPr>
        <w:t xml:space="preserve"> Clear to a non-technical reader. Accurate against appraised sources. Covers responsible AI. Useful to an owner.</w:t>
      </w:r>
    </w:p>
    <w:p>
      <w:pPr>
        <w:spacing w:after="100" w:before="160" w:line="280"/>
      </w:pPr>
      <w:r>
        <w:rPr>
          <w:b/>
          <w:bCs/>
          <w:color w:val="000000"/>
          <w:sz w:val="21"/>
          <w:szCs w:val="21"/>
        </w:rPr>
        <w:t xml:space="preserve">Ours on top of those</w:t>
      </w:r>
    </w:p>
    <w:tbl>
      <w:tblPr>
        <w:tblW w:type="dxa" w:w="9026"/>
        <w:tblBorders>
          <w:top w:val="single" w:color="000000" w:sz="10"/>
          <w:left w:val="none" w:color="auto" w:sz="0"/>
          <w:bottom w:val="single" w:color="000000" w:sz="10"/>
          <w:right w:val="none" w:color="auto" w:sz="0"/>
          <w:insideH w:val="single" w:color="BFBFBF" w:sz="4"/>
          <w:insideV w:val="single" w:color="D9D9D9" w:sz="2"/>
        </w:tblBorders>
      </w:tblPr>
      <w:tblGrid>
        <w:gridCol w:w="542"/>
        <w:gridCol w:w="8484"/>
      </w:tblGrid>
      <w:tr>
        <w:trPr>
          <w:tblHeader/>
        </w:trPr>
        <w:tc>
          <w:tcPr>
            <w:tcW w:type="dxa" w:w="542"/>
            <w:shd w:fill="E8EAED" w:color="auto" w:val="clear"/>
            <w:tcMar>
              <w:top w:type="dxa" w:w="90"/>
              <w:left w:type="dxa" w:w="120"/>
              <w:bottom w:type="dxa" w:w="90"/>
              <w:right w:type="dxa" w:w="120"/>
            </w:tcMar>
          </w:tcPr>
          <w:p>
            <w:pPr>
              <w:spacing w:after="0" w:line="260"/>
            </w:pPr>
            <w:r>
              <w:rPr>
                <w:b/>
                <w:bCs/>
                <w:color w:val="000000"/>
                <w:sz w:val="19"/>
                <w:szCs w:val="19"/>
              </w:rPr>
              <w:t xml:space="preserve">#</w:t>
            </w:r>
          </w:p>
        </w:tc>
        <w:tc>
          <w:tcPr>
            <w:tcW w:type="dxa" w:w="8484"/>
            <w:shd w:fill="E8EAED" w:color="auto" w:val="clear"/>
            <w:tcMar>
              <w:top w:type="dxa" w:w="90"/>
              <w:left w:type="dxa" w:w="120"/>
              <w:bottom w:type="dxa" w:w="90"/>
              <w:right w:type="dxa" w:w="120"/>
            </w:tcMar>
          </w:tcPr>
          <w:p>
            <w:pPr>
              <w:spacing w:after="0" w:line="260"/>
            </w:pPr>
            <w:r>
              <w:rPr>
                <w:b/>
                <w:bCs/>
                <w:color w:val="000000"/>
                <w:sz w:val="19"/>
                <w:szCs w:val="19"/>
              </w:rPr>
              <w:t xml:space="preserve">Criterion</w:t>
            </w:r>
          </w:p>
        </w:tc>
      </w:tr>
      <w:tr>
        <w:tc>
          <w:tcPr>
            <w:tcW w:type="dxa" w:w="542"/>
            <w:tcMar>
              <w:top w:type="dxa" w:w="90"/>
              <w:left w:type="dxa" w:w="120"/>
              <w:bottom w:type="dxa" w:w="90"/>
              <w:right w:type="dxa" w:w="120"/>
            </w:tcMar>
          </w:tcPr>
          <w:p>
            <w:pPr>
              <w:spacing w:after="0" w:line="260"/>
            </w:pPr>
            <w:r>
              <w:rPr>
                <w:b w:val="false"/>
                <w:bCs w:val="false"/>
                <w:color w:val="000000"/>
                <w:sz w:val="19"/>
                <w:szCs w:val="19"/>
              </w:rPr>
              <w:t xml:space="preserve">1</w:t>
            </w:r>
          </w:p>
        </w:tc>
        <w:tc>
          <w:tcPr>
            <w:tcW w:type="dxa" w:w="8484"/>
            <w:tcMar>
              <w:top w:type="dxa" w:w="90"/>
              <w:left w:type="dxa" w:w="120"/>
              <w:bottom w:type="dxa" w:w="90"/>
              <w:right w:type="dxa" w:w="120"/>
            </w:tcMar>
          </w:tcPr>
          <w:p>
            <w:pPr>
              <w:spacing w:after="0" w:line="260"/>
            </w:pPr>
            <w:r>
              <w:rPr>
                <w:b w:val="false"/>
                <w:bCs w:val="false"/>
                <w:color w:val="000000"/>
                <w:sz w:val="19"/>
                <w:szCs w:val="19"/>
              </w:rPr>
              <w:t xml:space="preserve">Every recommendation attaches to a </w:t>
            </w:r>
            <w:r>
              <w:rPr>
                <w:b/>
                <w:bCs/>
                <w:color w:val="000000"/>
                <w:sz w:val="19"/>
                <w:szCs w:val="19"/>
              </w:rPr>
              <w:t xml:space="preserve">named step</w:t>
            </w:r>
            <w:r>
              <w:rPr>
                <w:b w:val="false"/>
                <w:bCs w:val="false"/>
                <w:color w:val="000000"/>
                <w:sz w:val="19"/>
                <w:szCs w:val="19"/>
              </w:rPr>
              <w:t xml:space="preserve"> in the sales or documentation chain, never to a category of tool.</w:t>
            </w:r>
          </w:p>
        </w:tc>
      </w:tr>
      <w:tr>
        <w:tc>
          <w:tcPr>
            <w:tcW w:type="dxa" w:w="542"/>
            <w:tcMar>
              <w:top w:type="dxa" w:w="90"/>
              <w:left w:type="dxa" w:w="120"/>
              <w:bottom w:type="dxa" w:w="90"/>
              <w:right w:type="dxa" w:w="120"/>
            </w:tcMar>
          </w:tcPr>
          <w:p>
            <w:pPr>
              <w:spacing w:after="0" w:line="260"/>
            </w:pPr>
            <w:r>
              <w:rPr>
                <w:b w:val="false"/>
                <w:bCs w:val="false"/>
                <w:color w:val="000000"/>
                <w:sz w:val="19"/>
                <w:szCs w:val="19"/>
              </w:rPr>
              <w:t xml:space="preserve">2</w:t>
            </w:r>
          </w:p>
        </w:tc>
        <w:tc>
          <w:tcPr>
            <w:tcW w:type="dxa" w:w="8484"/>
            <w:tcMar>
              <w:top w:type="dxa" w:w="90"/>
              <w:left w:type="dxa" w:w="120"/>
              <w:bottom w:type="dxa" w:w="90"/>
              <w:right w:type="dxa" w:w="120"/>
            </w:tcMar>
          </w:tcPr>
          <w:p>
            <w:pPr>
              <w:spacing w:after="0" w:line="260"/>
            </w:pPr>
            <w:r>
              <w:rPr>
                <w:b w:val="false"/>
                <w:bCs w:val="false"/>
                <w:color w:val="000000"/>
                <w:sz w:val="19"/>
                <w:szCs w:val="19"/>
              </w:rPr>
              <w:t xml:space="preserve">Time-saving automation and automation that touches the customer relationship stay apart, and each recommendation says which of the two it is.</w:t>
            </w:r>
          </w:p>
        </w:tc>
      </w:tr>
      <w:tr>
        <w:tc>
          <w:tcPr>
            <w:tcW w:type="dxa" w:w="542"/>
            <w:tcMar>
              <w:top w:type="dxa" w:w="90"/>
              <w:left w:type="dxa" w:w="120"/>
              <w:bottom w:type="dxa" w:w="90"/>
              <w:right w:type="dxa" w:w="120"/>
            </w:tcMar>
          </w:tcPr>
          <w:p>
            <w:pPr>
              <w:spacing w:after="0" w:line="260"/>
            </w:pPr>
            <w:r>
              <w:rPr>
                <w:b w:val="false"/>
                <w:bCs w:val="false"/>
                <w:color w:val="000000"/>
                <w:sz w:val="19"/>
                <w:szCs w:val="19"/>
              </w:rPr>
              <w:t xml:space="preserve">3</w:t>
            </w:r>
          </w:p>
        </w:tc>
        <w:tc>
          <w:tcPr>
            <w:tcW w:type="dxa" w:w="8484"/>
            <w:tcMar>
              <w:top w:type="dxa" w:w="90"/>
              <w:left w:type="dxa" w:w="120"/>
              <w:bottom w:type="dxa" w:w="90"/>
              <w:right w:type="dxa" w:w="120"/>
            </w:tcMar>
          </w:tcPr>
          <w:p>
            <w:pPr>
              <w:spacing w:after="0" w:line="260"/>
            </w:pPr>
            <w:r>
              <w:rPr>
                <w:b w:val="false"/>
                <w:bCs w:val="false"/>
                <w:color w:val="000000"/>
                <w:sz w:val="19"/>
                <w:szCs w:val="19"/>
              </w:rPr>
              <w:t xml:space="preserve">Each recommendation names the </w:t>
            </w:r>
            <w:r>
              <w:rPr>
                <w:b/>
                <w:bCs/>
                <w:color w:val="000000"/>
                <w:sz w:val="19"/>
                <w:szCs w:val="19"/>
              </w:rPr>
              <w:t xml:space="preserve">duty that applies</w:t>
            </w:r>
            <w:r>
              <w:rPr>
                <w:b w:val="false"/>
                <w:bCs w:val="false"/>
                <w:color w:val="000000"/>
                <w:sz w:val="19"/>
                <w:szCs w:val="19"/>
              </w:rPr>
              <w:t xml:space="preserve"> (AI Act, GDPR, sanctions screening) and what evidence would show compliance.</w:t>
            </w:r>
          </w:p>
        </w:tc>
      </w:tr>
      <w:tr>
        <w:tc>
          <w:tcPr>
            <w:tcW w:type="dxa" w:w="542"/>
            <w:tcMar>
              <w:top w:type="dxa" w:w="90"/>
              <w:left w:type="dxa" w:w="120"/>
              <w:bottom w:type="dxa" w:w="90"/>
              <w:right w:type="dxa" w:w="120"/>
            </w:tcMar>
          </w:tcPr>
          <w:p>
            <w:pPr>
              <w:spacing w:after="0" w:line="260"/>
            </w:pPr>
            <w:r>
              <w:rPr>
                <w:b w:val="false"/>
                <w:bCs w:val="false"/>
                <w:color w:val="000000"/>
                <w:sz w:val="19"/>
                <w:szCs w:val="19"/>
              </w:rPr>
              <w:t xml:space="preserve">4</w:t>
            </w:r>
          </w:p>
        </w:tc>
        <w:tc>
          <w:tcPr>
            <w:tcW w:type="dxa" w:w="8484"/>
            <w:tcMar>
              <w:top w:type="dxa" w:w="90"/>
              <w:left w:type="dxa" w:w="120"/>
              <w:bottom w:type="dxa" w:w="90"/>
              <w:right w:type="dxa" w:w="120"/>
            </w:tcMar>
          </w:tcPr>
          <w:p>
            <w:pPr>
              <w:spacing w:after="0" w:line="260"/>
            </w:pPr>
            <w:r>
              <w:rPr>
                <w:b w:val="false"/>
                <w:bCs w:val="false"/>
                <w:color w:val="000000"/>
                <w:sz w:val="19"/>
                <w:szCs w:val="19"/>
              </w:rPr>
              <w:t xml:space="preserve">Every figure carries a label, company-reported or independently verifiable, and the first is never dressed up as the second.</w:t>
            </w:r>
          </w:p>
        </w:tc>
      </w:tr>
      <w:tr>
        <w:tc>
          <w:tcPr>
            <w:tcW w:type="dxa" w:w="542"/>
            <w:tcMar>
              <w:top w:type="dxa" w:w="90"/>
              <w:left w:type="dxa" w:w="120"/>
              <w:bottom w:type="dxa" w:w="90"/>
              <w:right w:type="dxa" w:w="120"/>
            </w:tcMar>
          </w:tcPr>
          <w:p>
            <w:pPr>
              <w:spacing w:after="0" w:line="260"/>
            </w:pPr>
            <w:r>
              <w:rPr>
                <w:b w:val="false"/>
                <w:bCs w:val="false"/>
                <w:color w:val="000000"/>
                <w:sz w:val="19"/>
                <w:szCs w:val="19"/>
              </w:rPr>
              <w:t xml:space="preserve">5</w:t>
            </w:r>
          </w:p>
        </w:tc>
        <w:tc>
          <w:tcPr>
            <w:tcW w:type="dxa" w:w="8484"/>
            <w:tcMar>
              <w:top w:type="dxa" w:w="90"/>
              <w:left w:type="dxa" w:w="120"/>
              <w:bottom w:type="dxa" w:w="90"/>
              <w:right w:type="dxa" w:w="120"/>
            </w:tcMar>
          </w:tcPr>
          <w:p>
            <w:pPr>
              <w:spacing w:after="0" w:line="260"/>
            </w:pPr>
            <w:r>
              <w:rPr>
                <w:b w:val="false"/>
                <w:bCs w:val="false"/>
                <w:color w:val="000000"/>
                <w:sz w:val="19"/>
                <w:szCs w:val="19"/>
              </w:rPr>
              <w:t xml:space="preserve">Each recommendation states what a trader with 10 to 50 staff in the same business would need to run a </w:t>
            </w:r>
            <w:r>
              <w:rPr>
                <w:b/>
                <w:bCs/>
                <w:color w:val="000000"/>
                <w:sz w:val="19"/>
                <w:szCs w:val="19"/>
              </w:rPr>
              <w:t xml:space="preserve">smaller version</w:t>
            </w:r>
            <w:r>
              <w:rPr>
                <w:b w:val="false"/>
                <w:bCs w:val="false"/>
                <w:color w:val="000000"/>
                <w:sz w:val="19"/>
                <w:szCs w:val="19"/>
              </w:rPr>
              <w:t xml:space="preserve"> of it. This is how we honour the handbook's SME framing while working with a large partner.</w:t>
            </w:r>
          </w:p>
        </w:tc>
      </w:tr>
      <w:tr>
        <w:tc>
          <w:tcPr>
            <w:tcW w:type="dxa" w:w="542"/>
            <w:tcMar>
              <w:top w:type="dxa" w:w="90"/>
              <w:left w:type="dxa" w:w="120"/>
              <w:bottom w:type="dxa" w:w="90"/>
              <w:right w:type="dxa" w:w="120"/>
            </w:tcMar>
          </w:tcPr>
          <w:p>
            <w:pPr>
              <w:spacing w:after="0" w:line="260"/>
            </w:pPr>
            <w:r>
              <w:rPr>
                <w:b w:val="false"/>
                <w:bCs w:val="false"/>
                <w:color w:val="000000"/>
                <w:sz w:val="19"/>
                <w:szCs w:val="19"/>
              </w:rPr>
              <w:t xml:space="preserve">6</w:t>
            </w:r>
          </w:p>
        </w:tc>
        <w:tc>
          <w:tcPr>
            <w:tcW w:type="dxa" w:w="8484"/>
            <w:tcMar>
              <w:top w:type="dxa" w:w="90"/>
              <w:left w:type="dxa" w:w="120"/>
              <w:bottom w:type="dxa" w:w="90"/>
              <w:right w:type="dxa" w:w="120"/>
            </w:tcMar>
          </w:tcPr>
          <w:p>
            <w:pPr>
              <w:spacing w:after="0" w:line="260"/>
            </w:pPr>
            <w:r>
              <w:rPr>
                <w:b w:val="false"/>
                <w:bCs w:val="false"/>
                <w:color w:val="000000"/>
                <w:sz w:val="19"/>
                <w:szCs w:val="19"/>
              </w:rPr>
              <w:t xml:space="preserve">The page closes with one concrete next step: an owner, a rough cost, and a way to tell inside three months whether it worked.</w:t>
            </w:r>
          </w:p>
        </w:tc>
      </w:tr>
    </w:tbl>
    <w:p>
      <w:pPr>
        <w:spacing w:after="160"/>
      </w:pPr>
    </w:p>
    <w:p>
      <w:pPr>
        <w:spacing w:after="140" w:before="0" w:line="280"/>
      </w:pPr>
      <w:r>
        <w:rPr>
          <w:b/>
          <w:bCs/>
          <w:color w:val="000000"/>
          <w:sz w:val="21"/>
          <w:szCs w:val="21"/>
        </w:rPr>
        <w:t xml:space="preserve">Cross-check.</w:t>
      </w:r>
      <w:r>
        <w:rPr>
          <w:color w:val="000000"/>
          <w:sz w:val="21"/>
          <w:szCs w:val="21"/>
        </w:rPr>
        <w:t xml:space="preserve"> This list has to match "Output qualities" in the PRD. It currently does.</w:t>
      </w:r>
    </w:p>
    <w:p>
      <w:pPr>
        <w:pBdr>
          <w:bottom w:val="single" w:color="000000" w:sz="6" w:space="6"/>
        </w:pBdr>
        <w:spacing w:after="160" w:before="320"/>
      </w:pPr>
      <w:r>
        <w:rPr>
          <w:b/>
          <w:bCs/>
          <w:color w:val="000000"/>
          <w:sz w:val="24"/>
          <w:szCs w:val="24"/>
        </w:rPr>
        <w:t xml:space="preserve">5. METHODOLOGY</w:t>
      </w:r>
    </w:p>
    <w:p>
      <w:pPr>
        <w:spacing w:after="100" w:before="160" w:line="280"/>
      </w:pPr>
      <w:r>
        <w:rPr>
          <w:b/>
          <w:bCs/>
          <w:color w:val="000000"/>
          <w:sz w:val="21"/>
          <w:szCs w:val="21"/>
        </w:rPr>
        <w:t xml:space="preserve">Desk research</w:t>
      </w:r>
    </w:p>
    <w:tbl>
      <w:tblPr>
        <w:tblW w:type="dxa" w:w="9026"/>
        <w:tblBorders>
          <w:top w:val="single" w:color="000000" w:sz="10"/>
          <w:left w:val="none" w:color="auto" w:sz="0"/>
          <w:bottom w:val="single" w:color="000000" w:sz="10"/>
          <w:right w:val="none" w:color="auto" w:sz="0"/>
          <w:insideH w:val="single" w:color="BFBFBF" w:sz="4"/>
          <w:insideV w:val="single" w:color="D9D9D9" w:sz="2"/>
        </w:tblBorders>
      </w:tblPr>
      <w:tblGrid>
        <w:gridCol w:w="2347"/>
        <w:gridCol w:w="6679"/>
      </w:tblGrid>
      <w:tr>
        <w:trPr>
          <w:tblHeader/>
        </w:trPr>
        <w:tc>
          <w:tcPr>
            <w:tcW w:type="dxa" w:w="2347"/>
            <w:shd w:fill="E8EAED" w:color="auto" w:val="clear"/>
            <w:tcMar>
              <w:top w:type="dxa" w:w="90"/>
              <w:left w:type="dxa" w:w="120"/>
              <w:bottom w:type="dxa" w:w="90"/>
              <w:right w:type="dxa" w:w="120"/>
            </w:tcMar>
          </w:tcPr>
          <w:p>
            <w:pPr>
              <w:spacing w:after="0" w:line="260"/>
            </w:pPr>
            <w:r>
              <w:rPr>
                <w:b/>
                <w:bCs/>
                <w:color w:val="000000"/>
                <w:sz w:val="19"/>
                <w:szCs w:val="19"/>
              </w:rPr>
              <w:t xml:space="preserve">Element</w:t>
            </w:r>
          </w:p>
        </w:tc>
        <w:tc>
          <w:tcPr>
            <w:tcW w:type="dxa" w:w="6679"/>
            <w:shd w:fill="E8EAED" w:color="auto" w:val="clear"/>
            <w:tcMar>
              <w:top w:type="dxa" w:w="90"/>
              <w:left w:type="dxa" w:w="120"/>
              <w:bottom w:type="dxa" w:w="90"/>
              <w:right w:type="dxa" w:w="120"/>
            </w:tcMar>
          </w:tcPr>
          <w:p>
            <w:pPr>
              <w:spacing w:after="0" w:line="260"/>
            </w:pPr>
            <w:r>
              <w:rPr>
                <w:b/>
                <w:bCs/>
                <w:color w:val="000000"/>
                <w:sz w:val="19"/>
                <w:szCs w:val="19"/>
              </w:rPr>
              <w:t xml:space="preserve">How we handle it</w:t>
            </w:r>
          </w:p>
        </w:tc>
      </w:tr>
      <w:tr>
        <w:tc>
          <w:tcPr>
            <w:tcW w:type="dxa" w:w="2347"/>
            <w:tcMar>
              <w:top w:type="dxa" w:w="90"/>
              <w:left w:type="dxa" w:w="120"/>
              <w:bottom w:type="dxa" w:w="90"/>
              <w:right w:type="dxa" w:w="120"/>
            </w:tcMar>
          </w:tcPr>
          <w:p>
            <w:pPr>
              <w:spacing w:after="0" w:line="260"/>
            </w:pPr>
            <w:r>
              <w:rPr>
                <w:b w:val="false"/>
                <w:bCs w:val="false"/>
                <w:color w:val="000000"/>
                <w:sz w:val="19"/>
                <w:szCs w:val="19"/>
              </w:rPr>
              <w:t xml:space="preserve">Sources</w:t>
            </w:r>
          </w:p>
        </w:tc>
        <w:tc>
          <w:tcPr>
            <w:tcW w:type="dxa" w:w="6679"/>
            <w:tcMar>
              <w:top w:type="dxa" w:w="90"/>
              <w:left w:type="dxa" w:w="120"/>
              <w:bottom w:type="dxa" w:w="90"/>
              <w:right w:type="dxa" w:w="120"/>
            </w:tcMar>
          </w:tcPr>
          <w:p>
            <w:pPr>
              <w:spacing w:after="0" w:line="260"/>
            </w:pPr>
            <w:r>
              <w:rPr>
                <w:b w:val="false"/>
                <w:bCs w:val="false"/>
                <w:color w:val="000000"/>
                <w:sz w:val="19"/>
                <w:szCs w:val="19"/>
              </w:rPr>
              <w:t xml:space="preserve">EU primary material (consolidated AI Act text, Regulation 833/2014 with its amending packages, OLAF publications), Dutch statistical and registry material (CBS, KvK), the Draghi report, sector platforms, trade press.</w:t>
            </w:r>
          </w:p>
        </w:tc>
      </w:tr>
      <w:tr>
        <w:tc>
          <w:tcPr>
            <w:tcW w:type="dxa" w:w="2347"/>
            <w:tcMar>
              <w:top w:type="dxa" w:w="90"/>
              <w:left w:type="dxa" w:w="120"/>
              <w:bottom w:type="dxa" w:w="90"/>
              <w:right w:type="dxa" w:w="120"/>
            </w:tcMar>
          </w:tcPr>
          <w:p>
            <w:pPr>
              <w:spacing w:after="0" w:line="260"/>
            </w:pPr>
            <w:r>
              <w:rPr>
                <w:b w:val="false"/>
                <w:bCs w:val="false"/>
                <w:color w:val="000000"/>
                <w:sz w:val="19"/>
                <w:szCs w:val="19"/>
              </w:rPr>
              <w:t xml:space="preserve">Selection and appraisal</w:t>
            </w:r>
          </w:p>
        </w:tc>
        <w:tc>
          <w:tcPr>
            <w:tcW w:type="dxa" w:w="6679"/>
            <w:tcMar>
              <w:top w:type="dxa" w:w="90"/>
              <w:left w:type="dxa" w:w="120"/>
              <w:bottom w:type="dxa" w:w="90"/>
              <w:right w:type="dxa" w:w="120"/>
            </w:tcMar>
          </w:tcPr>
          <w:p>
            <w:pPr>
              <w:spacing w:after="0" w:line="260"/>
            </w:pPr>
            <w:r>
              <w:rPr>
                <w:b w:val="false"/>
                <w:bCs w:val="false"/>
                <w:color w:val="000000"/>
                <w:sz w:val="19"/>
                <w:szCs w:val="19"/>
              </w:rPr>
              <w:t xml:space="preserve">Each source gets scored on credibility (who publishes it, what interest they hold), relevance (which sub-question it feeds), and recency (regulation dated to the version in force in September 2026, not to the package that first introduced it). A company's own description of itself counts as a claim about the company, never as independent evidence. Where sources disagree we report the disagreement instead of picking the bigger number: BAS World states more than 18 languages, while the Trengo customer case describing its chat layer specifies 13 localised language journeys. Those cannot be the same measure.</w:t>
            </w:r>
          </w:p>
        </w:tc>
      </w:tr>
      <w:tr>
        <w:tc>
          <w:tcPr>
            <w:tcW w:type="dxa" w:w="2347"/>
            <w:tcMar>
              <w:top w:type="dxa" w:w="90"/>
              <w:left w:type="dxa" w:w="120"/>
              <w:bottom w:type="dxa" w:w="90"/>
              <w:right w:type="dxa" w:w="120"/>
            </w:tcMar>
          </w:tcPr>
          <w:p>
            <w:pPr>
              <w:spacing w:after="0" w:line="260"/>
            </w:pPr>
            <w:r>
              <w:rPr>
                <w:b w:val="false"/>
                <w:bCs w:val="false"/>
                <w:color w:val="000000"/>
                <w:sz w:val="19"/>
                <w:szCs w:val="19"/>
              </w:rPr>
              <w:t xml:space="preserve">Language</w:t>
            </w:r>
          </w:p>
        </w:tc>
        <w:tc>
          <w:tcPr>
            <w:tcW w:type="dxa" w:w="6679"/>
            <w:tcMar>
              <w:top w:type="dxa" w:w="90"/>
              <w:left w:type="dxa" w:w="120"/>
              <w:bottom w:type="dxa" w:w="90"/>
              <w:right w:type="dxa" w:w="120"/>
            </w:tcMar>
          </w:tcPr>
          <w:p>
            <w:pPr>
              <w:spacing w:after="0" w:line="260"/>
            </w:pPr>
            <w:r>
              <w:rPr>
                <w:b w:val="false"/>
                <w:bCs w:val="false"/>
                <w:color w:val="000000"/>
                <w:sz w:val="19"/>
                <w:szCs w:val="19"/>
              </w:rPr>
              <w:t xml:space="preserve">Dutch sources get appraised in Dutch, before any translation, and are translated only for drafting. PRD section 5 covers the mechanics.</w:t>
            </w:r>
          </w:p>
        </w:tc>
      </w:tr>
      <w:tr>
        <w:tc>
          <w:tcPr>
            <w:tcW w:type="dxa" w:w="2347"/>
            <w:tcMar>
              <w:top w:type="dxa" w:w="90"/>
              <w:left w:type="dxa" w:w="120"/>
              <w:bottom w:type="dxa" w:w="90"/>
              <w:right w:type="dxa" w:w="120"/>
            </w:tcMar>
          </w:tcPr>
          <w:p>
            <w:pPr>
              <w:spacing w:after="0" w:line="260"/>
            </w:pPr>
            <w:r>
              <w:rPr>
                <w:b w:val="false"/>
                <w:bCs w:val="false"/>
                <w:color w:val="000000"/>
                <w:sz w:val="19"/>
                <w:szCs w:val="19"/>
              </w:rPr>
              <w:t xml:space="preserve">Feeds</w:t>
            </w:r>
          </w:p>
        </w:tc>
        <w:tc>
          <w:tcPr>
            <w:tcW w:type="dxa" w:w="6679"/>
            <w:tcMar>
              <w:top w:type="dxa" w:w="90"/>
              <w:left w:type="dxa" w:w="120"/>
              <w:bottom w:type="dxa" w:w="90"/>
              <w:right w:type="dxa" w:w="120"/>
            </w:tcMar>
          </w:tcPr>
          <w:p>
            <w:pPr>
              <w:spacing w:after="0" w:line="260"/>
            </w:pPr>
            <w:r>
              <w:rPr>
                <w:b w:val="false"/>
                <w:bCs w:val="false"/>
                <w:color w:val="000000"/>
                <w:sz w:val="19"/>
                <w:szCs w:val="19"/>
              </w:rPr>
              <w:t xml:space="preserve">Sub-questions 1 and 2.</w:t>
            </w:r>
          </w:p>
        </w:tc>
      </w:tr>
    </w:tbl>
    <w:p>
      <w:pPr>
        <w:spacing w:after="160"/>
      </w:pPr>
    </w:p>
    <w:p>
      <w:pPr>
        <w:spacing w:after="100" w:before="160" w:line="280"/>
      </w:pPr>
      <w:r>
        <w:rPr>
          <w:b/>
          <w:bCs/>
          <w:color w:val="000000"/>
          <w:sz w:val="21"/>
          <w:szCs w:val="21"/>
        </w:rPr>
        <w:t xml:space="preserve">Field research: one company visit, weeks 2 to 4</w:t>
      </w:r>
    </w:p>
    <w:tbl>
      <w:tblPr>
        <w:tblW w:type="dxa" w:w="9026"/>
        <w:tblBorders>
          <w:top w:val="single" w:color="000000" w:sz="10"/>
          <w:left w:val="none" w:color="auto" w:sz="0"/>
          <w:bottom w:val="single" w:color="000000" w:sz="10"/>
          <w:right w:val="none" w:color="auto" w:sz="0"/>
          <w:insideH w:val="single" w:color="BFBFBF" w:sz="4"/>
          <w:insideV w:val="single" w:color="D9D9D9" w:sz="2"/>
        </w:tblBorders>
      </w:tblPr>
      <w:tblGrid>
        <w:gridCol w:w="2347"/>
        <w:gridCol w:w="6679"/>
      </w:tblGrid>
      <w:tr>
        <w:trPr>
          <w:tblHeader/>
        </w:trPr>
        <w:tc>
          <w:tcPr>
            <w:tcW w:type="dxa" w:w="2347"/>
            <w:shd w:fill="E8EAED" w:color="auto" w:val="clear"/>
            <w:tcMar>
              <w:top w:type="dxa" w:w="90"/>
              <w:left w:type="dxa" w:w="120"/>
              <w:bottom w:type="dxa" w:w="90"/>
              <w:right w:type="dxa" w:w="120"/>
            </w:tcMar>
          </w:tcPr>
          <w:p>
            <w:pPr>
              <w:spacing w:after="0" w:line="260"/>
            </w:pPr>
            <w:r>
              <w:rPr>
                <w:b/>
                <w:bCs/>
                <w:color w:val="000000"/>
                <w:sz w:val="19"/>
                <w:szCs w:val="19"/>
              </w:rPr>
              <w:t xml:space="preserve">Element</w:t>
            </w:r>
          </w:p>
        </w:tc>
        <w:tc>
          <w:tcPr>
            <w:tcW w:type="dxa" w:w="6679"/>
            <w:shd w:fill="E8EAED" w:color="auto" w:val="clear"/>
            <w:tcMar>
              <w:top w:type="dxa" w:w="90"/>
              <w:left w:type="dxa" w:w="120"/>
              <w:bottom w:type="dxa" w:w="90"/>
              <w:right w:type="dxa" w:w="120"/>
            </w:tcMar>
          </w:tcPr>
          <w:p>
            <w:pPr>
              <w:spacing w:after="0" w:line="260"/>
            </w:pPr>
            <w:r>
              <w:rPr>
                <w:b/>
                <w:bCs/>
                <w:color w:val="000000"/>
                <w:sz w:val="19"/>
                <w:szCs w:val="19"/>
              </w:rPr>
              <w:t xml:space="preserve">How we handle it</w:t>
            </w:r>
          </w:p>
        </w:tc>
      </w:tr>
      <w:tr>
        <w:tc>
          <w:tcPr>
            <w:tcW w:type="dxa" w:w="2347"/>
            <w:tcMar>
              <w:top w:type="dxa" w:w="90"/>
              <w:left w:type="dxa" w:w="120"/>
              <w:bottom w:type="dxa" w:w="90"/>
              <w:right w:type="dxa" w:w="120"/>
            </w:tcMar>
          </w:tcPr>
          <w:p>
            <w:pPr>
              <w:spacing w:after="0" w:line="260"/>
            </w:pPr>
            <w:r>
              <w:rPr>
                <w:b w:val="false"/>
                <w:bCs w:val="false"/>
                <w:color w:val="000000"/>
                <w:sz w:val="19"/>
                <w:szCs w:val="19"/>
              </w:rPr>
              <w:t xml:space="preserve">Who</w:t>
            </w:r>
          </w:p>
        </w:tc>
        <w:tc>
          <w:tcPr>
            <w:tcW w:type="dxa" w:w="6679"/>
            <w:tcMar>
              <w:top w:type="dxa" w:w="90"/>
              <w:left w:type="dxa" w:w="120"/>
              <w:bottom w:type="dxa" w:w="90"/>
              <w:right w:type="dxa" w:w="120"/>
            </w:tcMar>
          </w:tcPr>
          <w:p>
            <w:pPr>
              <w:spacing w:after="0" w:line="260"/>
            </w:pPr>
            <w:r>
              <w:rPr>
                <w:b w:val="false"/>
                <w:bCs w:val="false"/>
                <w:color w:val="000000"/>
                <w:sz w:val="19"/>
                <w:szCs w:val="19"/>
              </w:rPr>
              <w:t xml:space="preserve">One or two people from international sales or customer service, and where we can get it, one from export documentation, since that is where sanctions and customs work lands.</w:t>
            </w:r>
          </w:p>
        </w:tc>
      </w:tr>
      <w:tr>
        <w:tc>
          <w:tcPr>
            <w:tcW w:type="dxa" w:w="2347"/>
            <w:tcMar>
              <w:top w:type="dxa" w:w="90"/>
              <w:left w:type="dxa" w:w="120"/>
              <w:bottom w:type="dxa" w:w="90"/>
              <w:right w:type="dxa" w:w="120"/>
            </w:tcMar>
          </w:tcPr>
          <w:p>
            <w:pPr>
              <w:spacing w:after="0" w:line="260"/>
            </w:pPr>
            <w:r>
              <w:rPr>
                <w:b w:val="false"/>
                <w:bCs w:val="false"/>
                <w:color w:val="000000"/>
                <w:sz w:val="19"/>
                <w:szCs w:val="19"/>
              </w:rPr>
              <w:t xml:space="preserve">Subject</w:t>
            </w:r>
          </w:p>
        </w:tc>
        <w:tc>
          <w:tcPr>
            <w:tcW w:type="dxa" w:w="6679"/>
            <w:tcMar>
              <w:top w:type="dxa" w:w="90"/>
              <w:left w:type="dxa" w:w="120"/>
              <w:bottom w:type="dxa" w:w="90"/>
              <w:right w:type="dxa" w:w="120"/>
            </w:tcMar>
          </w:tcPr>
          <w:p>
            <w:pPr>
              <w:spacing w:after="0" w:line="260"/>
            </w:pPr>
            <w:r>
              <w:rPr>
                <w:b w:val="false"/>
                <w:bCs w:val="false"/>
                <w:color w:val="000000"/>
                <w:sz w:val="19"/>
                <w:szCs w:val="19"/>
              </w:rPr>
              <w:t xml:space="preserve">A walk through the chain from lead to delivered document, with questions per step on tooling, time spent, language and irritation, followed by the boundary question from sub-question 4.</w:t>
            </w:r>
          </w:p>
        </w:tc>
      </w:tr>
      <w:tr>
        <w:tc>
          <w:tcPr>
            <w:tcW w:type="dxa" w:w="2347"/>
            <w:tcMar>
              <w:top w:type="dxa" w:w="90"/>
              <w:left w:type="dxa" w:w="120"/>
              <w:bottom w:type="dxa" w:w="90"/>
              <w:right w:type="dxa" w:w="120"/>
            </w:tcMar>
          </w:tcPr>
          <w:p>
            <w:pPr>
              <w:spacing w:after="0" w:line="260"/>
            </w:pPr>
            <w:r>
              <w:rPr>
                <w:b w:val="false"/>
                <w:bCs w:val="false"/>
                <w:color w:val="000000"/>
                <w:sz w:val="19"/>
                <w:szCs w:val="19"/>
              </w:rPr>
              <w:t xml:space="preserve">Recording and handling</w:t>
            </w:r>
          </w:p>
        </w:tc>
        <w:tc>
          <w:tcPr>
            <w:tcW w:type="dxa" w:w="6679"/>
            <w:tcMar>
              <w:top w:type="dxa" w:w="90"/>
              <w:left w:type="dxa" w:w="120"/>
              <w:bottom w:type="dxa" w:w="90"/>
              <w:right w:type="dxa" w:w="120"/>
            </w:tcMar>
          </w:tcPr>
          <w:p>
            <w:pPr>
              <w:spacing w:after="0" w:line="260"/>
            </w:pPr>
            <w:r>
              <w:rPr>
                <w:b w:val="false"/>
                <w:bCs w:val="false"/>
                <w:color w:val="000000"/>
                <w:sz w:val="19"/>
                <w:szCs w:val="19"/>
              </w:rPr>
              <w:t xml:space="preserve">Recorded only with consent given beforehand. The transcript stays inside the team. People are anonymised by role rather than by name. The recording goes to no service outside the environment the team has agreed on. Everything is deleted once the module ends.</w:t>
            </w:r>
          </w:p>
        </w:tc>
      </w:tr>
      <w:tr>
        <w:tc>
          <w:tcPr>
            <w:tcW w:type="dxa" w:w="2347"/>
            <w:tcMar>
              <w:top w:type="dxa" w:w="90"/>
              <w:left w:type="dxa" w:w="120"/>
              <w:bottom w:type="dxa" w:w="90"/>
              <w:right w:type="dxa" w:w="120"/>
            </w:tcMar>
          </w:tcPr>
          <w:p>
            <w:pPr>
              <w:spacing w:after="0" w:line="260"/>
            </w:pPr>
            <w:r>
              <w:rPr>
                <w:b w:val="false"/>
                <w:bCs w:val="false"/>
                <w:color w:val="000000"/>
                <w:sz w:val="19"/>
                <w:szCs w:val="19"/>
              </w:rPr>
              <w:t xml:space="preserve">Language</w:t>
            </w:r>
          </w:p>
        </w:tc>
        <w:tc>
          <w:tcPr>
            <w:tcW w:type="dxa" w:w="6679"/>
            <w:tcMar>
              <w:top w:type="dxa" w:w="90"/>
              <w:left w:type="dxa" w:w="120"/>
              <w:bottom w:type="dxa" w:w="90"/>
              <w:right w:type="dxa" w:w="120"/>
            </w:tcMar>
          </w:tcPr>
          <w:p>
            <w:pPr>
              <w:spacing w:after="0" w:line="260"/>
            </w:pPr>
            <w:r>
              <w:rPr>
                <w:b w:val="false"/>
                <w:bCs w:val="false"/>
                <w:color w:val="000000"/>
                <w:sz w:val="19"/>
                <w:szCs w:val="19"/>
              </w:rPr>
              <w:t xml:space="preserve">The visit will most likely run in Dutch. The recording goes through the platform's appraise-then-translate path (PRD section 5) so that language shuts no team member out of the material.</w:t>
            </w:r>
          </w:p>
        </w:tc>
      </w:tr>
      <w:tr>
        <w:tc>
          <w:tcPr>
            <w:tcW w:type="dxa" w:w="2347"/>
            <w:tcMar>
              <w:top w:type="dxa" w:w="90"/>
              <w:left w:type="dxa" w:w="120"/>
              <w:bottom w:type="dxa" w:w="90"/>
              <w:right w:type="dxa" w:w="120"/>
            </w:tcMar>
          </w:tcPr>
          <w:p>
            <w:pPr>
              <w:spacing w:after="0" w:line="260"/>
            </w:pPr>
            <w:r>
              <w:rPr>
                <w:b w:val="false"/>
                <w:bCs w:val="false"/>
                <w:color w:val="000000"/>
                <w:sz w:val="19"/>
                <w:szCs w:val="19"/>
              </w:rPr>
              <w:t xml:space="preserve">Feeds</w:t>
            </w:r>
          </w:p>
        </w:tc>
        <w:tc>
          <w:tcPr>
            <w:tcW w:type="dxa" w:w="6679"/>
            <w:tcMar>
              <w:top w:type="dxa" w:w="90"/>
              <w:left w:type="dxa" w:w="120"/>
              <w:bottom w:type="dxa" w:w="90"/>
              <w:right w:type="dxa" w:w="120"/>
            </w:tcMar>
          </w:tcPr>
          <w:p>
            <w:pPr>
              <w:spacing w:after="0" w:line="260"/>
            </w:pPr>
            <w:r>
              <w:rPr>
                <w:b w:val="false"/>
                <w:bCs w:val="false"/>
                <w:color w:val="000000"/>
                <w:sz w:val="19"/>
                <w:szCs w:val="19"/>
              </w:rPr>
              <w:t xml:space="preserve">Sub-questions 3 and 4.</w:t>
            </w:r>
          </w:p>
        </w:tc>
      </w:tr>
    </w:tbl>
    <w:p>
      <w:pPr>
        <w:spacing w:after="160"/>
      </w:pPr>
    </w:p>
    <w:p>
      <w:pPr>
        <w:pBdr>
          <w:left w:val="single" w:color="000000" w:sz="12" w:space="8"/>
        </w:pBdr>
        <w:shd w:fill="F2F2F2" w:color="auto" w:val="clear"/>
        <w:spacing w:after="120" w:before="160"/>
        <w:ind w:left="180"/>
      </w:pPr>
      <w:r>
        <w:rPr>
          <w:b/>
          <w:bCs/>
          <w:color w:val="000000"/>
          <w:sz w:val="21"/>
          <w:szCs w:val="21"/>
        </w:rPr>
        <w:t xml:space="preserve">The bar.</w:t>
      </w:r>
      <w:r>
        <w:rPr>
          <w:color w:val="000000"/>
          <w:sz w:val="21"/>
          <w:szCs w:val="21"/>
        </w:rPr>
        <w:t xml:space="preserve"> A reader can tell who the handbook serves, what it has to answer, and how we will judge whether it is any good.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2026-09-10T08:33:18.641Z</dcterms:created>
  <dcterms:modified xsi:type="dcterms:W3CDTF">2026-09-10T08:33:18.641Z</dcterms:modified>
</cp:coreProperties>
</file>

<file path=docProps/custom.xml><?xml version="1.0" encoding="utf-8"?>
<Properties xmlns="http://schemas.openxmlformats.org/officeDocument/2006/custom-properties" xmlns:vt="http://schemas.openxmlformats.org/officeDocument/2006/docPropsVTypes"/>
</file>