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hgemb1si22h2" w:id="0"/>
      <w:bookmarkEnd w:id="0"/>
      <w:r w:rsidDel="00000000" w:rsidR="00000000" w:rsidRPr="00000000">
        <w:rPr>
          <w:b w:val="1"/>
          <w:bCs w:val="1"/>
          <w:sz w:val="46"/>
          <w:szCs w:val="46"/>
          <w:rtl w:val="0"/>
        </w:rPr>
        <w:t xml:space="preserve">Bitácora de Decisiones Técnicas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Durante el desarrollo del sistema distribuido de delivery de comida se tomaron diferentes decisiones técnicas con el objetivo de construir una solución capaz de procesar pedidos de manera eficiente, escalable y desacoplada. La arquitectura implementada está basada en comunicación mediante eventos, donde la aplicación recibe los pedidos a través de una API, los publica en Apache Kafka y posteriormente un servicio independiente se encarga de consumir y procesar dichos mensajes.</w:t>
      </w:r>
    </w:p>
    <w:p w:rsidR="00000000" w:rsidDel="00000000" w:rsidP="00000000" w:rsidRDefault="00000000" w:rsidRPr="00000000" w14:paraId="00000003">
      <w:pPr>
        <w:spacing w:after="240" w:before="240" w:lineRule="auto"/>
        <w:rPr/>
      </w:pPr>
      <w:r w:rsidDel="00000000" w:rsidR="00000000" w:rsidRPr="00000000">
        <w:rPr>
          <w:rtl w:val="0"/>
        </w:rPr>
        <w:t xml:space="preserve">Una de las principales decisiones fue utilizar una arquitectura distribuida basada en eventos. Se optó por separar el proceso de generación de pedidos y el procesamiento de estos mediante un sistema de mensajería intermedio. Esta decisión permite que la API pueda responder rápidamente al usuario sin tener que esperar a que el procesamiento del pedido finalice. Como ventaja, esta arquitectura mejora la escalabilidad y reduce la dependencia directa entre los componentes del sistema. Sin embargo, como desventaja, aumenta la complejidad debido a que se debe administrar un sistema adicional de comunicación y considerar aspectos como disponibilidad, manejo de errores y sincronización de mensajes.</w:t>
      </w:r>
    </w:p>
    <w:p w:rsidR="00000000" w:rsidDel="00000000" w:rsidP="00000000" w:rsidRDefault="00000000" w:rsidRPr="00000000" w14:paraId="00000004">
      <w:pPr>
        <w:spacing w:after="240" w:before="240" w:lineRule="auto"/>
        <w:rPr/>
      </w:pPr>
      <w:r w:rsidDel="00000000" w:rsidR="00000000" w:rsidRPr="00000000">
        <w:rPr>
          <w:rtl w:val="0"/>
        </w:rPr>
        <w:t xml:space="preserve">Para la comunicación entre servicios se decidió utilizar Apache Kafka como plataforma de mensajería. Kafka fue seleccionado debido a su capacidad para manejar grandes volúmenes de eventos y su uso frecuente en sistemas distribuidos que requieren procesamiento continuo de información. En este proyecto, los pedidos son enviados mediante un productor hacia el topic llamado "pedidos-topic", donde posteriormente son consumidos por el Worker encargado del procesamiento. Entre las ventajas de esta decisión se encuentra la capacidad de manejar múltiples mensajes, mantener los eventos almacenados temporalmente y permitir la incorporación de nuevos consumidores en el futuro. Como trade-off, Kafka requiere una configuración adicional, administración de topics y un mayor conocimiento técnico comparado con una comunicación directa entre aplicaciones.</w:t>
      </w:r>
    </w:p>
    <w:p w:rsidR="00000000" w:rsidDel="00000000" w:rsidP="00000000" w:rsidRDefault="00000000" w:rsidRPr="00000000" w14:paraId="00000005">
      <w:pPr>
        <w:spacing w:after="240" w:before="240" w:lineRule="auto"/>
        <w:rPr/>
      </w:pPr>
      <w:r w:rsidDel="00000000" w:rsidR="00000000" w:rsidRPr="00000000">
        <w:rPr>
          <w:rtl w:val="0"/>
        </w:rPr>
        <w:t xml:space="preserve">La solución en diferentes proyectos para mantener una estructura organizada y facilitar el mantenimiento del código. La aplicación fue separada en Delivery.Api, Delivery.Infrastructure, Delivery.Shared y Delivery.Worker. El proyecto Delivery.Api se encarga de recibir las solicitudes HTTP provenientes de los usuarios y generar los pedidos. Delivery.Infrastructure contiene la implementación de servicios externos como Kafka Producer y los repositorios utilizados por la aplicación. Delivery.Shared almacena las entidades, DTOs e interfaces compartidas entre los diferentes componentes. Finalmente, Delivery.Worker tiene la responsabilidad de consumir los mensajes enviados por Kafka y ejecutar el procesamiento correspondiente. Esta separación permite aplicar una mejor organización del código, aunque aumenta la cantidad de referencias y dependencias que deben administrarse entre proyectos.</w:t>
      </w:r>
    </w:p>
    <w:p w:rsidR="00000000" w:rsidDel="00000000" w:rsidP="00000000" w:rsidRDefault="00000000" w:rsidRPr="00000000" w14:paraId="00000006">
      <w:pPr>
        <w:spacing w:after="240" w:before="240" w:lineRule="auto"/>
        <w:rPr/>
      </w:pPr>
      <w:r w:rsidDel="00000000" w:rsidR="00000000" w:rsidRPr="00000000">
        <w:rPr>
          <w:rtl w:val="0"/>
        </w:rPr>
        <w:t xml:space="preserve">Se decidió utilizar Docker Compose para ejecutar Apache Kafka debido a la facilidad que proporciona para configurar y reproducir el ambiente de desarrollo. En lugar de realizar una instalación manual de Kafka, se creó un contenedor que permite iniciar el servicio utilizando una configuración definida en el archivo docker-compose.yml. Esta decisión facilita que cualquier integrante del equipo pueda levantar el mismo ambiente sin realizar configuraciones adicionales. Como ventaja principal se obtiene un entorno consistente y fácil de administrar, mientras que como desventaja se requiere tener Docker instalado y comprender el funcionamiento básico de contenedores.</w:t>
      </w:r>
    </w:p>
    <w:p w:rsidR="00000000" w:rsidDel="00000000" w:rsidP="00000000" w:rsidRDefault="00000000" w:rsidRPr="00000000" w14:paraId="00000007">
      <w:pPr>
        <w:spacing w:after="240" w:before="240" w:lineRule="auto"/>
        <w:rPr/>
      </w:pPr>
      <w:r w:rsidDel="00000000" w:rsidR="00000000" w:rsidRPr="00000000">
        <w:rPr>
          <w:rtl w:val="0"/>
        </w:rPr>
        <w:t xml:space="preserve">Para la creación del servicio encargado de recibir pedidos se utilizó ASP.NET Core Web API. Esta tecnología fue seleccionada debido a su integración con el ecosistema .NET, su buen rendimiento y la facilidad para crear servicios REST. La API funciona como punto de entrada del sistema, recibe la información del pedido y utiliza el productor de Kafka para enviar el evento al sistema de mensajería. Esta decisión permite una comunicación sencilla con clientes externos, aunque implica depender del entorno de desarrollo .NET.</w:t>
      </w:r>
    </w:p>
    <w:p w:rsidR="00000000" w:rsidDel="00000000" w:rsidP="00000000" w:rsidRDefault="00000000" w:rsidRPr="00000000" w14:paraId="00000008">
      <w:pPr>
        <w:spacing w:after="240" w:before="240" w:lineRule="auto"/>
        <w:rPr/>
      </w:pPr>
      <w:r w:rsidDel="00000000" w:rsidR="00000000" w:rsidRPr="00000000">
        <w:rPr>
          <w:rtl w:val="0"/>
        </w:rPr>
        <w:t xml:space="preserve">Se decidió implementar un Worker Service independiente para realizar el consumo de mensajes desde Kafka. La separación del consumidor permite que el procesamiento de pedidos no dependa directamente de la API, evitando que una carga elevada de solicitudes afecte la recepción de nuevos pedidos. Esta arquitectura facilita el escalamiento del procesamiento mediante la incorporación de más consumidores. Como desventaja, se debe administrar un servicio adicional y controlar posibles problemas relacionados con la conexión hacia Kafka.</w:t>
      </w:r>
    </w:p>
    <w:p w:rsidR="00000000" w:rsidDel="00000000" w:rsidP="00000000" w:rsidRDefault="00000000" w:rsidRPr="00000000" w14:paraId="00000009">
      <w:pPr>
        <w:spacing w:after="240" w:before="240" w:lineRule="auto"/>
        <w:rPr/>
      </w:pPr>
      <w:r w:rsidDel="00000000" w:rsidR="00000000" w:rsidRPr="00000000">
        <w:rPr>
          <w:rtl w:val="0"/>
        </w:rPr>
        <w:t xml:space="preserve">Otra decisión tomada fue utilizar entidades y DTOs compartidos entre los proyectos para mantener una estructura uniforme de información. Los objetos compartidos permiten que la representación del pedido sea consistente entre la API, la infraestructura y el consumidor. Esto evita duplicación de código y facilita la comunicación entre componentes. Como punto negativo, cualquier modificación realizada en una entidad compartida puede afectar diferentes proyectos, por lo que se requiere un control adecuado de cambios.</w:t>
      </w:r>
    </w:p>
    <w:p w:rsidR="00000000" w:rsidDel="00000000" w:rsidP="00000000" w:rsidRDefault="00000000" w:rsidRPr="00000000" w14:paraId="0000000A">
      <w:pPr>
        <w:spacing w:after="240" w:before="240" w:lineRule="auto"/>
        <w:rPr/>
      </w:pPr>
      <w:r w:rsidDel="00000000" w:rsidR="00000000" w:rsidRPr="00000000">
        <w:rPr>
          <w:rtl w:val="0"/>
        </w:rPr>
        <w:t xml:space="preserve">En conclusión, las decisiones técnicas tomadas permitieron construir un sistema distribuido capaz de recibir pedidos, enviarlos mediante un sistema de eventos y procesarlos utilizando servicios independientes. La utilización de Apache Kafka, Docker y una arquitectura separada por responsabilidades proporciona una solución con mayor capacidad de escalabilidad y mantenimiento. Aunque estas tecnologías agregan complejidad inicial al desarrollo, permiten implementar una arquitectura similar a la utilizada en sistemas reales que manejan grandes cantidades de solicitudes simultáneas.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