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mallCaps w:val="0"/>
          <w:spacing w:val="0"/>
          <w:sz w:val="22"/>
          <w:szCs w:val="22"/>
        </w:rPr>
        <w:id w:val="-1307153754"/>
        <w:docPartObj>
          <w:docPartGallery w:val="Table of Contents"/>
          <w:docPartUnique/>
        </w:docPartObj>
      </w:sdtPr>
      <w:sdtEndPr>
        <w:rPr>
          <w:b/>
          <w:bCs/>
          <w:noProof/>
        </w:rPr>
      </w:sdtEndPr>
      <w:sdtContent>
        <w:p w14:paraId="79E52CCC" w14:textId="410ADEA2" w:rsidR="00FF2AF4" w:rsidRDefault="00FF2AF4">
          <w:pPr>
            <w:pStyle w:val="TOCHeading"/>
          </w:pPr>
          <w:r>
            <w:t>Table of Contents</w:t>
          </w:r>
        </w:p>
        <w:p w14:paraId="121CC3EF" w14:textId="530FB155" w:rsidR="00DF7633" w:rsidRDefault="00FF2AF4">
          <w:pPr>
            <w:pStyle w:val="TOC1"/>
            <w:tabs>
              <w:tab w:val="right" w:leader="dot" w:pos="8487"/>
            </w:tabs>
            <w:rPr>
              <w:rFonts w:eastAsiaTheme="minorEastAsia" w:cstheme="minorBidi"/>
              <w:b w:val="0"/>
              <w:bCs w:val="0"/>
              <w:i w:val="0"/>
              <w:iCs w:val="0"/>
              <w:noProof/>
              <w:kern w:val="2"/>
              <w:lang w:val="en-IT" w:eastAsia="en-GB"/>
              <w14:ligatures w14:val="standardContextual"/>
            </w:rPr>
          </w:pPr>
          <w:r>
            <w:rPr>
              <w:b w:val="0"/>
              <w:bCs w:val="0"/>
            </w:rPr>
            <w:fldChar w:fldCharType="begin"/>
          </w:r>
          <w:r>
            <w:instrText xml:space="preserve"> TOC \o "1-3" \h \z \u </w:instrText>
          </w:r>
          <w:r>
            <w:rPr>
              <w:b w:val="0"/>
              <w:bCs w:val="0"/>
            </w:rPr>
            <w:fldChar w:fldCharType="separate"/>
          </w:r>
          <w:hyperlink w:anchor="_Toc176519008" w:history="1">
            <w:r w:rsidR="00DF7633" w:rsidRPr="00554EEF">
              <w:rPr>
                <w:rStyle w:val="Hyperlink"/>
                <w:noProof/>
                <w:lang w:val="it-IT"/>
              </w:rPr>
              <w:t>Sodio, il sale della vita</w:t>
            </w:r>
            <w:r w:rsidR="00DF7633">
              <w:rPr>
                <w:noProof/>
                <w:webHidden/>
              </w:rPr>
              <w:tab/>
            </w:r>
            <w:r w:rsidR="00DF7633">
              <w:rPr>
                <w:noProof/>
                <w:webHidden/>
              </w:rPr>
              <w:fldChar w:fldCharType="begin"/>
            </w:r>
            <w:r w:rsidR="00DF7633">
              <w:rPr>
                <w:noProof/>
                <w:webHidden/>
              </w:rPr>
              <w:instrText xml:space="preserve"> PAGEREF _Toc176519008 \h </w:instrText>
            </w:r>
            <w:r w:rsidR="00DF7633">
              <w:rPr>
                <w:noProof/>
                <w:webHidden/>
              </w:rPr>
            </w:r>
            <w:r w:rsidR="00DF7633">
              <w:rPr>
                <w:noProof/>
                <w:webHidden/>
              </w:rPr>
              <w:fldChar w:fldCharType="separate"/>
            </w:r>
            <w:r w:rsidR="00DF7633">
              <w:rPr>
                <w:noProof/>
                <w:webHidden/>
              </w:rPr>
              <w:t>1</w:t>
            </w:r>
            <w:r w:rsidR="00DF7633">
              <w:rPr>
                <w:noProof/>
                <w:webHidden/>
              </w:rPr>
              <w:fldChar w:fldCharType="end"/>
            </w:r>
          </w:hyperlink>
        </w:p>
        <w:p w14:paraId="74956231" w14:textId="38C8224B" w:rsidR="00DF7633" w:rsidRDefault="00DF7633">
          <w:pPr>
            <w:pStyle w:val="TOC1"/>
            <w:tabs>
              <w:tab w:val="right" w:leader="dot" w:pos="8487"/>
            </w:tabs>
            <w:rPr>
              <w:rFonts w:eastAsiaTheme="minorEastAsia" w:cstheme="minorBidi"/>
              <w:b w:val="0"/>
              <w:bCs w:val="0"/>
              <w:i w:val="0"/>
              <w:iCs w:val="0"/>
              <w:noProof/>
              <w:kern w:val="2"/>
              <w:lang w:val="en-IT" w:eastAsia="en-GB"/>
              <w14:ligatures w14:val="standardContextual"/>
            </w:rPr>
          </w:pPr>
          <w:hyperlink w:anchor="_Toc176519009" w:history="1">
            <w:r w:rsidRPr="00554EEF">
              <w:rPr>
                <w:rStyle w:val="Hyperlink"/>
                <w:noProof/>
                <w:lang w:val="it-IT"/>
              </w:rPr>
              <w:t>Bibliografia</w:t>
            </w:r>
            <w:r>
              <w:rPr>
                <w:noProof/>
                <w:webHidden/>
              </w:rPr>
              <w:tab/>
            </w:r>
            <w:r>
              <w:rPr>
                <w:noProof/>
                <w:webHidden/>
              </w:rPr>
              <w:fldChar w:fldCharType="begin"/>
            </w:r>
            <w:r>
              <w:rPr>
                <w:noProof/>
                <w:webHidden/>
              </w:rPr>
              <w:instrText xml:space="preserve"> PAGEREF _Toc176519009 \h </w:instrText>
            </w:r>
            <w:r>
              <w:rPr>
                <w:noProof/>
                <w:webHidden/>
              </w:rPr>
            </w:r>
            <w:r>
              <w:rPr>
                <w:noProof/>
                <w:webHidden/>
              </w:rPr>
              <w:fldChar w:fldCharType="separate"/>
            </w:r>
            <w:r>
              <w:rPr>
                <w:noProof/>
                <w:webHidden/>
              </w:rPr>
              <w:t>2</w:t>
            </w:r>
            <w:r>
              <w:rPr>
                <w:noProof/>
                <w:webHidden/>
              </w:rPr>
              <w:fldChar w:fldCharType="end"/>
            </w:r>
          </w:hyperlink>
        </w:p>
        <w:p w14:paraId="6E17B371" w14:textId="21E4DEC0" w:rsidR="00FF2AF4" w:rsidRDefault="00FF2AF4" w:rsidP="00A00BE6">
          <w:pPr>
            <w:rPr>
              <w:b/>
              <w:bCs/>
              <w:noProof/>
            </w:rPr>
          </w:pPr>
          <w:r>
            <w:rPr>
              <w:b/>
              <w:bCs/>
              <w:noProof/>
            </w:rPr>
            <w:fldChar w:fldCharType="end"/>
          </w:r>
        </w:p>
      </w:sdtContent>
    </w:sdt>
    <w:p w14:paraId="5A3A13FF" w14:textId="011E112E" w:rsidR="00A00BE6" w:rsidRDefault="00A00BE6">
      <w:pPr>
        <w:rPr>
          <w:b/>
          <w:bCs/>
          <w:noProof/>
        </w:rPr>
      </w:pPr>
      <w:r>
        <w:rPr>
          <w:b/>
          <w:bCs/>
          <w:noProof/>
        </w:rPr>
        <w:br w:type="page"/>
      </w:r>
    </w:p>
    <w:p w14:paraId="0AAA550D" w14:textId="0826F92D" w:rsidR="00A534D2" w:rsidRPr="00A534D2" w:rsidRDefault="0024361B" w:rsidP="00A534D2">
      <w:pPr>
        <w:pStyle w:val="Heading1"/>
        <w:rPr>
          <w:lang w:val="it-IT"/>
        </w:rPr>
      </w:pPr>
      <w:bookmarkStart w:id="0" w:name="_Toc176519008"/>
      <w:r>
        <w:rPr>
          <w:lang w:val="it-IT"/>
        </w:rPr>
        <w:lastRenderedPageBreak/>
        <w:t>Sodio</w:t>
      </w:r>
      <w:r w:rsidR="0040719B">
        <w:rPr>
          <w:lang w:val="it-IT"/>
        </w:rPr>
        <w:t xml:space="preserve"> plasmatico</w:t>
      </w:r>
      <w:r>
        <w:rPr>
          <w:lang w:val="it-IT"/>
        </w:rPr>
        <w:t>, i</w:t>
      </w:r>
      <w:r w:rsidR="00D202A0">
        <w:rPr>
          <w:lang w:val="it-IT"/>
        </w:rPr>
        <w:t>l sale della vita</w:t>
      </w:r>
      <w:bookmarkEnd w:id="0"/>
    </w:p>
    <w:p w14:paraId="6867B54A" w14:textId="3CCFAAF6" w:rsidR="00FC25EA" w:rsidRDefault="00C6414C" w:rsidP="00FC25EA">
      <w:pPr>
        <w:jc w:val="both"/>
        <w:rPr>
          <w:rFonts w:asciiTheme="minorHAnsi" w:hAnsiTheme="minorHAnsi" w:cstheme="minorHAnsi"/>
          <w:lang w:val="it-IT"/>
        </w:rPr>
      </w:pPr>
      <w:r w:rsidRPr="00C6414C">
        <w:rPr>
          <w:rFonts w:asciiTheme="minorHAnsi" w:hAnsiTheme="minorHAnsi" w:cstheme="minorHAnsi"/>
          <w:lang w:val="it-IT"/>
        </w:rPr>
        <w:t xml:space="preserve">Le cellule umane </w:t>
      </w:r>
      <w:r w:rsidR="004D6D84">
        <w:rPr>
          <w:rFonts w:asciiTheme="minorHAnsi" w:hAnsiTheme="minorHAnsi" w:cstheme="minorHAnsi"/>
          <w:lang w:val="it-IT"/>
        </w:rPr>
        <w:t>sono</w:t>
      </w:r>
      <w:r w:rsidRPr="00C6414C">
        <w:rPr>
          <w:rFonts w:asciiTheme="minorHAnsi" w:hAnsiTheme="minorHAnsi" w:cstheme="minorHAnsi"/>
          <w:lang w:val="it-IT"/>
        </w:rPr>
        <w:t xml:space="preserve"> circondate da acqua salata ed il loro trofismo e corretto funzionamento dipend</w:t>
      </w:r>
      <w:r w:rsidR="00FC25EA">
        <w:rPr>
          <w:rFonts w:asciiTheme="minorHAnsi" w:hAnsiTheme="minorHAnsi" w:cstheme="minorHAnsi"/>
          <w:lang w:val="it-IT"/>
        </w:rPr>
        <w:t>ono dalla</w:t>
      </w:r>
      <w:r w:rsidRPr="00C6414C">
        <w:rPr>
          <w:rFonts w:asciiTheme="minorHAnsi" w:hAnsiTheme="minorHAnsi" w:cstheme="minorHAnsi"/>
          <w:lang w:val="it-IT"/>
        </w:rPr>
        <w:t xml:space="preserve"> </w:t>
      </w:r>
      <w:r w:rsidR="00FC25EA">
        <w:rPr>
          <w:rFonts w:asciiTheme="minorHAnsi" w:hAnsiTheme="minorHAnsi" w:cstheme="minorHAnsi"/>
          <w:lang w:val="it-IT"/>
        </w:rPr>
        <w:t>precisa regolazione della</w:t>
      </w:r>
      <w:r w:rsidRPr="00C6414C">
        <w:rPr>
          <w:rFonts w:asciiTheme="minorHAnsi" w:hAnsiTheme="minorHAnsi" w:cstheme="minorHAnsi"/>
          <w:lang w:val="it-IT"/>
        </w:rPr>
        <w:t xml:space="preserve"> salinità del liquido extra cellulare (ECF, </w:t>
      </w:r>
      <w:r w:rsidRPr="00C6414C">
        <w:rPr>
          <w:rFonts w:asciiTheme="minorHAnsi" w:hAnsiTheme="minorHAnsi" w:cstheme="minorHAnsi"/>
          <w:i/>
          <w:iCs/>
          <w:lang w:val="it-IT"/>
        </w:rPr>
        <w:t xml:space="preserve">extracellular </w:t>
      </w:r>
      <w:proofErr w:type="spellStart"/>
      <w:r w:rsidRPr="00C6414C">
        <w:rPr>
          <w:rFonts w:asciiTheme="minorHAnsi" w:hAnsiTheme="minorHAnsi" w:cstheme="minorHAnsi"/>
          <w:i/>
          <w:iCs/>
          <w:lang w:val="it-IT"/>
        </w:rPr>
        <w:t>fluid</w:t>
      </w:r>
      <w:proofErr w:type="spellEnd"/>
      <w:r w:rsidRPr="00C6414C">
        <w:rPr>
          <w:rFonts w:asciiTheme="minorHAnsi" w:hAnsiTheme="minorHAnsi" w:cstheme="minorHAnsi"/>
          <w:i/>
          <w:iCs/>
          <w:lang w:val="it-IT"/>
        </w:rPr>
        <w:t>)</w:t>
      </w:r>
      <w:r w:rsidRPr="00C6414C">
        <w:rPr>
          <w:rFonts w:asciiTheme="minorHAnsi" w:hAnsiTheme="minorHAnsi" w:cstheme="minorHAnsi"/>
          <w:lang w:val="it-IT"/>
        </w:rPr>
        <w:t>.</w:t>
      </w:r>
    </w:p>
    <w:p w14:paraId="02095CDB" w14:textId="77777777" w:rsidR="00D502E6" w:rsidRDefault="00D502E6" w:rsidP="00A534D2">
      <w:pPr>
        <w:jc w:val="both"/>
        <w:rPr>
          <w:rFonts w:asciiTheme="minorHAnsi" w:hAnsiTheme="minorHAnsi" w:cstheme="minorHAnsi"/>
          <w:b/>
          <w:bCs/>
          <w:lang w:val="en-IT"/>
        </w:rPr>
      </w:pPr>
    </w:p>
    <w:p w14:paraId="3C6E7EC7" w14:textId="568EF405" w:rsidR="00A534D2" w:rsidRPr="00A534D2" w:rsidRDefault="00A534D2" w:rsidP="00A534D2">
      <w:pPr>
        <w:jc w:val="both"/>
        <w:rPr>
          <w:rFonts w:asciiTheme="minorHAnsi" w:hAnsiTheme="minorHAnsi" w:cstheme="minorHAnsi"/>
          <w:lang w:val="en-IT"/>
        </w:rPr>
      </w:pPr>
      <w:r w:rsidRPr="00A534D2">
        <w:rPr>
          <w:rFonts w:asciiTheme="minorHAnsi" w:hAnsiTheme="minorHAnsi" w:cstheme="minorHAnsi"/>
          <w:lang w:val="en-IT"/>
        </w:rPr>
        <w:t xml:space="preserve"> [2] </w:t>
      </w:r>
      <w:r w:rsidR="00D502E6">
        <w:rPr>
          <w:rFonts w:asciiTheme="minorHAnsi" w:hAnsiTheme="minorHAnsi" w:cstheme="minorHAnsi"/>
          <w:lang w:val="en-IT"/>
        </w:rPr>
        <w:t xml:space="preserve"> </w:t>
      </w:r>
      <w:r w:rsidRPr="00A534D2">
        <w:rPr>
          <w:rFonts w:asciiTheme="minorHAnsi" w:hAnsiTheme="minorHAnsi" w:cstheme="minorHAnsi"/>
          <w:lang w:val="en-IT"/>
        </w:rPr>
        <w:t>. [2, 3] [3]</w:t>
      </w:r>
    </w:p>
    <w:p w14:paraId="76027DE5" w14:textId="77777777" w:rsidR="00A534D2" w:rsidRPr="00A534D2" w:rsidRDefault="00A534D2" w:rsidP="00A534D2">
      <w:pPr>
        <w:jc w:val="both"/>
        <w:rPr>
          <w:rFonts w:asciiTheme="minorHAnsi" w:hAnsiTheme="minorHAnsi" w:cstheme="minorHAnsi"/>
          <w:lang w:val="en-IT"/>
        </w:rPr>
      </w:pPr>
      <w:r w:rsidRPr="00A534D2">
        <w:rPr>
          <w:rFonts w:asciiTheme="minorHAnsi" w:hAnsiTheme="minorHAnsi" w:cstheme="minorHAnsi"/>
          <w:b/>
          <w:bCs/>
          <w:lang w:val="en-IT"/>
        </w:rPr>
        <w:t>Beyond simple electrolyte balance, a significant portion of bodily sodium is bound to proteoglycans, large polyanionic macromolecules found in bone, connective tissue, and cartilage.</w:t>
      </w:r>
      <w:r w:rsidRPr="00A534D2">
        <w:rPr>
          <w:rFonts w:asciiTheme="minorHAnsi" w:hAnsiTheme="minorHAnsi" w:cstheme="minorHAnsi"/>
          <w:lang w:val="en-IT"/>
        </w:rPr>
        <w:t xml:space="preserve"> [1, 4] This bound sodium, particularly in cartilage, creates an osmotic force that maintains tissue hydration and structural integrity. [5] Recent research suggests that these tissues might act as dynamic sodium reservoirs, accumulating or releasing sodium to help regulate plasma sodium concentration, a concept with significant implications for understanding sodium balance disorders. [5, 6]</w:t>
      </w:r>
    </w:p>
    <w:p w14:paraId="58A49FB8" w14:textId="77777777" w:rsidR="00A534D2" w:rsidRPr="00A534D2" w:rsidRDefault="00A534D2" w:rsidP="00A534D2">
      <w:pPr>
        <w:jc w:val="both"/>
        <w:rPr>
          <w:rFonts w:asciiTheme="minorHAnsi" w:hAnsiTheme="minorHAnsi" w:cstheme="minorHAnsi"/>
          <w:lang w:val="en-IT"/>
        </w:rPr>
      </w:pPr>
      <w:r w:rsidRPr="00A534D2">
        <w:rPr>
          <w:rFonts w:asciiTheme="minorHAnsi" w:hAnsiTheme="minorHAnsi" w:cstheme="minorHAnsi"/>
          <w:b/>
          <w:bCs/>
          <w:lang w:val="en-IT"/>
        </w:rPr>
        <w:t>Maintaining plasma sodium concentration within a healthy range is crucial, as even slight deviations can have severe, often irreversible consequences, primarily impacting the brain.</w:t>
      </w:r>
      <w:r w:rsidRPr="00A534D2">
        <w:rPr>
          <w:rFonts w:asciiTheme="minorHAnsi" w:hAnsiTheme="minorHAnsi" w:cstheme="minorHAnsi"/>
          <w:lang w:val="en-IT"/>
        </w:rPr>
        <w:t xml:space="preserve"> [7, 8] </w:t>
      </w:r>
      <w:r w:rsidRPr="00A534D2">
        <w:rPr>
          <w:rFonts w:asciiTheme="minorHAnsi" w:hAnsiTheme="minorHAnsi" w:cstheme="minorHAnsi"/>
          <w:b/>
          <w:bCs/>
          <w:lang w:val="en-IT"/>
        </w:rPr>
        <w:t>The blood-brain barrier, formed by tight junctions in brain capillaries and astrocytic foot processes, limits sodium movement, making the brain particularly susceptible to osmotic stress from sodium imbalances.</w:t>
      </w:r>
      <w:r w:rsidRPr="00A534D2">
        <w:rPr>
          <w:rFonts w:asciiTheme="minorHAnsi" w:hAnsiTheme="minorHAnsi" w:cstheme="minorHAnsi"/>
          <w:lang w:val="en-IT"/>
        </w:rPr>
        <w:t xml:space="preserve"> [9] Rapid changes in plasma sodium concentration, in either direction, can lead to devastating and potentially lethal brain injury. [10]</w:t>
      </w:r>
    </w:p>
    <w:p w14:paraId="3E90347B" w14:textId="77777777" w:rsidR="00A534D2" w:rsidRPr="00A534D2" w:rsidRDefault="00A534D2" w:rsidP="00A534D2">
      <w:pPr>
        <w:numPr>
          <w:ilvl w:val="0"/>
          <w:numId w:val="31"/>
        </w:numPr>
        <w:jc w:val="both"/>
        <w:rPr>
          <w:rFonts w:asciiTheme="minorHAnsi" w:hAnsiTheme="minorHAnsi" w:cstheme="minorHAnsi"/>
          <w:lang w:val="en-IT"/>
        </w:rPr>
      </w:pPr>
      <w:r w:rsidRPr="00A534D2">
        <w:rPr>
          <w:rFonts w:asciiTheme="minorHAnsi" w:hAnsiTheme="minorHAnsi" w:cstheme="minorHAnsi"/>
          <w:b/>
          <w:bCs/>
          <w:lang w:val="en-IT"/>
        </w:rPr>
        <w:t>Acute hyponatremia</w:t>
      </w:r>
      <w:r w:rsidRPr="00A534D2">
        <w:rPr>
          <w:rFonts w:asciiTheme="minorHAnsi" w:hAnsiTheme="minorHAnsi" w:cstheme="minorHAnsi"/>
          <w:lang w:val="en-IT"/>
        </w:rPr>
        <w:t xml:space="preserve"> can trigger rapid brain swelling, increasing intracranial pressure and potentially causing herniation. [10, 11]</w:t>
      </w:r>
    </w:p>
    <w:p w14:paraId="3D3A15F8" w14:textId="77777777" w:rsidR="00A534D2" w:rsidRPr="00A534D2" w:rsidRDefault="00A534D2" w:rsidP="00A534D2">
      <w:pPr>
        <w:numPr>
          <w:ilvl w:val="0"/>
          <w:numId w:val="31"/>
        </w:numPr>
        <w:jc w:val="both"/>
        <w:rPr>
          <w:rFonts w:asciiTheme="minorHAnsi" w:hAnsiTheme="minorHAnsi" w:cstheme="minorHAnsi"/>
          <w:lang w:val="en-IT"/>
        </w:rPr>
      </w:pPr>
      <w:r w:rsidRPr="00A534D2">
        <w:rPr>
          <w:rFonts w:asciiTheme="minorHAnsi" w:hAnsiTheme="minorHAnsi" w:cstheme="minorHAnsi"/>
          <w:b/>
          <w:bCs/>
          <w:lang w:val="en-IT"/>
        </w:rPr>
        <w:t>Chronic hyponatremia</w:t>
      </w:r>
      <w:r w:rsidRPr="00A534D2">
        <w:rPr>
          <w:rFonts w:asciiTheme="minorHAnsi" w:hAnsiTheme="minorHAnsi" w:cstheme="minorHAnsi"/>
          <w:lang w:val="en-IT"/>
        </w:rPr>
        <w:t>, although less dramatic in onset, carries its own risks, potentially causing a debilitating condition known as osmotic demyelination syndrome if corrected too rapidly. [12, 13] This syndrome arises from the brain's adaptation to chronic hyponatremia, where it adjusts intracellular osmolytes to maintain cell volume. [14, 15]</w:t>
      </w:r>
    </w:p>
    <w:p w14:paraId="7869A947" w14:textId="77777777" w:rsidR="00A534D2" w:rsidRPr="00A534D2" w:rsidRDefault="00A534D2" w:rsidP="00A534D2">
      <w:pPr>
        <w:numPr>
          <w:ilvl w:val="0"/>
          <w:numId w:val="31"/>
        </w:numPr>
        <w:jc w:val="both"/>
        <w:rPr>
          <w:rFonts w:asciiTheme="minorHAnsi" w:hAnsiTheme="minorHAnsi" w:cstheme="minorHAnsi"/>
          <w:lang w:val="en-IT"/>
        </w:rPr>
      </w:pPr>
      <w:r w:rsidRPr="00A534D2">
        <w:rPr>
          <w:rFonts w:asciiTheme="minorHAnsi" w:hAnsiTheme="minorHAnsi" w:cstheme="minorHAnsi"/>
          <w:b/>
          <w:bCs/>
          <w:lang w:val="en-IT"/>
        </w:rPr>
        <w:t>Rapid correction</w:t>
      </w:r>
      <w:r w:rsidRPr="00A534D2">
        <w:rPr>
          <w:rFonts w:asciiTheme="minorHAnsi" w:hAnsiTheme="minorHAnsi" w:cstheme="minorHAnsi"/>
          <w:lang w:val="en-IT"/>
        </w:rPr>
        <w:t xml:space="preserve"> disrupts this balance, leading to astrocyte damage, blood-brain barrier disruption, and demyelination. [15]</w:t>
      </w:r>
    </w:p>
    <w:p w14:paraId="088FEF00" w14:textId="77777777" w:rsidR="00A534D2" w:rsidRPr="00A534D2" w:rsidRDefault="00A534D2" w:rsidP="00A534D2">
      <w:pPr>
        <w:jc w:val="both"/>
        <w:rPr>
          <w:rFonts w:asciiTheme="minorHAnsi" w:hAnsiTheme="minorHAnsi" w:cstheme="minorHAnsi"/>
          <w:lang w:val="en-IT"/>
        </w:rPr>
      </w:pPr>
      <w:r w:rsidRPr="00A534D2">
        <w:rPr>
          <w:rFonts w:asciiTheme="minorHAnsi" w:hAnsiTheme="minorHAnsi" w:cstheme="minorHAnsi"/>
          <w:b/>
          <w:bCs/>
          <w:lang w:val="en-IT"/>
        </w:rPr>
        <w:t>Acute hypernatremia</w:t>
      </w:r>
      <w:r w:rsidRPr="00A534D2">
        <w:rPr>
          <w:rFonts w:asciiTheme="minorHAnsi" w:hAnsiTheme="minorHAnsi" w:cstheme="minorHAnsi"/>
          <w:lang w:val="en-IT"/>
        </w:rPr>
        <w:t xml:space="preserve">, typically stemming from rapid salt ingestion or severe dehydration, can cause brain shrinkage, vascular injury, and intracranial hemorrhage. [8, 10] While </w:t>
      </w:r>
      <w:r w:rsidRPr="00A534D2">
        <w:rPr>
          <w:rFonts w:asciiTheme="minorHAnsi" w:hAnsiTheme="minorHAnsi" w:cstheme="minorHAnsi"/>
          <w:b/>
          <w:bCs/>
          <w:lang w:val="en-IT"/>
        </w:rPr>
        <w:t>chronic hypernatremia</w:t>
      </w:r>
      <w:r w:rsidRPr="00A534D2">
        <w:rPr>
          <w:rFonts w:asciiTheme="minorHAnsi" w:hAnsiTheme="minorHAnsi" w:cstheme="minorHAnsi"/>
          <w:lang w:val="en-IT"/>
        </w:rPr>
        <w:t>, often observed in infants or individuals with impaired thirst mechanisms, may lead to seizures and cerebral edema upon rapid rehydration, highlighting the need for cautious and controlled correction of sodium imbalances. [7, 16]</w:t>
      </w:r>
    </w:p>
    <w:p w14:paraId="14D07D30" w14:textId="77777777" w:rsidR="00A534D2" w:rsidRPr="00A534D2" w:rsidRDefault="00A534D2" w:rsidP="00A534D2">
      <w:pPr>
        <w:jc w:val="both"/>
        <w:rPr>
          <w:rFonts w:asciiTheme="minorHAnsi" w:hAnsiTheme="minorHAnsi" w:cstheme="minorHAnsi"/>
          <w:lang w:val="en-IT"/>
        </w:rPr>
      </w:pPr>
      <w:r w:rsidRPr="00A534D2">
        <w:rPr>
          <w:rFonts w:asciiTheme="minorHAnsi" w:hAnsiTheme="minorHAnsi" w:cstheme="minorHAnsi"/>
          <w:b/>
          <w:bCs/>
          <w:lang w:val="en-IT"/>
        </w:rPr>
        <w:t>This thesis aims to comprehensively explore these intricate mechanisms, drawing upon current research and clinical observations to provide a deeper understanding of plasma sodium disorders.</w:t>
      </w:r>
      <w:r w:rsidRPr="00A534D2">
        <w:rPr>
          <w:rFonts w:asciiTheme="minorHAnsi" w:hAnsiTheme="minorHAnsi" w:cstheme="minorHAnsi"/>
          <w:lang w:val="en-IT"/>
        </w:rPr>
        <w:t xml:space="preserve"> By elucidating the delicate interplay between sodium balance, cellular function, and neurological health, this research will contribute to improved diagnosis, treatment, and ultimately, patient outcomes in this critical area of medicine.</w:t>
      </w:r>
    </w:p>
    <w:p w14:paraId="7F1C2938" w14:textId="77777777" w:rsidR="00A534D2" w:rsidRPr="00A534D2" w:rsidRDefault="00A534D2" w:rsidP="00FC25EA">
      <w:pPr>
        <w:jc w:val="both"/>
        <w:rPr>
          <w:rFonts w:asciiTheme="minorHAnsi" w:hAnsiTheme="minorHAnsi" w:cstheme="minorHAnsi"/>
          <w:lang w:val="en-IT"/>
        </w:rPr>
      </w:pPr>
    </w:p>
    <w:p w14:paraId="4EF1FCA8" w14:textId="77777777" w:rsidR="00A534D2" w:rsidRPr="00A534D2" w:rsidRDefault="00A534D2" w:rsidP="00FC25EA">
      <w:pPr>
        <w:jc w:val="both"/>
        <w:rPr>
          <w:rFonts w:asciiTheme="minorHAnsi" w:hAnsiTheme="minorHAnsi" w:cstheme="minorHAnsi"/>
          <w:lang w:val="en-US"/>
        </w:rPr>
      </w:pPr>
    </w:p>
    <w:p w14:paraId="429A15F2" w14:textId="77777777" w:rsidR="00A534D2" w:rsidRPr="00A534D2" w:rsidRDefault="00A534D2" w:rsidP="00FC25EA">
      <w:pPr>
        <w:jc w:val="both"/>
        <w:rPr>
          <w:rFonts w:asciiTheme="minorHAnsi" w:hAnsiTheme="minorHAnsi" w:cstheme="minorHAnsi"/>
          <w:lang w:val="en-US"/>
        </w:rPr>
      </w:pPr>
    </w:p>
    <w:p w14:paraId="7BDC5A07" w14:textId="77777777" w:rsidR="00A534D2" w:rsidRPr="00A534D2" w:rsidRDefault="00A534D2" w:rsidP="00FC25EA">
      <w:pPr>
        <w:jc w:val="both"/>
        <w:rPr>
          <w:rFonts w:asciiTheme="minorHAnsi" w:hAnsiTheme="minorHAnsi" w:cstheme="minorHAnsi"/>
          <w:lang w:val="en-US"/>
        </w:rPr>
      </w:pPr>
    </w:p>
    <w:p w14:paraId="38F6CC42" w14:textId="138CBEB0" w:rsidR="0024361B" w:rsidRDefault="0024361B" w:rsidP="00FC25EA">
      <w:pPr>
        <w:jc w:val="both"/>
        <w:rPr>
          <w:rFonts w:asciiTheme="minorHAnsi" w:hAnsiTheme="minorHAnsi" w:cstheme="minorHAnsi"/>
          <w:lang w:val="it-IT"/>
        </w:rPr>
      </w:pPr>
      <w:r>
        <w:rPr>
          <w:rFonts w:asciiTheme="minorHAnsi" w:hAnsiTheme="minorHAnsi" w:cstheme="minorHAnsi"/>
          <w:lang w:val="it-IT"/>
        </w:rPr>
        <w:t xml:space="preserve">Mentre il sodio è primariamente nell’ECF ed il potassio intracellulare, sono le concentrazioni reciproche nell’acqua corporea totale </w:t>
      </w:r>
      <w:r w:rsidRPr="0024361B">
        <w:rPr>
          <w:rFonts w:asciiTheme="minorHAnsi" w:hAnsiTheme="minorHAnsi" w:cstheme="minorHAnsi"/>
          <w:b/>
          <w:bCs/>
          <w:lang w:val="it-IT"/>
        </w:rPr>
        <w:t>(</w:t>
      </w:r>
      <w:r w:rsidRPr="0024361B">
        <w:rPr>
          <w:rFonts w:asciiTheme="minorHAnsi" w:hAnsiTheme="minorHAnsi" w:cstheme="minorHAnsi"/>
          <w:lang w:val="it-IT"/>
        </w:rPr>
        <w:t xml:space="preserve">quantità totale di acqua nell’organismo umano, distribuita </w:t>
      </w:r>
      <w:r>
        <w:rPr>
          <w:rFonts w:asciiTheme="minorHAnsi" w:hAnsiTheme="minorHAnsi" w:cstheme="minorHAnsi"/>
          <w:lang w:val="it-IT"/>
        </w:rPr>
        <w:t>tra i</w:t>
      </w:r>
      <w:r w:rsidRPr="0024361B">
        <w:rPr>
          <w:rFonts w:asciiTheme="minorHAnsi" w:hAnsiTheme="minorHAnsi" w:cstheme="minorHAnsi"/>
          <w:lang w:val="it-IT"/>
        </w:rPr>
        <w:t xml:space="preserve"> compartimenti intracellulari ed extracellulari</w:t>
      </w:r>
      <w:r>
        <w:rPr>
          <w:rFonts w:asciiTheme="minorHAnsi" w:hAnsiTheme="minorHAnsi" w:cstheme="minorHAnsi"/>
          <w:lang w:val="it-IT"/>
        </w:rPr>
        <w:t>) a determinare la tonicità del plasma e l’effetto finale sul volume cellulare.</w:t>
      </w:r>
    </w:p>
    <w:p w14:paraId="507CEE27" w14:textId="17AF1C14" w:rsidR="0024361B" w:rsidRDefault="0024361B" w:rsidP="00FC25EA">
      <w:pPr>
        <w:jc w:val="both"/>
        <w:rPr>
          <w:rFonts w:asciiTheme="minorHAnsi" w:hAnsiTheme="minorHAnsi" w:cstheme="minorHAnsi"/>
          <w:lang w:val="it-IT"/>
        </w:rPr>
      </w:pPr>
      <w:r>
        <w:rPr>
          <w:rFonts w:asciiTheme="minorHAnsi" w:hAnsiTheme="minorHAnsi" w:cstheme="minorHAnsi"/>
          <w:lang w:val="it-IT"/>
        </w:rPr>
        <w:lastRenderedPageBreak/>
        <w:t>Oltre al “semplice” equilibrio elettrolitico, una significativa porzione di sodio è legata a proteoglicani</w:t>
      </w:r>
      <w:r w:rsidR="00AA1496">
        <w:rPr>
          <w:rFonts w:asciiTheme="minorHAnsi" w:hAnsiTheme="minorHAnsi" w:cstheme="minorHAnsi"/>
          <w:lang w:val="it-IT"/>
        </w:rPr>
        <w:t xml:space="preserve"> di tessuto connettivo, ossa e cartilagini</w:t>
      </w:r>
      <w:r w:rsidR="0083142B">
        <w:rPr>
          <w:rFonts w:asciiTheme="minorHAnsi" w:hAnsiTheme="minorHAnsi" w:cstheme="minorHAnsi"/>
          <w:lang w:val="it-IT"/>
        </w:rPr>
        <w:fldChar w:fldCharType="begin"/>
      </w:r>
      <w:r w:rsidR="0083142B">
        <w:rPr>
          <w:rFonts w:asciiTheme="minorHAnsi" w:hAnsiTheme="minorHAnsi" w:cstheme="minorHAnsi"/>
          <w:lang w:val="it-IT"/>
        </w:rPr>
        <w:instrText xml:space="preserve"> ADDIN ZOTERO_ITEM CSL_CITATION {"citationID":"ucLr5dp0","properties":{"formattedCitation":"\\super 1\\nosupersub{}","plainCitation":"1","noteIndex":0},"citationItems":[{"id":449,"uris":["http://zotero.org/users/11409170/items/N8CYBLZJ"],"itemData":{"id":449,"type":"article-journal","container-title":"New England Journal of Medicine","DOI":"10.1056/NEJMra1404489","ISSN":"0028-4793, 1533-4406","issue":"1","journalAbbreviation":"N Engl J Med","language":"en","page":"55-65","source":"DOI.org (Crossref)","title":"Disorders of Plasma Sodium — Causes, Consequences, and Correction","volume":"372","editor":[{"family":"Ingelfinger","given":"Julie R."}],"author":[{"family":"Sterns","given":"Richard H."}],"issued":{"date-parts":[["2015",1,1]]},"citation-key":"sternsDisordersPlasmaSodium2015a"}}],"schema":"https://github.com/citation-style-language/schema/raw/master/csl-citation.json"} </w:instrText>
      </w:r>
      <w:r w:rsidR="0083142B">
        <w:rPr>
          <w:rFonts w:asciiTheme="minorHAnsi" w:hAnsiTheme="minorHAnsi" w:cstheme="minorHAnsi"/>
          <w:lang w:val="it-IT"/>
        </w:rPr>
        <w:fldChar w:fldCharType="separate"/>
      </w:r>
      <w:r w:rsidR="0083142B" w:rsidRPr="0083142B">
        <w:rPr>
          <w:rFonts w:ascii="Times New Roman" w:hAnsiTheme="minorHAnsi" w:cs="Times New Roman"/>
          <w:vertAlign w:val="superscript"/>
          <w:lang w:val="it-IT"/>
        </w:rPr>
        <w:t>1</w:t>
      </w:r>
      <w:r w:rsidR="0083142B">
        <w:rPr>
          <w:rFonts w:asciiTheme="minorHAnsi" w:hAnsiTheme="minorHAnsi" w:cstheme="minorHAnsi"/>
          <w:lang w:val="it-IT"/>
        </w:rPr>
        <w:fldChar w:fldCharType="end"/>
      </w:r>
      <w:r w:rsidR="00AA1496">
        <w:rPr>
          <w:rFonts w:asciiTheme="minorHAnsi" w:hAnsiTheme="minorHAnsi" w:cstheme="minorHAnsi"/>
          <w:lang w:val="it-IT"/>
        </w:rPr>
        <w:t>. È proprio queto sodio</w:t>
      </w:r>
    </w:p>
    <w:p w14:paraId="379AA031" w14:textId="77777777" w:rsidR="0024361B" w:rsidRDefault="0024361B" w:rsidP="00FC25EA">
      <w:pPr>
        <w:jc w:val="both"/>
        <w:rPr>
          <w:rFonts w:asciiTheme="minorHAnsi" w:hAnsiTheme="minorHAnsi" w:cstheme="minorHAnsi"/>
          <w:lang w:val="it-IT"/>
        </w:rPr>
      </w:pPr>
    </w:p>
    <w:p w14:paraId="20519D60" w14:textId="77777777" w:rsidR="0024361B" w:rsidRDefault="0024361B" w:rsidP="00FC25EA">
      <w:pPr>
        <w:jc w:val="both"/>
        <w:rPr>
          <w:rFonts w:asciiTheme="minorHAnsi" w:hAnsiTheme="minorHAnsi" w:cstheme="minorHAnsi"/>
          <w:lang w:val="it-IT"/>
        </w:rPr>
      </w:pPr>
    </w:p>
    <w:p w14:paraId="3E80025E" w14:textId="77777777" w:rsidR="0024361B" w:rsidRDefault="0024361B" w:rsidP="00FC25EA">
      <w:pPr>
        <w:jc w:val="both"/>
        <w:rPr>
          <w:rFonts w:asciiTheme="minorHAnsi" w:hAnsiTheme="minorHAnsi" w:cstheme="minorHAnsi"/>
          <w:lang w:val="it-IT"/>
        </w:rPr>
      </w:pPr>
    </w:p>
    <w:p w14:paraId="1C2F6A2C" w14:textId="1C6A9B51" w:rsidR="00C6414C" w:rsidRDefault="00FC25EA" w:rsidP="00FC25EA">
      <w:pPr>
        <w:jc w:val="both"/>
        <w:rPr>
          <w:rFonts w:asciiTheme="minorHAnsi" w:hAnsiTheme="minorHAnsi" w:cstheme="minorHAnsi"/>
          <w:lang w:val="it-IT"/>
        </w:rPr>
      </w:pPr>
      <w:r>
        <w:rPr>
          <w:rFonts w:asciiTheme="minorHAnsi" w:hAnsiTheme="minorHAnsi" w:cstheme="minorHAnsi"/>
          <w:lang w:val="it-IT"/>
        </w:rPr>
        <w:t>Questa</w:t>
      </w:r>
      <w:r w:rsidR="0024361B">
        <w:rPr>
          <w:rFonts w:asciiTheme="minorHAnsi" w:hAnsiTheme="minorHAnsi" w:cstheme="minorHAnsi"/>
          <w:lang w:val="it-IT"/>
        </w:rPr>
        <w:t xml:space="preserve"> fine</w:t>
      </w:r>
      <w:r>
        <w:rPr>
          <w:rFonts w:asciiTheme="minorHAnsi" w:hAnsiTheme="minorHAnsi" w:cstheme="minorHAnsi"/>
          <w:lang w:val="it-IT"/>
        </w:rPr>
        <w:t xml:space="preserve"> regolazione è primariamente controllata dall’osmoregolazione che, bilanciando introito idrico ed escrezione, mantiene il sodio in uno stretto range di 135</w:t>
      </w:r>
      <w:r w:rsidR="00C6414C" w:rsidRPr="00C6414C">
        <w:rPr>
          <w:rFonts w:asciiTheme="minorHAnsi" w:hAnsiTheme="minorHAnsi" w:cstheme="minorHAnsi"/>
          <w:lang w:val="it-IT"/>
        </w:rPr>
        <w:t xml:space="preserve"> e 142 </w:t>
      </w:r>
      <w:proofErr w:type="spellStart"/>
      <w:r w:rsidR="00C6414C" w:rsidRPr="00C6414C">
        <w:rPr>
          <w:rFonts w:asciiTheme="minorHAnsi" w:hAnsiTheme="minorHAnsi" w:cstheme="minorHAnsi"/>
          <w:lang w:val="it-IT"/>
        </w:rPr>
        <w:t>mmol</w:t>
      </w:r>
      <w:proofErr w:type="spellEnd"/>
      <w:r w:rsidR="00C6414C" w:rsidRPr="00C6414C">
        <w:rPr>
          <w:rFonts w:asciiTheme="minorHAnsi" w:hAnsiTheme="minorHAnsi" w:cstheme="minorHAnsi"/>
          <w:lang w:val="it-IT"/>
        </w:rPr>
        <w:t>/L</w:t>
      </w:r>
      <w:r>
        <w:rPr>
          <w:rFonts w:asciiTheme="minorHAnsi" w:hAnsiTheme="minorHAnsi" w:cstheme="minorHAnsi"/>
          <w:lang w:val="it-IT"/>
        </w:rPr>
        <w:t xml:space="preserve"> </w:t>
      </w:r>
      <w:r w:rsidR="00C6414C" w:rsidRPr="00C6414C">
        <w:rPr>
          <w:rFonts w:asciiTheme="minorHAnsi" w:hAnsiTheme="minorHAnsi" w:cstheme="minorHAnsi"/>
          <w:lang w:val="it-IT"/>
        </w:rPr>
        <w:t>o</w:t>
      </w:r>
      <w:r>
        <w:rPr>
          <w:rFonts w:asciiTheme="minorHAnsi" w:hAnsiTheme="minorHAnsi" w:cstheme="minorHAnsi"/>
          <w:lang w:val="it-IT"/>
        </w:rPr>
        <w:t>,</w:t>
      </w:r>
      <w:r w:rsidR="00C6414C" w:rsidRPr="00C6414C">
        <w:rPr>
          <w:rFonts w:asciiTheme="minorHAnsi" w:hAnsiTheme="minorHAnsi" w:cstheme="minorHAnsi"/>
          <w:lang w:val="it-IT"/>
        </w:rPr>
        <w:t xml:space="preserve"> volendo essere più permissivi</w:t>
      </w:r>
      <w:r>
        <w:rPr>
          <w:rFonts w:asciiTheme="minorHAnsi" w:hAnsiTheme="minorHAnsi" w:cstheme="minorHAnsi"/>
          <w:lang w:val="it-IT"/>
        </w:rPr>
        <w:t>,</w:t>
      </w:r>
      <w:r w:rsidR="00C6414C" w:rsidRPr="00C6414C">
        <w:rPr>
          <w:rFonts w:asciiTheme="minorHAnsi" w:hAnsiTheme="minorHAnsi" w:cstheme="minorHAnsi"/>
          <w:lang w:val="it-IT"/>
        </w:rPr>
        <w:t xml:space="preserve"> tra 135 e 145 </w:t>
      </w:r>
      <w:proofErr w:type="spellStart"/>
      <w:r w:rsidR="00C6414C" w:rsidRPr="00C6414C">
        <w:rPr>
          <w:rFonts w:asciiTheme="minorHAnsi" w:hAnsiTheme="minorHAnsi" w:cstheme="minorHAnsi"/>
          <w:lang w:val="it-IT"/>
        </w:rPr>
        <w:t>mmol</w:t>
      </w:r>
      <w:proofErr w:type="spellEnd"/>
      <w:r w:rsidR="00C6414C" w:rsidRPr="00C6414C">
        <w:rPr>
          <w:rFonts w:asciiTheme="minorHAnsi" w:hAnsiTheme="minorHAnsi" w:cstheme="minorHAnsi"/>
          <w:lang w:val="it-IT"/>
        </w:rPr>
        <w:t>/L.</w:t>
      </w:r>
    </w:p>
    <w:p w14:paraId="649E6DD8" w14:textId="0AD94EF2" w:rsidR="0024361B" w:rsidRPr="00C6414C" w:rsidRDefault="0024361B" w:rsidP="00FC25EA">
      <w:pPr>
        <w:jc w:val="both"/>
        <w:rPr>
          <w:rFonts w:asciiTheme="minorHAnsi" w:hAnsiTheme="minorHAnsi" w:cstheme="minorHAnsi"/>
          <w:lang w:val="it-IT"/>
        </w:rPr>
      </w:pPr>
      <w:r>
        <w:rPr>
          <w:rFonts w:asciiTheme="minorHAnsi" w:hAnsiTheme="minorHAnsi" w:cstheme="minorHAnsi"/>
          <w:lang w:val="it-IT"/>
        </w:rPr>
        <w:t>La concentrazione plasmatica di sodio impatta direttamente sul volume cellulare con una ipernatriemia sinonimo di ipertonicità ed iponatriemia spesso correlata ad uno stato di ipotonicità.</w:t>
      </w:r>
    </w:p>
    <w:p w14:paraId="37E2325A" w14:textId="0EFC798B" w:rsidR="0083142B" w:rsidRDefault="00FC25EA" w:rsidP="00A00BE6">
      <w:pPr>
        <w:rPr>
          <w:rFonts w:asciiTheme="minorHAnsi" w:hAnsiTheme="minorHAnsi" w:cstheme="minorHAnsi"/>
          <w:lang w:val="it-IT"/>
        </w:rPr>
      </w:pPr>
      <w:r>
        <w:rPr>
          <w:rFonts w:asciiTheme="minorHAnsi" w:hAnsiTheme="minorHAnsi" w:cstheme="minorHAnsi"/>
          <w:lang w:val="it-IT"/>
        </w:rPr>
        <w:t xml:space="preserve">Il fallimento di questa autoregolazione fa sì che le cellule </w:t>
      </w:r>
      <w:r w:rsidR="00211621">
        <w:rPr>
          <w:rFonts w:asciiTheme="minorHAnsi" w:hAnsiTheme="minorHAnsi" w:cstheme="minorHAnsi"/>
          <w:lang w:val="it-IT"/>
        </w:rPr>
        <w:t>vadano incontro ad</w:t>
      </w:r>
      <w:r>
        <w:rPr>
          <w:rFonts w:asciiTheme="minorHAnsi" w:hAnsiTheme="minorHAnsi" w:cstheme="minorHAnsi"/>
          <w:lang w:val="it-IT"/>
        </w:rPr>
        <w:t xml:space="preserve"> uno stress ipotonico o ipertonico, </w:t>
      </w:r>
      <w:r w:rsidR="00211621">
        <w:rPr>
          <w:rFonts w:asciiTheme="minorHAnsi" w:hAnsiTheme="minorHAnsi" w:cstheme="minorHAnsi"/>
          <w:lang w:val="it-IT"/>
        </w:rPr>
        <w:t>con rispettivamente</w:t>
      </w:r>
      <w:r>
        <w:rPr>
          <w:rFonts w:asciiTheme="minorHAnsi" w:hAnsiTheme="minorHAnsi" w:cstheme="minorHAnsi"/>
          <w:lang w:val="it-IT"/>
        </w:rPr>
        <w:t xml:space="preserve"> fenomeni di </w:t>
      </w:r>
      <w:r w:rsidR="00211621">
        <w:rPr>
          <w:rFonts w:asciiTheme="minorHAnsi" w:hAnsiTheme="minorHAnsi" w:cstheme="minorHAnsi"/>
          <w:lang w:val="it-IT"/>
        </w:rPr>
        <w:t xml:space="preserve">rigonfiamento - </w:t>
      </w:r>
      <w:r>
        <w:rPr>
          <w:rFonts w:asciiTheme="minorHAnsi" w:hAnsiTheme="minorHAnsi" w:cstheme="minorHAnsi"/>
          <w:i/>
          <w:iCs/>
          <w:lang w:val="it-IT"/>
        </w:rPr>
        <w:t xml:space="preserve">swelling </w:t>
      </w:r>
      <w:r w:rsidR="00211621">
        <w:rPr>
          <w:rFonts w:asciiTheme="minorHAnsi" w:hAnsiTheme="minorHAnsi" w:cstheme="minorHAnsi"/>
          <w:lang w:val="it-IT"/>
        </w:rPr>
        <w:t xml:space="preserve">- </w:t>
      </w:r>
      <w:r>
        <w:rPr>
          <w:rFonts w:asciiTheme="minorHAnsi" w:hAnsiTheme="minorHAnsi" w:cstheme="minorHAnsi"/>
          <w:lang w:val="it-IT"/>
        </w:rPr>
        <w:t xml:space="preserve">e </w:t>
      </w:r>
      <w:r w:rsidR="00211621">
        <w:rPr>
          <w:rFonts w:asciiTheme="minorHAnsi" w:hAnsiTheme="minorHAnsi" w:cstheme="minorHAnsi"/>
          <w:lang w:val="it-IT"/>
        </w:rPr>
        <w:t xml:space="preserve">raggrinzimento - </w:t>
      </w:r>
      <w:r>
        <w:rPr>
          <w:rFonts w:asciiTheme="minorHAnsi" w:hAnsiTheme="minorHAnsi" w:cstheme="minorHAnsi"/>
          <w:i/>
          <w:iCs/>
          <w:lang w:val="it-IT"/>
        </w:rPr>
        <w:t>shrinkage</w:t>
      </w:r>
      <w:r w:rsidR="00211621">
        <w:rPr>
          <w:rFonts w:asciiTheme="minorHAnsi" w:hAnsiTheme="minorHAnsi" w:cstheme="minorHAnsi"/>
          <w:lang w:val="it-IT"/>
        </w:rPr>
        <w:t>.</w:t>
      </w:r>
    </w:p>
    <w:p w14:paraId="669C7B1E" w14:textId="77777777" w:rsidR="00201E14" w:rsidRDefault="00201E14" w:rsidP="00201E14">
      <w:pPr>
        <w:rPr>
          <w:rFonts w:asciiTheme="minorHAnsi" w:hAnsiTheme="minorHAnsi" w:cstheme="minorHAnsi"/>
          <w:b/>
          <w:bCs/>
          <w:lang w:val="en-IT"/>
        </w:rPr>
      </w:pPr>
    </w:p>
    <w:p w14:paraId="6A65584C" w14:textId="3C69C8E4" w:rsidR="00201E14" w:rsidRPr="00201E14" w:rsidRDefault="00201E14" w:rsidP="00201E14">
      <w:pPr>
        <w:rPr>
          <w:rFonts w:asciiTheme="minorHAnsi" w:hAnsiTheme="minorHAnsi" w:cstheme="minorHAnsi"/>
          <w:b/>
          <w:bCs/>
          <w:lang w:val="en-IT"/>
        </w:rPr>
      </w:pPr>
      <w:r>
        <w:rPr>
          <w:rFonts w:asciiTheme="minorHAnsi" w:hAnsiTheme="minorHAnsi" w:cstheme="minorHAnsi"/>
          <w:b/>
          <w:bCs/>
          <w:lang w:val="en-IT"/>
        </w:rPr>
        <w:t>Sodium f</w:t>
      </w:r>
      <w:r w:rsidRPr="00201E14">
        <w:rPr>
          <w:rFonts w:asciiTheme="minorHAnsi" w:hAnsiTheme="minorHAnsi" w:cstheme="minorHAnsi"/>
          <w:b/>
          <w:bCs/>
          <w:lang w:val="en-IT"/>
        </w:rPr>
        <w:t>luctuations</w:t>
      </w:r>
    </w:p>
    <w:p w14:paraId="4CF93F1D" w14:textId="77777777" w:rsidR="00201E14" w:rsidRPr="00201E14" w:rsidRDefault="00201E14" w:rsidP="00201E14">
      <w:pPr>
        <w:rPr>
          <w:rFonts w:asciiTheme="minorHAnsi" w:hAnsiTheme="minorHAnsi" w:cstheme="minorHAnsi"/>
          <w:lang w:val="en-IT"/>
        </w:rPr>
      </w:pPr>
      <w:r w:rsidRPr="00201E14">
        <w:rPr>
          <w:rFonts w:asciiTheme="minorHAnsi" w:hAnsiTheme="minorHAnsi" w:cstheme="minorHAnsi"/>
          <w:lang w:val="en-IT"/>
        </w:rPr>
        <w:t>Sodium, the most abundant cation in extracellular fluid, plays a vital role in regulating plasma osmolality. The body tightly controls serum sodium levels, usually between 135 and 145 mmol/L, despite variations in daily sodium and water intake.</w:t>
      </w:r>
    </w:p>
    <w:p w14:paraId="10F71DC5" w14:textId="77777777" w:rsidR="00201E14" w:rsidRPr="00201E14" w:rsidRDefault="00201E14" w:rsidP="00201E14">
      <w:pPr>
        <w:rPr>
          <w:rFonts w:asciiTheme="minorHAnsi" w:hAnsiTheme="minorHAnsi" w:cstheme="minorHAnsi"/>
          <w:lang w:val="en-IT"/>
        </w:rPr>
      </w:pPr>
      <w:r w:rsidRPr="00201E14">
        <w:rPr>
          <w:rFonts w:asciiTheme="minorHAnsi" w:hAnsiTheme="minorHAnsi" w:cstheme="minorHAnsi"/>
          <w:lang w:val="en-IT"/>
        </w:rPr>
        <w:t>Sodium fluctuations, or variations in serum sodium levels, can occur due to various factors:</w:t>
      </w:r>
    </w:p>
    <w:p w14:paraId="733DC70F" w14:textId="77777777" w:rsidR="00201E14" w:rsidRPr="00201E14" w:rsidRDefault="00201E14" w:rsidP="00201E14">
      <w:pPr>
        <w:numPr>
          <w:ilvl w:val="0"/>
          <w:numId w:val="29"/>
        </w:numPr>
        <w:rPr>
          <w:rFonts w:asciiTheme="minorHAnsi" w:hAnsiTheme="minorHAnsi" w:cstheme="minorHAnsi"/>
          <w:lang w:val="en-IT"/>
        </w:rPr>
      </w:pPr>
      <w:r w:rsidRPr="00201E14">
        <w:rPr>
          <w:rFonts w:asciiTheme="minorHAnsi" w:hAnsiTheme="minorHAnsi" w:cstheme="minorHAnsi"/>
          <w:b/>
          <w:bCs/>
          <w:lang w:val="en-IT"/>
        </w:rPr>
        <w:t>Iatrogenic interventions:</w:t>
      </w:r>
      <w:r w:rsidRPr="00201E14">
        <w:rPr>
          <w:rFonts w:asciiTheme="minorHAnsi" w:hAnsiTheme="minorHAnsi" w:cstheme="minorHAnsi"/>
          <w:lang w:val="en-IT"/>
        </w:rPr>
        <w:t xml:space="preserve"> Medical interventions, such as intravenous fluid administration and medications, are a common cause of sodium fluctuations in critically ill patients. This is because the kidneys excrete sodium loads inefficiently, leading to fluid retention when large amounts of sodium are administered, such as through isotonic maintenance fluids.</w:t>
      </w:r>
    </w:p>
    <w:p w14:paraId="240A8901" w14:textId="77777777" w:rsidR="00201E14" w:rsidRPr="00201E14" w:rsidRDefault="00201E14" w:rsidP="00201E14">
      <w:pPr>
        <w:numPr>
          <w:ilvl w:val="0"/>
          <w:numId w:val="29"/>
        </w:numPr>
        <w:rPr>
          <w:rFonts w:asciiTheme="minorHAnsi" w:hAnsiTheme="minorHAnsi" w:cstheme="minorHAnsi"/>
          <w:lang w:val="en-IT"/>
        </w:rPr>
      </w:pPr>
      <w:r w:rsidRPr="00201E14">
        <w:rPr>
          <w:rFonts w:asciiTheme="minorHAnsi" w:hAnsiTheme="minorHAnsi" w:cstheme="minorHAnsi"/>
          <w:b/>
          <w:bCs/>
          <w:lang w:val="en-IT"/>
        </w:rPr>
        <w:t>Underlying medical conditions:</w:t>
      </w:r>
      <w:r w:rsidRPr="00201E14">
        <w:rPr>
          <w:rFonts w:asciiTheme="minorHAnsi" w:hAnsiTheme="minorHAnsi" w:cstheme="minorHAnsi"/>
          <w:lang w:val="en-IT"/>
        </w:rPr>
        <w:t xml:space="preserve"> Chronic illnesses like heart, kidney, or liver dysfunction, as well as endocrine disorders like Addison's disease and hypothyroidism, can disrupt sodium homeostasis.</w:t>
      </w:r>
    </w:p>
    <w:p w14:paraId="4336BD43" w14:textId="77777777" w:rsidR="00201E14" w:rsidRPr="00201E14" w:rsidRDefault="00201E14" w:rsidP="00201E14">
      <w:pPr>
        <w:numPr>
          <w:ilvl w:val="0"/>
          <w:numId w:val="29"/>
        </w:numPr>
        <w:rPr>
          <w:rFonts w:asciiTheme="minorHAnsi" w:hAnsiTheme="minorHAnsi" w:cstheme="minorHAnsi"/>
          <w:lang w:val="en-IT"/>
        </w:rPr>
      </w:pPr>
      <w:r w:rsidRPr="00201E14">
        <w:rPr>
          <w:rFonts w:asciiTheme="minorHAnsi" w:hAnsiTheme="minorHAnsi" w:cstheme="minorHAnsi"/>
          <w:b/>
          <w:bCs/>
          <w:lang w:val="en-IT"/>
        </w:rPr>
        <w:t>Medications:</w:t>
      </w:r>
      <w:r w:rsidRPr="00201E14">
        <w:rPr>
          <w:rFonts w:asciiTheme="minorHAnsi" w:hAnsiTheme="minorHAnsi" w:cstheme="minorHAnsi"/>
          <w:lang w:val="en-IT"/>
        </w:rPr>
        <w:t xml:space="preserve"> Certain medications, such as diuretics, can alter sodium and water balance, leading to fluctuations.</w:t>
      </w:r>
    </w:p>
    <w:p w14:paraId="26077B46" w14:textId="77777777" w:rsidR="00201E14" w:rsidRPr="00201E14" w:rsidRDefault="00201E14" w:rsidP="00201E14">
      <w:pPr>
        <w:numPr>
          <w:ilvl w:val="0"/>
          <w:numId w:val="29"/>
        </w:numPr>
        <w:rPr>
          <w:rFonts w:asciiTheme="minorHAnsi" w:hAnsiTheme="minorHAnsi" w:cstheme="minorHAnsi"/>
          <w:lang w:val="en-IT"/>
        </w:rPr>
      </w:pPr>
      <w:r w:rsidRPr="00201E14">
        <w:rPr>
          <w:rFonts w:asciiTheme="minorHAnsi" w:hAnsiTheme="minorHAnsi" w:cstheme="minorHAnsi"/>
          <w:b/>
          <w:bCs/>
          <w:lang w:val="en-IT"/>
        </w:rPr>
        <w:t>Neurohormonal responses:</w:t>
      </w:r>
      <w:r w:rsidRPr="00201E14">
        <w:rPr>
          <w:rFonts w:asciiTheme="minorHAnsi" w:hAnsiTheme="minorHAnsi" w:cstheme="minorHAnsi"/>
          <w:lang w:val="en-IT"/>
        </w:rPr>
        <w:t xml:space="preserve"> Severe illness, trauma, and surgical procedures can trigger neurohormonal responses that influence sodium regulation. These responses impact antidiuretic hormone (ADH) regulation, the renin-angiotensin-aldosterone system, and natriuretic peptide release, ultimately affecting sodium and water balance. For instance, in traumatic brain injury patients, the use of hyperosmolar therapy, diabetes insipidus, and inappropriate water retention can all contribute to sodium fluctuations.</w:t>
      </w:r>
    </w:p>
    <w:p w14:paraId="0810EE4C" w14:textId="77777777" w:rsidR="00201E14" w:rsidRPr="00201E14" w:rsidRDefault="00201E14" w:rsidP="00201E14">
      <w:pPr>
        <w:rPr>
          <w:rFonts w:asciiTheme="minorHAnsi" w:hAnsiTheme="minorHAnsi" w:cstheme="minorHAnsi"/>
          <w:lang w:val="en-IT"/>
        </w:rPr>
      </w:pPr>
      <w:r w:rsidRPr="00201E14">
        <w:rPr>
          <w:rFonts w:asciiTheme="minorHAnsi" w:hAnsiTheme="minorHAnsi" w:cstheme="minorHAnsi"/>
          <w:b/>
          <w:bCs/>
          <w:lang w:val="en-IT"/>
        </w:rPr>
        <w:t>Sodium fluctuations are clinically significant due to their potential impact on patient outcomes.</w:t>
      </w:r>
      <w:r w:rsidRPr="00201E14">
        <w:rPr>
          <w:rFonts w:asciiTheme="minorHAnsi" w:hAnsiTheme="minorHAnsi" w:cstheme="minorHAnsi"/>
          <w:lang w:val="en-IT"/>
        </w:rPr>
        <w:t xml:space="preserve"> Several studies have linked sodium variability to increased mortality in critically ill patients, even when fluctuations occur within the normal range. Rapid changes in sodium levels can cause rapid shifts in serum osmolarity, leading to neurohormonal and metabolic consequences. These fluctuations might reflect underlying systemic issues, highlighting the importance of investigating and managing the root causes of these fluctuations.</w:t>
      </w:r>
    </w:p>
    <w:p w14:paraId="0C928020" w14:textId="77777777" w:rsidR="00201E14" w:rsidRPr="00201E14" w:rsidRDefault="00201E14" w:rsidP="00201E14">
      <w:pPr>
        <w:rPr>
          <w:rFonts w:asciiTheme="minorHAnsi" w:hAnsiTheme="minorHAnsi" w:cstheme="minorHAnsi"/>
          <w:lang w:val="en-IT"/>
        </w:rPr>
      </w:pPr>
      <w:r w:rsidRPr="00201E14">
        <w:rPr>
          <w:rFonts w:asciiTheme="minorHAnsi" w:hAnsiTheme="minorHAnsi" w:cstheme="minorHAnsi"/>
          <w:lang w:val="en-IT"/>
        </w:rPr>
        <w:t>For instance, a study cited in our conversation history found that daily serum sodium variability was an independent predictor of mortality in severe TBI patients, highlighting the importance of closely monitoring sodium levels. In aneurysmal subarachnoid hemorrhage (aSAH) patients, greater fluctuations in serum sodium were also associated with worse neurologic outcomes.</w:t>
      </w:r>
    </w:p>
    <w:p w14:paraId="6B4A0D09" w14:textId="77777777" w:rsidR="00201E14" w:rsidRPr="00201E14" w:rsidRDefault="00201E14" w:rsidP="00201E14">
      <w:pPr>
        <w:rPr>
          <w:rFonts w:asciiTheme="minorHAnsi" w:hAnsiTheme="minorHAnsi" w:cstheme="minorHAnsi"/>
          <w:lang w:val="en-IT"/>
        </w:rPr>
      </w:pPr>
      <w:r w:rsidRPr="00201E14">
        <w:rPr>
          <w:rFonts w:asciiTheme="minorHAnsi" w:hAnsiTheme="minorHAnsi" w:cstheme="minorHAnsi"/>
          <w:b/>
          <w:bCs/>
          <w:lang w:val="en-IT"/>
        </w:rPr>
        <w:lastRenderedPageBreak/>
        <w:t>While correcting sodium imbalances is crucial, current evidence suggests that focusing on minimizing sodium fluctuations through appropriate fluid management and treatment of underlying conditions is vital for improving patient outcomes.</w:t>
      </w:r>
    </w:p>
    <w:p w14:paraId="5E832BE7" w14:textId="77777777" w:rsidR="00201E14" w:rsidRPr="00201E14" w:rsidRDefault="00201E14">
      <w:pPr>
        <w:rPr>
          <w:rFonts w:asciiTheme="minorHAnsi" w:hAnsiTheme="minorHAnsi" w:cstheme="minorHAnsi"/>
          <w:lang w:val="en-IT"/>
        </w:rPr>
      </w:pPr>
    </w:p>
    <w:p w14:paraId="3FA8B0A6" w14:textId="77777777" w:rsidR="00201E14" w:rsidRPr="00201E14" w:rsidRDefault="00201E14" w:rsidP="00201E14">
      <w:pPr>
        <w:rPr>
          <w:rFonts w:asciiTheme="minorHAnsi" w:hAnsiTheme="minorHAnsi" w:cstheme="minorHAnsi"/>
          <w:b/>
          <w:bCs/>
          <w:lang w:val="en-IT"/>
        </w:rPr>
      </w:pPr>
      <w:r w:rsidRPr="00201E14">
        <w:rPr>
          <w:rFonts w:asciiTheme="minorHAnsi" w:hAnsiTheme="minorHAnsi" w:cstheme="minorHAnsi"/>
          <w:b/>
          <w:bCs/>
          <w:lang w:val="en-IT"/>
        </w:rPr>
        <w:t>Sodium's Impact on Intracranial Pressure (ICP)</w:t>
      </w:r>
    </w:p>
    <w:p w14:paraId="458D9B75" w14:textId="77777777" w:rsidR="00201E14" w:rsidRPr="00201E14" w:rsidRDefault="00201E14" w:rsidP="00201E14">
      <w:pPr>
        <w:rPr>
          <w:rFonts w:asciiTheme="minorHAnsi" w:hAnsiTheme="minorHAnsi" w:cstheme="minorHAnsi"/>
          <w:lang w:val="en-IT"/>
        </w:rPr>
      </w:pPr>
      <w:r w:rsidRPr="00201E14">
        <w:rPr>
          <w:rFonts w:asciiTheme="minorHAnsi" w:hAnsiTheme="minorHAnsi" w:cstheme="minorHAnsi"/>
          <w:lang w:val="en-IT"/>
        </w:rPr>
        <w:t>The relationship between sodium and intracranial pressure (ICP) is complex and multifaceted. Here's what the sources say:</w:t>
      </w:r>
    </w:p>
    <w:p w14:paraId="6491B876" w14:textId="77777777" w:rsidR="00201E14" w:rsidRPr="00201E14" w:rsidRDefault="00201E14" w:rsidP="00201E14">
      <w:pPr>
        <w:numPr>
          <w:ilvl w:val="0"/>
          <w:numId w:val="30"/>
        </w:numPr>
        <w:rPr>
          <w:rFonts w:asciiTheme="minorHAnsi" w:hAnsiTheme="minorHAnsi" w:cstheme="minorHAnsi"/>
          <w:lang w:val="en-IT"/>
        </w:rPr>
      </w:pPr>
      <w:r w:rsidRPr="00201E14">
        <w:rPr>
          <w:rFonts w:asciiTheme="minorHAnsi" w:hAnsiTheme="minorHAnsi" w:cstheme="minorHAnsi"/>
          <w:b/>
          <w:bCs/>
          <w:lang w:val="en-IT"/>
        </w:rPr>
        <w:t>Sodium disorders affect brain water content:</w:t>
      </w:r>
      <w:r w:rsidRPr="00201E14">
        <w:rPr>
          <w:rFonts w:asciiTheme="minorHAnsi" w:hAnsiTheme="minorHAnsi" w:cstheme="minorHAnsi"/>
          <w:lang w:val="en-IT"/>
        </w:rPr>
        <w:t xml:space="preserve"> Sodium, as the primary extracellular cation, plays a crucial role in regulating plasma osmolality. In the brain, capillaries are lined by astrocytic foot processes that create a blood-brain barrier impermeable to sodium. Therefore, any sodium abnormality in the plasma leads to water movement across brain tissue, either in or out, affecting brain volume.</w:t>
      </w:r>
    </w:p>
    <w:p w14:paraId="455E625B" w14:textId="77777777" w:rsidR="00201E14" w:rsidRPr="00201E14" w:rsidRDefault="00201E14" w:rsidP="00201E14">
      <w:pPr>
        <w:numPr>
          <w:ilvl w:val="0"/>
          <w:numId w:val="30"/>
        </w:numPr>
        <w:rPr>
          <w:rFonts w:asciiTheme="minorHAnsi" w:hAnsiTheme="minorHAnsi" w:cstheme="minorHAnsi"/>
          <w:lang w:val="en-IT"/>
        </w:rPr>
      </w:pPr>
      <w:r w:rsidRPr="00201E14">
        <w:rPr>
          <w:rFonts w:asciiTheme="minorHAnsi" w:hAnsiTheme="minorHAnsi" w:cstheme="minorHAnsi"/>
          <w:b/>
          <w:bCs/>
          <w:lang w:val="en-IT"/>
        </w:rPr>
        <w:t>Hypernatremia and ICP:</w:t>
      </w:r>
    </w:p>
    <w:p w14:paraId="50F00E94" w14:textId="77777777" w:rsidR="00201E14" w:rsidRPr="00201E14" w:rsidRDefault="00201E14" w:rsidP="00201E14">
      <w:pPr>
        <w:numPr>
          <w:ilvl w:val="1"/>
          <w:numId w:val="30"/>
        </w:numPr>
        <w:rPr>
          <w:rFonts w:asciiTheme="minorHAnsi" w:hAnsiTheme="minorHAnsi" w:cstheme="minorHAnsi"/>
          <w:lang w:val="en-IT"/>
        </w:rPr>
      </w:pPr>
      <w:r w:rsidRPr="00201E14">
        <w:rPr>
          <w:rFonts w:asciiTheme="minorHAnsi" w:hAnsiTheme="minorHAnsi" w:cstheme="minorHAnsi"/>
          <w:b/>
          <w:bCs/>
          <w:lang w:val="en-IT"/>
        </w:rPr>
        <w:t>Hypernatremia, or elevated serum sodium, can occur in patients with traumatic brain injury (TBI) due to various factors like hyperosmolar therapy, diabetes insipidus, and inappropriate water retention</w:t>
      </w:r>
      <w:r w:rsidRPr="00201E14">
        <w:rPr>
          <w:rFonts w:asciiTheme="minorHAnsi" w:hAnsiTheme="minorHAnsi" w:cstheme="minorHAnsi"/>
          <w:lang w:val="en-IT"/>
        </w:rPr>
        <w:t>.</w:t>
      </w:r>
    </w:p>
    <w:p w14:paraId="246C3595" w14:textId="77777777" w:rsidR="00201E14" w:rsidRPr="00201E14" w:rsidRDefault="00201E14" w:rsidP="00201E14">
      <w:pPr>
        <w:numPr>
          <w:ilvl w:val="1"/>
          <w:numId w:val="30"/>
        </w:numPr>
        <w:rPr>
          <w:rFonts w:asciiTheme="minorHAnsi" w:hAnsiTheme="minorHAnsi" w:cstheme="minorHAnsi"/>
          <w:lang w:val="en-IT"/>
        </w:rPr>
      </w:pPr>
      <w:r w:rsidRPr="00201E14">
        <w:rPr>
          <w:rFonts w:asciiTheme="minorHAnsi" w:hAnsiTheme="minorHAnsi" w:cstheme="minorHAnsi"/>
          <w:b/>
          <w:bCs/>
          <w:lang w:val="en-IT"/>
        </w:rPr>
        <w:t>Hypertonic saline (HTS) solutions are often used to manage cerebral edema and raised ICP</w:t>
      </w:r>
      <w:r w:rsidRPr="00201E14">
        <w:rPr>
          <w:rFonts w:asciiTheme="minorHAnsi" w:hAnsiTheme="minorHAnsi" w:cstheme="minorHAnsi"/>
          <w:lang w:val="en-IT"/>
        </w:rPr>
        <w:t>. The mechanism involves drawing water out of the brain tissue and into the bloodstream, thereby decreasing brain volume and ICP.</w:t>
      </w:r>
    </w:p>
    <w:p w14:paraId="66506B98" w14:textId="77777777" w:rsidR="00201E14" w:rsidRPr="00201E14" w:rsidRDefault="00201E14" w:rsidP="00201E14">
      <w:pPr>
        <w:numPr>
          <w:ilvl w:val="1"/>
          <w:numId w:val="30"/>
        </w:numPr>
        <w:rPr>
          <w:rFonts w:asciiTheme="minorHAnsi" w:hAnsiTheme="minorHAnsi" w:cstheme="minorHAnsi"/>
          <w:lang w:val="en-IT"/>
        </w:rPr>
      </w:pPr>
      <w:r w:rsidRPr="00201E14">
        <w:rPr>
          <w:rFonts w:asciiTheme="minorHAnsi" w:hAnsiTheme="minorHAnsi" w:cstheme="minorHAnsi"/>
          <w:b/>
          <w:bCs/>
          <w:lang w:val="en-IT"/>
        </w:rPr>
        <w:t>Targeting a mildly hypernatremic state (serum sodium of 145 to 155 mEq/L) with HTS is a common practice</w:t>
      </w:r>
      <w:r w:rsidRPr="00201E14">
        <w:rPr>
          <w:rFonts w:asciiTheme="minorHAnsi" w:hAnsiTheme="minorHAnsi" w:cstheme="minorHAnsi"/>
          <w:lang w:val="en-IT"/>
        </w:rPr>
        <w:t>. While this approach aims to reduce ICP, the sources provide conflicting evidence regarding its effectiveness. For instance, one study found no correlation between serum sodium levels and maximum ICP in TBI patients treated with HTS to achieve this target range. Another study suggested that continuous HTS infusion, while potentially reducing the need for bolus hyperosmolar therapy, may not improve long-term outcomes and could even lead to rebound edema upon discontinuation.</w:t>
      </w:r>
    </w:p>
    <w:p w14:paraId="363C9796" w14:textId="77777777" w:rsidR="00201E14" w:rsidRPr="00201E14" w:rsidRDefault="00201E14" w:rsidP="00201E14">
      <w:pPr>
        <w:numPr>
          <w:ilvl w:val="1"/>
          <w:numId w:val="30"/>
        </w:numPr>
        <w:rPr>
          <w:rFonts w:asciiTheme="minorHAnsi" w:hAnsiTheme="minorHAnsi" w:cstheme="minorHAnsi"/>
          <w:lang w:val="en-IT"/>
        </w:rPr>
      </w:pPr>
      <w:r w:rsidRPr="00201E14">
        <w:rPr>
          <w:rFonts w:asciiTheme="minorHAnsi" w:hAnsiTheme="minorHAnsi" w:cstheme="minorHAnsi"/>
          <w:b/>
          <w:bCs/>
          <w:lang w:val="en-IT"/>
        </w:rPr>
        <w:t>The relationship between the severity of hypernatremia and mortality in TBI patients is also debated in the sources</w:t>
      </w:r>
      <w:r w:rsidRPr="00201E14">
        <w:rPr>
          <w:rFonts w:asciiTheme="minorHAnsi" w:hAnsiTheme="minorHAnsi" w:cstheme="minorHAnsi"/>
          <w:lang w:val="en-IT"/>
        </w:rPr>
        <w:t>. Some studies suggest that only more advanced forms of hypernatremia (serum sodium exceeding 160 mmol/L) are associated with increased mortality, while others argue that even moderate increases could be clinically significant.</w:t>
      </w:r>
    </w:p>
    <w:p w14:paraId="4D902883" w14:textId="77777777" w:rsidR="00201E14" w:rsidRPr="00201E14" w:rsidRDefault="00201E14" w:rsidP="00201E14">
      <w:pPr>
        <w:numPr>
          <w:ilvl w:val="0"/>
          <w:numId w:val="30"/>
        </w:numPr>
        <w:rPr>
          <w:rFonts w:asciiTheme="minorHAnsi" w:hAnsiTheme="minorHAnsi" w:cstheme="minorHAnsi"/>
          <w:lang w:val="en-IT"/>
        </w:rPr>
      </w:pPr>
      <w:r w:rsidRPr="00201E14">
        <w:rPr>
          <w:rFonts w:asciiTheme="minorHAnsi" w:hAnsiTheme="minorHAnsi" w:cstheme="minorHAnsi"/>
          <w:b/>
          <w:bCs/>
          <w:lang w:val="en-IT"/>
        </w:rPr>
        <w:t>Hyponatremia and ICP:</w:t>
      </w:r>
    </w:p>
    <w:p w14:paraId="2E6F0D52" w14:textId="77777777" w:rsidR="00201E14" w:rsidRPr="00201E14" w:rsidRDefault="00201E14" w:rsidP="00201E14">
      <w:pPr>
        <w:numPr>
          <w:ilvl w:val="1"/>
          <w:numId w:val="30"/>
        </w:numPr>
        <w:rPr>
          <w:rFonts w:asciiTheme="minorHAnsi" w:hAnsiTheme="minorHAnsi" w:cstheme="minorHAnsi"/>
          <w:lang w:val="en-IT"/>
        </w:rPr>
      </w:pPr>
      <w:r w:rsidRPr="00201E14">
        <w:rPr>
          <w:rFonts w:asciiTheme="minorHAnsi" w:hAnsiTheme="minorHAnsi" w:cstheme="minorHAnsi"/>
          <w:b/>
          <w:bCs/>
          <w:lang w:val="en-IT"/>
        </w:rPr>
        <w:t>Hyponatremia, or low serum sodium, is another common electrolyte disturbance in neurocritical care</w:t>
      </w:r>
      <w:r w:rsidRPr="00201E14">
        <w:rPr>
          <w:rFonts w:asciiTheme="minorHAnsi" w:hAnsiTheme="minorHAnsi" w:cstheme="minorHAnsi"/>
          <w:lang w:val="en-IT"/>
        </w:rPr>
        <w:t>.</w:t>
      </w:r>
    </w:p>
    <w:p w14:paraId="755ED38F" w14:textId="77777777" w:rsidR="00201E14" w:rsidRPr="00201E14" w:rsidRDefault="00201E14" w:rsidP="00201E14">
      <w:pPr>
        <w:numPr>
          <w:ilvl w:val="1"/>
          <w:numId w:val="30"/>
        </w:numPr>
        <w:rPr>
          <w:rFonts w:asciiTheme="minorHAnsi" w:hAnsiTheme="minorHAnsi" w:cstheme="minorHAnsi"/>
          <w:lang w:val="en-IT"/>
        </w:rPr>
      </w:pPr>
      <w:r w:rsidRPr="00201E14">
        <w:rPr>
          <w:rFonts w:asciiTheme="minorHAnsi" w:hAnsiTheme="minorHAnsi" w:cstheme="minorHAnsi"/>
          <w:b/>
          <w:bCs/>
          <w:lang w:val="en-IT"/>
        </w:rPr>
        <w:t>The sources highlight that hyponatremia can be a significant cause of refractory elevated ICP in TBI patients</w:t>
      </w:r>
      <w:r w:rsidRPr="00201E14">
        <w:rPr>
          <w:rFonts w:asciiTheme="minorHAnsi" w:hAnsiTheme="minorHAnsi" w:cstheme="minorHAnsi"/>
          <w:lang w:val="en-IT"/>
        </w:rPr>
        <w:t>. However, the specific mechanisms are not explicitly detailed.</w:t>
      </w:r>
    </w:p>
    <w:p w14:paraId="51E70DCF" w14:textId="77777777" w:rsidR="00201E14" w:rsidRPr="00201E14" w:rsidRDefault="00201E14" w:rsidP="00201E14">
      <w:pPr>
        <w:numPr>
          <w:ilvl w:val="1"/>
          <w:numId w:val="30"/>
        </w:numPr>
        <w:rPr>
          <w:rFonts w:asciiTheme="minorHAnsi" w:hAnsiTheme="minorHAnsi" w:cstheme="minorHAnsi"/>
          <w:lang w:val="en-IT"/>
        </w:rPr>
      </w:pPr>
      <w:r w:rsidRPr="00201E14">
        <w:rPr>
          <w:rFonts w:asciiTheme="minorHAnsi" w:hAnsiTheme="minorHAnsi" w:cstheme="minorHAnsi"/>
          <w:b/>
          <w:bCs/>
          <w:lang w:val="en-IT"/>
        </w:rPr>
        <w:t>Hyponatremia management in neurologically injured patients might differ from the general critically ill population.</w:t>
      </w:r>
      <w:r w:rsidRPr="00201E14">
        <w:rPr>
          <w:rFonts w:asciiTheme="minorHAnsi" w:hAnsiTheme="minorHAnsi" w:cstheme="minorHAnsi"/>
          <w:lang w:val="en-IT"/>
        </w:rPr>
        <w:t xml:space="preserve"> For instance, fluid restriction, a standard approach in other cases of hyponatremia, might not be advisable in patients with subarachnoid hemorrhage (SAH) due to the risk of cerebral vasospasm.</w:t>
      </w:r>
    </w:p>
    <w:p w14:paraId="28099797" w14:textId="77777777" w:rsidR="00201E14" w:rsidRPr="00201E14" w:rsidRDefault="00201E14" w:rsidP="00201E14">
      <w:pPr>
        <w:numPr>
          <w:ilvl w:val="0"/>
          <w:numId w:val="30"/>
        </w:numPr>
        <w:rPr>
          <w:rFonts w:asciiTheme="minorHAnsi" w:hAnsiTheme="minorHAnsi" w:cstheme="minorHAnsi"/>
          <w:lang w:val="en-IT"/>
        </w:rPr>
      </w:pPr>
      <w:r w:rsidRPr="00201E14">
        <w:rPr>
          <w:rFonts w:asciiTheme="minorHAnsi" w:hAnsiTheme="minorHAnsi" w:cstheme="minorHAnsi"/>
          <w:b/>
          <w:bCs/>
          <w:lang w:val="en-IT"/>
        </w:rPr>
        <w:t>Sodium fluctuations and ICP:</w:t>
      </w:r>
    </w:p>
    <w:p w14:paraId="13094A15" w14:textId="77777777" w:rsidR="00201E14" w:rsidRPr="00201E14" w:rsidRDefault="00201E14" w:rsidP="00201E14">
      <w:pPr>
        <w:numPr>
          <w:ilvl w:val="1"/>
          <w:numId w:val="30"/>
        </w:numPr>
        <w:rPr>
          <w:rFonts w:asciiTheme="minorHAnsi" w:hAnsiTheme="minorHAnsi" w:cstheme="minorHAnsi"/>
          <w:lang w:val="en-IT"/>
        </w:rPr>
      </w:pPr>
      <w:r w:rsidRPr="00201E14">
        <w:rPr>
          <w:rFonts w:asciiTheme="minorHAnsi" w:hAnsiTheme="minorHAnsi" w:cstheme="minorHAnsi"/>
          <w:b/>
          <w:bCs/>
          <w:lang w:val="en-IT"/>
        </w:rPr>
        <w:t xml:space="preserve">While the direct effect of sodium fluctuations on ICP isn't directly addressed, the sources emphasize that rapid changes in serum sodium, </w:t>
      </w:r>
      <w:r w:rsidRPr="00201E14">
        <w:rPr>
          <w:rFonts w:asciiTheme="minorHAnsi" w:hAnsiTheme="minorHAnsi" w:cstheme="minorHAnsi"/>
          <w:b/>
          <w:bCs/>
          <w:lang w:val="en-IT"/>
        </w:rPr>
        <w:lastRenderedPageBreak/>
        <w:t>even within the normal range, can cause rapid shifts in serum osmolarity</w:t>
      </w:r>
      <w:r w:rsidRPr="00201E14">
        <w:rPr>
          <w:rFonts w:asciiTheme="minorHAnsi" w:hAnsiTheme="minorHAnsi" w:cstheme="minorHAnsi"/>
          <w:lang w:val="en-IT"/>
        </w:rPr>
        <w:t>. This can lead to rapid cerebral fluid shifts to maintain osmotic balance, potentially impacting ICP.</w:t>
      </w:r>
    </w:p>
    <w:p w14:paraId="666BD361" w14:textId="77777777" w:rsidR="00201E14" w:rsidRDefault="00201E14" w:rsidP="00201E14">
      <w:pPr>
        <w:numPr>
          <w:ilvl w:val="1"/>
          <w:numId w:val="30"/>
        </w:numPr>
        <w:rPr>
          <w:rFonts w:asciiTheme="minorHAnsi" w:hAnsiTheme="minorHAnsi" w:cstheme="minorHAnsi"/>
          <w:lang w:val="en-IT"/>
        </w:rPr>
      </w:pPr>
      <w:r w:rsidRPr="00201E14">
        <w:rPr>
          <w:rFonts w:asciiTheme="minorHAnsi" w:hAnsiTheme="minorHAnsi" w:cstheme="minorHAnsi"/>
          <w:b/>
          <w:bCs/>
          <w:lang w:val="en-IT"/>
        </w:rPr>
        <w:t>Fluctuations might reflect underlying systemic issues affecting sodium regulation</w:t>
      </w:r>
      <w:r w:rsidRPr="00201E14">
        <w:rPr>
          <w:rFonts w:asciiTheme="minorHAnsi" w:hAnsiTheme="minorHAnsi" w:cstheme="minorHAnsi"/>
          <w:lang w:val="en-IT"/>
        </w:rPr>
        <w:t>, highlighting the importance of investigating and addressing their root causes.</w:t>
      </w:r>
    </w:p>
    <w:p w14:paraId="05D0BE25" w14:textId="77777777" w:rsidR="00A534D2" w:rsidRPr="00201E14" w:rsidRDefault="00A534D2" w:rsidP="00A534D2">
      <w:pPr>
        <w:ind w:left="1440"/>
        <w:rPr>
          <w:rFonts w:asciiTheme="minorHAnsi" w:hAnsiTheme="minorHAnsi" w:cstheme="minorHAnsi"/>
          <w:lang w:val="en-IT"/>
        </w:rPr>
      </w:pPr>
    </w:p>
    <w:p w14:paraId="51992294" w14:textId="77777777" w:rsidR="00201E14" w:rsidRPr="00201E14" w:rsidRDefault="00201E14" w:rsidP="00201E14">
      <w:pPr>
        <w:rPr>
          <w:rFonts w:asciiTheme="minorHAnsi" w:hAnsiTheme="minorHAnsi" w:cstheme="minorHAnsi"/>
          <w:lang w:val="en-IT"/>
        </w:rPr>
      </w:pPr>
      <w:r w:rsidRPr="00201E14">
        <w:rPr>
          <w:rFonts w:asciiTheme="minorHAnsi" w:hAnsiTheme="minorHAnsi" w:cstheme="minorHAnsi"/>
          <w:b/>
          <w:bCs/>
          <w:lang w:val="en-IT"/>
        </w:rPr>
        <w:t>In summary, the sources suggest a complex interplay between sodium levels and ICP. While both hypernatremia and hyponatremia can influence ICP, the relationship is not straightforward and can be affected by various factors. Notably, the sources highlight the potential impact of sodium fluctuations on brain fluid dynamics, even within the normal serum sodium range.</w:t>
      </w:r>
    </w:p>
    <w:p w14:paraId="0075221D" w14:textId="77777777" w:rsidR="00201E14" w:rsidRDefault="00201E14">
      <w:pPr>
        <w:rPr>
          <w:rFonts w:asciiTheme="minorHAnsi" w:hAnsiTheme="minorHAnsi" w:cstheme="minorHAnsi"/>
          <w:lang w:val="en-IT"/>
        </w:rPr>
      </w:pPr>
    </w:p>
    <w:p w14:paraId="3A01893E"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t xml:space="preserve">In the context of </w:t>
      </w:r>
      <w:r w:rsidRPr="00032FE0">
        <w:rPr>
          <w:rFonts w:asciiTheme="minorHAnsi" w:hAnsiTheme="minorHAnsi" w:cstheme="minorHAnsi"/>
          <w:b/>
          <w:bCs/>
        </w:rPr>
        <w:t>traumatic brain injury (TBI)</w:t>
      </w:r>
      <w:r w:rsidRPr="00032FE0">
        <w:rPr>
          <w:rFonts w:asciiTheme="minorHAnsi" w:hAnsiTheme="minorHAnsi" w:cstheme="minorHAnsi"/>
        </w:rPr>
        <w:t xml:space="preserve">, plasma sodium fluctuations have a crucial influence on </w:t>
      </w:r>
      <w:r w:rsidRPr="00032FE0">
        <w:rPr>
          <w:rFonts w:asciiTheme="minorHAnsi" w:hAnsiTheme="minorHAnsi" w:cstheme="minorHAnsi"/>
          <w:b/>
          <w:bCs/>
        </w:rPr>
        <w:t>intracranial pressure (ICP)</w:t>
      </w:r>
      <w:r w:rsidRPr="00032FE0">
        <w:rPr>
          <w:rFonts w:asciiTheme="minorHAnsi" w:hAnsiTheme="minorHAnsi" w:cstheme="minorHAnsi"/>
        </w:rPr>
        <w:t>, with even small changes potentially leading to significant clinical consequences due to the brain’s limited ability to compensate for volume changes in the skull.</w:t>
      </w:r>
    </w:p>
    <w:p w14:paraId="67FAE9F6" w14:textId="77777777" w:rsidR="00032FE0" w:rsidRPr="00032FE0" w:rsidRDefault="00032FE0" w:rsidP="00032FE0">
      <w:pPr>
        <w:rPr>
          <w:rFonts w:asciiTheme="minorHAnsi" w:hAnsiTheme="minorHAnsi" w:cstheme="minorHAnsi"/>
        </w:rPr>
      </w:pPr>
    </w:p>
    <w:p w14:paraId="1FEE656D" w14:textId="77777777" w:rsidR="00032FE0" w:rsidRPr="00032FE0" w:rsidRDefault="00032FE0" w:rsidP="00032FE0">
      <w:pPr>
        <w:rPr>
          <w:rFonts w:asciiTheme="minorHAnsi" w:hAnsiTheme="minorHAnsi" w:cstheme="minorHAnsi"/>
        </w:rPr>
      </w:pPr>
      <w:r w:rsidRPr="00032FE0">
        <w:rPr>
          <w:rFonts w:asciiTheme="minorHAnsi" w:hAnsiTheme="minorHAnsi" w:cstheme="minorHAnsi"/>
          <w:b/>
          <w:bCs/>
        </w:rPr>
        <w:t>1. Hyponatremia (Low Plasma Sodium) and TBI:</w:t>
      </w:r>
    </w:p>
    <w:p w14:paraId="17B5BF05" w14:textId="77777777" w:rsidR="00032FE0" w:rsidRPr="00032FE0" w:rsidRDefault="00032FE0" w:rsidP="00032FE0">
      <w:pPr>
        <w:rPr>
          <w:rFonts w:asciiTheme="minorHAnsi" w:hAnsiTheme="minorHAnsi" w:cstheme="minorHAnsi"/>
        </w:rPr>
      </w:pPr>
    </w:p>
    <w:p w14:paraId="326DF40A"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tab/>
        <w:t>•</w:t>
      </w:r>
      <w:r w:rsidRPr="00032FE0">
        <w:rPr>
          <w:rFonts w:asciiTheme="minorHAnsi" w:hAnsiTheme="minorHAnsi" w:cstheme="minorHAnsi"/>
        </w:rPr>
        <w:tab/>
      </w:r>
      <w:r w:rsidRPr="00032FE0">
        <w:rPr>
          <w:rFonts w:asciiTheme="minorHAnsi" w:hAnsiTheme="minorHAnsi" w:cstheme="minorHAnsi"/>
          <w:b/>
          <w:bCs/>
        </w:rPr>
        <w:t xml:space="preserve">Cerebral </w:t>
      </w:r>
      <w:proofErr w:type="spellStart"/>
      <w:r w:rsidRPr="00032FE0">
        <w:rPr>
          <w:rFonts w:asciiTheme="minorHAnsi" w:hAnsiTheme="minorHAnsi" w:cstheme="minorHAnsi"/>
          <w:b/>
          <w:bCs/>
        </w:rPr>
        <w:t>edema</w:t>
      </w:r>
      <w:proofErr w:type="spellEnd"/>
      <w:r w:rsidRPr="00032FE0">
        <w:rPr>
          <w:rFonts w:asciiTheme="minorHAnsi" w:hAnsiTheme="minorHAnsi" w:cstheme="minorHAnsi"/>
          <w:b/>
          <w:bCs/>
        </w:rPr>
        <w:t>:</w:t>
      </w:r>
      <w:r w:rsidRPr="00032FE0">
        <w:rPr>
          <w:rFonts w:asciiTheme="minorHAnsi" w:hAnsiTheme="minorHAnsi" w:cstheme="minorHAnsi"/>
        </w:rPr>
        <w:t xml:space="preserve"> In TBI patients, hyponatremia (plasma sodium &lt; 135 mmol/L) exacerbates brain swelling because the lower sodium levels decrease plasma osmolarity. This creates an osmotic gradient that drives water into brain cells (neurons and glial cells), leading to cellular swelling, or </w:t>
      </w:r>
      <w:r w:rsidRPr="00032FE0">
        <w:rPr>
          <w:rFonts w:asciiTheme="minorHAnsi" w:hAnsiTheme="minorHAnsi" w:cstheme="minorHAnsi"/>
          <w:b/>
          <w:bCs/>
        </w:rPr>
        <w:t xml:space="preserve">cytotoxic </w:t>
      </w:r>
      <w:proofErr w:type="spellStart"/>
      <w:r w:rsidRPr="00032FE0">
        <w:rPr>
          <w:rFonts w:asciiTheme="minorHAnsi" w:hAnsiTheme="minorHAnsi" w:cstheme="minorHAnsi"/>
          <w:b/>
          <w:bCs/>
        </w:rPr>
        <w:t>edema</w:t>
      </w:r>
      <w:proofErr w:type="spellEnd"/>
      <w:r w:rsidRPr="00032FE0">
        <w:rPr>
          <w:rFonts w:asciiTheme="minorHAnsi" w:hAnsiTheme="minorHAnsi" w:cstheme="minorHAnsi"/>
        </w:rPr>
        <w:t>.</w:t>
      </w:r>
    </w:p>
    <w:p w14:paraId="3F37F993"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tab/>
        <w:t>•</w:t>
      </w:r>
      <w:r w:rsidRPr="00032FE0">
        <w:rPr>
          <w:rFonts w:asciiTheme="minorHAnsi" w:hAnsiTheme="minorHAnsi" w:cstheme="minorHAnsi"/>
        </w:rPr>
        <w:tab/>
      </w:r>
      <w:r w:rsidRPr="00032FE0">
        <w:rPr>
          <w:rFonts w:asciiTheme="minorHAnsi" w:hAnsiTheme="minorHAnsi" w:cstheme="minorHAnsi"/>
          <w:b/>
          <w:bCs/>
        </w:rPr>
        <w:t>Increased ICP:</w:t>
      </w:r>
      <w:r w:rsidRPr="00032FE0">
        <w:rPr>
          <w:rFonts w:asciiTheme="minorHAnsi" w:hAnsiTheme="minorHAnsi" w:cstheme="minorHAnsi"/>
        </w:rPr>
        <w:t xml:space="preserve"> As the brain swells within the fixed volume of the skull, ICP rises. Elevated ICP can impair cerebral blood flow and oxygen delivery, further aggravating brain damage. Clinically, this may present as worsening headaches, confusion, or neurological deterioration, and in severe cases, brain herniation.</w:t>
      </w:r>
    </w:p>
    <w:p w14:paraId="616E635A" w14:textId="77777777" w:rsidR="00032FE0" w:rsidRPr="00032FE0" w:rsidRDefault="00032FE0" w:rsidP="00032FE0">
      <w:pPr>
        <w:rPr>
          <w:rFonts w:asciiTheme="minorHAnsi" w:hAnsiTheme="minorHAnsi" w:cstheme="minorHAnsi"/>
        </w:rPr>
      </w:pPr>
    </w:p>
    <w:p w14:paraId="62E66390" w14:textId="77777777" w:rsidR="00032FE0" w:rsidRPr="00032FE0" w:rsidRDefault="00032FE0" w:rsidP="00032FE0">
      <w:pPr>
        <w:rPr>
          <w:rFonts w:asciiTheme="minorHAnsi" w:hAnsiTheme="minorHAnsi" w:cstheme="minorHAnsi"/>
        </w:rPr>
      </w:pPr>
      <w:r w:rsidRPr="00032FE0">
        <w:rPr>
          <w:rFonts w:asciiTheme="minorHAnsi" w:hAnsiTheme="minorHAnsi" w:cstheme="minorHAnsi"/>
          <w:b/>
          <w:bCs/>
        </w:rPr>
        <w:t>2. Hypernatremia (High Plasma Sodium) and TBI:</w:t>
      </w:r>
    </w:p>
    <w:p w14:paraId="3B866C6C" w14:textId="77777777" w:rsidR="00032FE0" w:rsidRPr="00032FE0" w:rsidRDefault="00032FE0" w:rsidP="00032FE0">
      <w:pPr>
        <w:rPr>
          <w:rFonts w:asciiTheme="minorHAnsi" w:hAnsiTheme="minorHAnsi" w:cstheme="minorHAnsi"/>
        </w:rPr>
      </w:pPr>
    </w:p>
    <w:p w14:paraId="2EFA2E4C"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tab/>
        <w:t>•</w:t>
      </w:r>
      <w:r w:rsidRPr="00032FE0">
        <w:rPr>
          <w:rFonts w:asciiTheme="minorHAnsi" w:hAnsiTheme="minorHAnsi" w:cstheme="minorHAnsi"/>
        </w:rPr>
        <w:tab/>
      </w:r>
      <w:r w:rsidRPr="00032FE0">
        <w:rPr>
          <w:rFonts w:asciiTheme="minorHAnsi" w:hAnsiTheme="minorHAnsi" w:cstheme="minorHAnsi"/>
          <w:b/>
          <w:bCs/>
        </w:rPr>
        <w:t>Water shifts out of cells:</w:t>
      </w:r>
      <w:r w:rsidRPr="00032FE0">
        <w:rPr>
          <w:rFonts w:asciiTheme="minorHAnsi" w:hAnsiTheme="minorHAnsi" w:cstheme="minorHAnsi"/>
        </w:rPr>
        <w:t xml:space="preserve"> In contrast, hypernatremia (plasma sodium &gt; 145 mmol/L) increases plasma osmolarity. This creates an osmotic gradient that draws water out of brain cells into the extracellular space and blood vessels, causing </w:t>
      </w:r>
      <w:r w:rsidRPr="00032FE0">
        <w:rPr>
          <w:rFonts w:asciiTheme="minorHAnsi" w:hAnsiTheme="minorHAnsi" w:cstheme="minorHAnsi"/>
          <w:b/>
          <w:bCs/>
        </w:rPr>
        <w:t>cellular dehydration</w:t>
      </w:r>
      <w:r w:rsidRPr="00032FE0">
        <w:rPr>
          <w:rFonts w:asciiTheme="minorHAnsi" w:hAnsiTheme="minorHAnsi" w:cstheme="minorHAnsi"/>
        </w:rPr>
        <w:t>.</w:t>
      </w:r>
    </w:p>
    <w:p w14:paraId="4ECEE2E3"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tab/>
        <w:t>•</w:t>
      </w:r>
      <w:r w:rsidRPr="00032FE0">
        <w:rPr>
          <w:rFonts w:asciiTheme="minorHAnsi" w:hAnsiTheme="minorHAnsi" w:cstheme="minorHAnsi"/>
        </w:rPr>
        <w:tab/>
      </w:r>
      <w:r w:rsidRPr="00032FE0">
        <w:rPr>
          <w:rFonts w:asciiTheme="minorHAnsi" w:hAnsiTheme="minorHAnsi" w:cstheme="minorHAnsi"/>
          <w:b/>
          <w:bCs/>
        </w:rPr>
        <w:t>ICP lowering:</w:t>
      </w:r>
      <w:r w:rsidRPr="00032FE0">
        <w:rPr>
          <w:rFonts w:asciiTheme="minorHAnsi" w:hAnsiTheme="minorHAnsi" w:cstheme="minorHAnsi"/>
        </w:rPr>
        <w:t xml:space="preserve"> The resultant reduction in brain cell volume can temporarily decrease ICP, which is often desirable in TBI management. However, rapid or excessive increases in plasma sodium can lead to excessive dehydration of brain cells, which may cause other neurological complications.</w:t>
      </w:r>
    </w:p>
    <w:p w14:paraId="71E31107" w14:textId="77777777" w:rsidR="00032FE0" w:rsidRPr="00032FE0" w:rsidRDefault="00032FE0" w:rsidP="00032FE0">
      <w:pPr>
        <w:rPr>
          <w:rFonts w:asciiTheme="minorHAnsi" w:hAnsiTheme="minorHAnsi" w:cstheme="minorHAnsi"/>
        </w:rPr>
      </w:pPr>
    </w:p>
    <w:p w14:paraId="2F112F55" w14:textId="77777777" w:rsidR="00032FE0" w:rsidRPr="00032FE0" w:rsidRDefault="00032FE0" w:rsidP="00032FE0">
      <w:pPr>
        <w:rPr>
          <w:rFonts w:asciiTheme="minorHAnsi" w:hAnsiTheme="minorHAnsi" w:cstheme="minorHAnsi"/>
        </w:rPr>
      </w:pPr>
      <w:r w:rsidRPr="00032FE0">
        <w:rPr>
          <w:rFonts w:asciiTheme="minorHAnsi" w:hAnsiTheme="minorHAnsi" w:cstheme="minorHAnsi"/>
          <w:b/>
          <w:bCs/>
        </w:rPr>
        <w:t>3. Therapeutic use of hypertonic saline or mannitol:</w:t>
      </w:r>
    </w:p>
    <w:p w14:paraId="41519809" w14:textId="77777777" w:rsidR="00032FE0" w:rsidRPr="00032FE0" w:rsidRDefault="00032FE0" w:rsidP="00032FE0">
      <w:pPr>
        <w:rPr>
          <w:rFonts w:asciiTheme="minorHAnsi" w:hAnsiTheme="minorHAnsi" w:cstheme="minorHAnsi"/>
        </w:rPr>
      </w:pPr>
    </w:p>
    <w:p w14:paraId="72426809"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tab/>
        <w:t>•</w:t>
      </w:r>
      <w:r w:rsidRPr="00032FE0">
        <w:rPr>
          <w:rFonts w:asciiTheme="minorHAnsi" w:hAnsiTheme="minorHAnsi" w:cstheme="minorHAnsi"/>
        </w:rPr>
        <w:tab/>
      </w:r>
      <w:r w:rsidRPr="00032FE0">
        <w:rPr>
          <w:rFonts w:asciiTheme="minorHAnsi" w:hAnsiTheme="minorHAnsi" w:cstheme="minorHAnsi"/>
          <w:b/>
          <w:bCs/>
        </w:rPr>
        <w:t>ICP control:</w:t>
      </w:r>
      <w:r w:rsidRPr="00032FE0">
        <w:rPr>
          <w:rFonts w:asciiTheme="minorHAnsi" w:hAnsiTheme="minorHAnsi" w:cstheme="minorHAnsi"/>
        </w:rPr>
        <w:t xml:space="preserve"> In clinical practice, hypertonic saline or mannitol (both of which increase plasma osmolarity) are commonly used to manage elevated ICP in TBI patients. By increasing sodium levels in the blood, these treatments draw water out of swollen brain tissue, effectively reducing ICP.</w:t>
      </w:r>
    </w:p>
    <w:p w14:paraId="789E0825"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lastRenderedPageBreak/>
        <w:tab/>
        <w:t>•</w:t>
      </w:r>
      <w:r w:rsidRPr="00032FE0">
        <w:rPr>
          <w:rFonts w:asciiTheme="minorHAnsi" w:hAnsiTheme="minorHAnsi" w:cstheme="minorHAnsi"/>
        </w:rPr>
        <w:tab/>
      </w:r>
      <w:r w:rsidRPr="00032FE0">
        <w:rPr>
          <w:rFonts w:asciiTheme="minorHAnsi" w:hAnsiTheme="minorHAnsi" w:cstheme="minorHAnsi"/>
          <w:b/>
          <w:bCs/>
        </w:rPr>
        <w:t>Monitoring is critical:</w:t>
      </w:r>
      <w:r w:rsidRPr="00032FE0">
        <w:rPr>
          <w:rFonts w:asciiTheme="minorHAnsi" w:hAnsiTheme="minorHAnsi" w:cstheme="minorHAnsi"/>
        </w:rPr>
        <w:t xml:space="preserve"> However, sodium must be carefully monitored to avoid rapid fluctuations, as abrupt correction of sodium levels can cause complications such as osmotic demyelination syndrome (ODS) or rebound cerebral </w:t>
      </w:r>
      <w:proofErr w:type="spellStart"/>
      <w:r w:rsidRPr="00032FE0">
        <w:rPr>
          <w:rFonts w:asciiTheme="minorHAnsi" w:hAnsiTheme="minorHAnsi" w:cstheme="minorHAnsi"/>
        </w:rPr>
        <w:t>edema</w:t>
      </w:r>
      <w:proofErr w:type="spellEnd"/>
      <w:r w:rsidRPr="00032FE0">
        <w:rPr>
          <w:rFonts w:asciiTheme="minorHAnsi" w:hAnsiTheme="minorHAnsi" w:cstheme="minorHAnsi"/>
        </w:rPr>
        <w:t>, especially when transitioning from hypo- to hypernatremia.</w:t>
      </w:r>
    </w:p>
    <w:p w14:paraId="61AB5C6A" w14:textId="77777777" w:rsidR="00032FE0" w:rsidRPr="00032FE0" w:rsidRDefault="00032FE0" w:rsidP="00032FE0">
      <w:pPr>
        <w:rPr>
          <w:rFonts w:asciiTheme="minorHAnsi" w:hAnsiTheme="minorHAnsi" w:cstheme="minorHAnsi"/>
        </w:rPr>
      </w:pPr>
    </w:p>
    <w:p w14:paraId="06053AC8" w14:textId="77777777" w:rsidR="00032FE0" w:rsidRPr="00032FE0" w:rsidRDefault="00032FE0" w:rsidP="00032FE0">
      <w:pPr>
        <w:rPr>
          <w:rFonts w:asciiTheme="minorHAnsi" w:hAnsiTheme="minorHAnsi" w:cstheme="minorHAnsi"/>
        </w:rPr>
      </w:pPr>
      <w:r w:rsidRPr="00032FE0">
        <w:rPr>
          <w:rFonts w:asciiTheme="minorHAnsi" w:hAnsiTheme="minorHAnsi" w:cstheme="minorHAnsi"/>
          <w:b/>
          <w:bCs/>
        </w:rPr>
        <w:t>4. Sodium regulation and brain injury prognosis:</w:t>
      </w:r>
    </w:p>
    <w:p w14:paraId="11ACD031" w14:textId="77777777" w:rsidR="00032FE0" w:rsidRPr="00032FE0" w:rsidRDefault="00032FE0" w:rsidP="00032FE0">
      <w:pPr>
        <w:rPr>
          <w:rFonts w:asciiTheme="minorHAnsi" w:hAnsiTheme="minorHAnsi" w:cstheme="minorHAnsi"/>
        </w:rPr>
      </w:pPr>
    </w:p>
    <w:p w14:paraId="2DBBB0DB"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tab/>
        <w:t>•</w:t>
      </w:r>
      <w:r w:rsidRPr="00032FE0">
        <w:rPr>
          <w:rFonts w:asciiTheme="minorHAnsi" w:hAnsiTheme="minorHAnsi" w:cstheme="minorHAnsi"/>
        </w:rPr>
        <w:tab/>
      </w:r>
      <w:r w:rsidRPr="00032FE0">
        <w:rPr>
          <w:rFonts w:asciiTheme="minorHAnsi" w:hAnsiTheme="minorHAnsi" w:cstheme="minorHAnsi"/>
          <w:b/>
          <w:bCs/>
        </w:rPr>
        <w:t>Risk of secondary brain injury:</w:t>
      </w:r>
      <w:r w:rsidRPr="00032FE0">
        <w:rPr>
          <w:rFonts w:asciiTheme="minorHAnsi" w:hAnsiTheme="minorHAnsi" w:cstheme="minorHAnsi"/>
        </w:rPr>
        <w:t xml:space="preserve"> Sodium dysregulation (both hypo- and hypernatremia) is associated with poor outcomes in TBI. Hyponatremia can exacerbate cerebral </w:t>
      </w:r>
      <w:proofErr w:type="spellStart"/>
      <w:r w:rsidRPr="00032FE0">
        <w:rPr>
          <w:rFonts w:asciiTheme="minorHAnsi" w:hAnsiTheme="minorHAnsi" w:cstheme="minorHAnsi"/>
        </w:rPr>
        <w:t>edema</w:t>
      </w:r>
      <w:proofErr w:type="spellEnd"/>
      <w:r w:rsidRPr="00032FE0">
        <w:rPr>
          <w:rFonts w:asciiTheme="minorHAnsi" w:hAnsiTheme="minorHAnsi" w:cstheme="minorHAnsi"/>
        </w:rPr>
        <w:t xml:space="preserve"> and raise ICP, while uncontrolled hypernatremia or overly aggressive treatment can damage brain tissue due to dehydration or osmotic shifts.</w:t>
      </w:r>
    </w:p>
    <w:p w14:paraId="147C9F39"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tab/>
        <w:t>•</w:t>
      </w:r>
      <w:r w:rsidRPr="00032FE0">
        <w:rPr>
          <w:rFonts w:asciiTheme="minorHAnsi" w:hAnsiTheme="minorHAnsi" w:cstheme="minorHAnsi"/>
        </w:rPr>
        <w:tab/>
      </w:r>
      <w:r w:rsidRPr="00032FE0">
        <w:rPr>
          <w:rFonts w:asciiTheme="minorHAnsi" w:hAnsiTheme="minorHAnsi" w:cstheme="minorHAnsi"/>
          <w:b/>
          <w:bCs/>
        </w:rPr>
        <w:t>Hormonal influences:</w:t>
      </w:r>
      <w:r w:rsidRPr="00032FE0">
        <w:rPr>
          <w:rFonts w:asciiTheme="minorHAnsi" w:hAnsiTheme="minorHAnsi" w:cstheme="minorHAnsi"/>
        </w:rPr>
        <w:t xml:space="preserve"> In TBI, sodium imbalances are often linked to syndromes like </w:t>
      </w:r>
      <w:r w:rsidRPr="00032FE0">
        <w:rPr>
          <w:rFonts w:asciiTheme="minorHAnsi" w:hAnsiTheme="minorHAnsi" w:cstheme="minorHAnsi"/>
          <w:b/>
          <w:bCs/>
        </w:rPr>
        <w:t>syndrome of inappropriate antidiuretic hormone secretion (SIADH)</w:t>
      </w:r>
      <w:r w:rsidRPr="00032FE0">
        <w:rPr>
          <w:rFonts w:asciiTheme="minorHAnsi" w:hAnsiTheme="minorHAnsi" w:cstheme="minorHAnsi"/>
        </w:rPr>
        <w:t xml:space="preserve">, which causes hyponatremia, or </w:t>
      </w:r>
      <w:r w:rsidRPr="00032FE0">
        <w:rPr>
          <w:rFonts w:asciiTheme="minorHAnsi" w:hAnsiTheme="minorHAnsi" w:cstheme="minorHAnsi"/>
          <w:b/>
          <w:bCs/>
        </w:rPr>
        <w:t>cerebral salt wasting (CSW)</w:t>
      </w:r>
      <w:r w:rsidRPr="00032FE0">
        <w:rPr>
          <w:rFonts w:asciiTheme="minorHAnsi" w:hAnsiTheme="minorHAnsi" w:cstheme="minorHAnsi"/>
        </w:rPr>
        <w:t>, which leads to both hyponatremia and hypovolemia. These syndromes further complicate ICP management.</w:t>
      </w:r>
    </w:p>
    <w:p w14:paraId="0BF50322" w14:textId="77777777" w:rsidR="00032FE0" w:rsidRPr="00032FE0" w:rsidRDefault="00032FE0" w:rsidP="00032FE0">
      <w:pPr>
        <w:rPr>
          <w:rFonts w:asciiTheme="minorHAnsi" w:hAnsiTheme="minorHAnsi" w:cstheme="minorHAnsi"/>
        </w:rPr>
      </w:pPr>
    </w:p>
    <w:p w14:paraId="5185F662" w14:textId="77777777" w:rsidR="00032FE0" w:rsidRPr="00032FE0" w:rsidRDefault="00032FE0" w:rsidP="00032FE0">
      <w:pPr>
        <w:rPr>
          <w:rFonts w:asciiTheme="minorHAnsi" w:hAnsiTheme="minorHAnsi" w:cstheme="minorHAnsi"/>
        </w:rPr>
      </w:pPr>
      <w:r w:rsidRPr="00032FE0">
        <w:rPr>
          <w:rFonts w:asciiTheme="minorHAnsi" w:hAnsiTheme="minorHAnsi" w:cstheme="minorHAnsi"/>
          <w:b/>
          <w:bCs/>
        </w:rPr>
        <w:t>Summary:</w:t>
      </w:r>
    </w:p>
    <w:p w14:paraId="1B49EEF0" w14:textId="77777777" w:rsidR="00032FE0" w:rsidRPr="00032FE0" w:rsidRDefault="00032FE0" w:rsidP="00032FE0">
      <w:pPr>
        <w:rPr>
          <w:rFonts w:asciiTheme="minorHAnsi" w:hAnsiTheme="minorHAnsi" w:cstheme="minorHAnsi"/>
        </w:rPr>
      </w:pPr>
    </w:p>
    <w:p w14:paraId="7F5CEA70" w14:textId="7E601EC9" w:rsidR="00032FE0" w:rsidRDefault="00032FE0" w:rsidP="00032FE0">
      <w:pPr>
        <w:rPr>
          <w:rFonts w:asciiTheme="minorHAnsi" w:hAnsiTheme="minorHAnsi" w:cstheme="minorHAnsi"/>
        </w:rPr>
      </w:pPr>
      <w:r w:rsidRPr="00032FE0">
        <w:rPr>
          <w:rFonts w:asciiTheme="minorHAnsi" w:hAnsiTheme="minorHAnsi" w:cstheme="minorHAnsi"/>
        </w:rPr>
        <w:t xml:space="preserve">In TBI patients, fluctuations in plasma sodium significantly impact ICP. Hyponatremia exacerbates cerebral </w:t>
      </w:r>
      <w:proofErr w:type="spellStart"/>
      <w:r w:rsidRPr="00032FE0">
        <w:rPr>
          <w:rFonts w:asciiTheme="minorHAnsi" w:hAnsiTheme="minorHAnsi" w:cstheme="minorHAnsi"/>
        </w:rPr>
        <w:t>edema</w:t>
      </w:r>
      <w:proofErr w:type="spellEnd"/>
      <w:r w:rsidRPr="00032FE0">
        <w:rPr>
          <w:rFonts w:asciiTheme="minorHAnsi" w:hAnsiTheme="minorHAnsi" w:cstheme="minorHAnsi"/>
        </w:rPr>
        <w:t xml:space="preserve"> and increases ICP, while hypernatremia (or therapeutic use of hypertonic saline) can lower ICP by drawing fluid out of brain cells. Careful sodium management is essential to prevent secondary brain injury and optimize outcomes in TBI management.</w:t>
      </w:r>
    </w:p>
    <w:p w14:paraId="14A1B6AA" w14:textId="77777777" w:rsidR="00032FE0" w:rsidRDefault="00032FE0" w:rsidP="00032FE0">
      <w:pPr>
        <w:rPr>
          <w:rFonts w:asciiTheme="minorHAnsi" w:hAnsiTheme="minorHAnsi" w:cstheme="minorHAnsi"/>
        </w:rPr>
      </w:pPr>
    </w:p>
    <w:p w14:paraId="6E751D9B" w14:textId="77777777" w:rsidR="00032FE0" w:rsidRDefault="00032FE0">
      <w:pPr>
        <w:rPr>
          <w:rFonts w:asciiTheme="minorHAnsi" w:hAnsiTheme="minorHAnsi" w:cstheme="minorHAnsi"/>
          <w:b/>
          <w:bCs/>
          <w:lang w:val="en-IT"/>
        </w:rPr>
      </w:pPr>
      <w:r w:rsidRPr="00032FE0">
        <w:rPr>
          <w:rFonts w:asciiTheme="minorHAnsi" w:hAnsiTheme="minorHAnsi" w:cstheme="minorHAnsi"/>
          <w:b/>
          <w:bCs/>
          <w:lang w:val="en-IT"/>
        </w:rPr>
        <w:t xml:space="preserve">treatment of elevated intracranial pressure divided in TIL (therapy intensity level) </w:t>
      </w:r>
      <w:bookmarkStart w:id="1" w:name="_Toc176519009"/>
    </w:p>
    <w:p w14:paraId="00388F7B" w14:textId="77777777" w:rsidR="00032FE0" w:rsidRPr="00032FE0" w:rsidRDefault="00032FE0" w:rsidP="00032FE0">
      <w:pPr>
        <w:rPr>
          <w:lang w:val="en-US"/>
        </w:rPr>
      </w:pPr>
      <w:r w:rsidRPr="00032FE0">
        <w:rPr>
          <w:lang w:val="en-US"/>
        </w:rPr>
        <w:t>The treatment of **elevated intracranial pressure (ICP)** in patients, particularly those with traumatic brain injury (TBI), is commonly stratified into **Therapy Intensity Levels (TIL)**. These levels range from basic to more aggressive interventions, aiming to manage ICP while minimizing secondary brain injury. Here's a description of each level, along with relevant sources for further study.</w:t>
      </w:r>
    </w:p>
    <w:p w14:paraId="14E510AB" w14:textId="77777777" w:rsidR="00032FE0" w:rsidRPr="00032FE0" w:rsidRDefault="00032FE0" w:rsidP="00032FE0">
      <w:pPr>
        <w:rPr>
          <w:lang w:val="en-US"/>
        </w:rPr>
      </w:pPr>
    </w:p>
    <w:p w14:paraId="32BD1F54"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**TIL 1: Basic Interventions**</w:t>
      </w:r>
    </w:p>
    <w:p w14:paraId="1C67ABFF"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These are the initial, non-invasive strategies used to manage elevated ICP.</w:t>
      </w:r>
    </w:p>
    <w:p w14:paraId="503E1074" w14:textId="77777777" w:rsidR="00032FE0" w:rsidRPr="00032FE0" w:rsidRDefault="00032FE0" w:rsidP="00032FE0">
      <w:pPr>
        <w:rPr>
          <w:rFonts w:asciiTheme="minorHAnsi" w:hAnsiTheme="minorHAnsi" w:cstheme="minorHAnsi"/>
          <w:lang w:val="en-US"/>
        </w:rPr>
      </w:pPr>
    </w:p>
    <w:p w14:paraId="780A2288"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1. **Head </w:t>
      </w:r>
      <w:proofErr w:type="gramStart"/>
      <w:r w:rsidRPr="00032FE0">
        <w:rPr>
          <w:rFonts w:asciiTheme="minorHAnsi" w:hAnsiTheme="minorHAnsi" w:cstheme="minorHAnsi"/>
          <w:lang w:val="en-US"/>
        </w:rPr>
        <w:t>positioning:*</w:t>
      </w:r>
      <w:proofErr w:type="gramEnd"/>
      <w:r w:rsidRPr="00032FE0">
        <w:rPr>
          <w:rFonts w:asciiTheme="minorHAnsi" w:hAnsiTheme="minorHAnsi" w:cstheme="minorHAnsi"/>
          <w:lang w:val="en-US"/>
        </w:rPr>
        <w:t>* Elevating the head of the bed to 30 degrees improves venous drainage from the brain, lowering ICP.</w:t>
      </w:r>
    </w:p>
    <w:p w14:paraId="37DBA6EE"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2. **Sedation and </w:t>
      </w:r>
      <w:proofErr w:type="gramStart"/>
      <w:r w:rsidRPr="00032FE0">
        <w:rPr>
          <w:rFonts w:asciiTheme="minorHAnsi" w:hAnsiTheme="minorHAnsi" w:cstheme="minorHAnsi"/>
          <w:lang w:val="en-US"/>
        </w:rPr>
        <w:t>analgesia:*</w:t>
      </w:r>
      <w:proofErr w:type="gramEnd"/>
      <w:r w:rsidRPr="00032FE0">
        <w:rPr>
          <w:rFonts w:asciiTheme="minorHAnsi" w:hAnsiTheme="minorHAnsi" w:cstheme="minorHAnsi"/>
          <w:lang w:val="en-US"/>
        </w:rPr>
        <w:t>* Ensuring adequate sedation reduces cerebral metabolic demand and ICP. Medications such as propofol or midazolam are commonly used.</w:t>
      </w:r>
    </w:p>
    <w:p w14:paraId="009FC51E"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3. **Ventilation </w:t>
      </w:r>
      <w:proofErr w:type="gramStart"/>
      <w:r w:rsidRPr="00032FE0">
        <w:rPr>
          <w:rFonts w:asciiTheme="minorHAnsi" w:hAnsiTheme="minorHAnsi" w:cstheme="minorHAnsi"/>
          <w:lang w:val="en-US"/>
        </w:rPr>
        <w:t>management:*</w:t>
      </w:r>
      <w:proofErr w:type="gramEnd"/>
      <w:r w:rsidRPr="00032FE0">
        <w:rPr>
          <w:rFonts w:asciiTheme="minorHAnsi" w:hAnsiTheme="minorHAnsi" w:cstheme="minorHAnsi"/>
          <w:lang w:val="en-US"/>
        </w:rPr>
        <w:t>* Maintaining appropriate levels of oxygen and CO₂ is crucial. **Hyperventilation** can reduce ICP by causing cerebral vasoconstriction and reducing cerebral blood flow (CBF), but this is typically a temporary measure to be used cautiously to avoid ischemia.</w:t>
      </w:r>
    </w:p>
    <w:p w14:paraId="0C59BC69"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Target </w:t>
      </w:r>
      <w:proofErr w:type="spellStart"/>
      <w:r w:rsidRPr="00032FE0">
        <w:rPr>
          <w:rFonts w:asciiTheme="minorHAnsi" w:hAnsiTheme="minorHAnsi" w:cstheme="minorHAnsi"/>
          <w:lang w:val="en-US"/>
        </w:rPr>
        <w:t>pCO</w:t>
      </w:r>
      <w:proofErr w:type="spellEnd"/>
      <w:r w:rsidRPr="00032FE0">
        <w:rPr>
          <w:rFonts w:asciiTheme="minorHAnsi" w:hAnsiTheme="minorHAnsi" w:cstheme="minorHAnsi"/>
          <w:lang w:val="en-US"/>
        </w:rPr>
        <w:t>₂: 35–40 mmHg</w:t>
      </w:r>
    </w:p>
    <w:p w14:paraId="699DB793"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4. **Fluid </w:t>
      </w:r>
      <w:proofErr w:type="gramStart"/>
      <w:r w:rsidRPr="00032FE0">
        <w:rPr>
          <w:rFonts w:asciiTheme="minorHAnsi" w:hAnsiTheme="minorHAnsi" w:cstheme="minorHAnsi"/>
          <w:lang w:val="en-US"/>
        </w:rPr>
        <w:t>management:*</w:t>
      </w:r>
      <w:proofErr w:type="gramEnd"/>
      <w:r w:rsidRPr="00032FE0">
        <w:rPr>
          <w:rFonts w:asciiTheme="minorHAnsi" w:hAnsiTheme="minorHAnsi" w:cstheme="minorHAnsi"/>
          <w:lang w:val="en-US"/>
        </w:rPr>
        <w:t>* Maintaining euvolemia and controlling fluid balance helps optimize cerebral perfusion pressure (CPP) without exacerbating cerebral edema.</w:t>
      </w:r>
    </w:p>
    <w:p w14:paraId="629866EB" w14:textId="77777777" w:rsidR="00032FE0" w:rsidRPr="00032FE0" w:rsidRDefault="00032FE0" w:rsidP="00032FE0">
      <w:pPr>
        <w:rPr>
          <w:rFonts w:asciiTheme="minorHAnsi" w:hAnsiTheme="minorHAnsi" w:cstheme="minorHAnsi"/>
          <w:lang w:val="en-US"/>
        </w:rPr>
      </w:pPr>
    </w:p>
    <w:p w14:paraId="0BB125CF"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lastRenderedPageBreak/>
        <w:t>### **TIL 2: Intermediate Interventions**</w:t>
      </w:r>
    </w:p>
    <w:p w14:paraId="260420E9"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If ICP remains elevated despite TIL 1 interventions, more invasive measures are taken.</w:t>
      </w:r>
    </w:p>
    <w:p w14:paraId="076F52A8" w14:textId="77777777" w:rsidR="00032FE0" w:rsidRPr="00032FE0" w:rsidRDefault="00032FE0" w:rsidP="00032FE0">
      <w:pPr>
        <w:rPr>
          <w:rFonts w:asciiTheme="minorHAnsi" w:hAnsiTheme="minorHAnsi" w:cstheme="minorHAnsi"/>
          <w:lang w:val="en-US"/>
        </w:rPr>
      </w:pPr>
    </w:p>
    <w:p w14:paraId="54C2997F"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1. **Osmotic </w:t>
      </w:r>
      <w:proofErr w:type="gramStart"/>
      <w:r w:rsidRPr="00032FE0">
        <w:rPr>
          <w:rFonts w:asciiTheme="minorHAnsi" w:hAnsiTheme="minorHAnsi" w:cstheme="minorHAnsi"/>
          <w:lang w:val="en-US"/>
        </w:rPr>
        <w:t>therapy:*</w:t>
      </w:r>
      <w:proofErr w:type="gramEnd"/>
      <w:r w:rsidRPr="00032FE0">
        <w:rPr>
          <w:rFonts w:asciiTheme="minorHAnsi" w:hAnsiTheme="minorHAnsi" w:cstheme="minorHAnsi"/>
          <w:lang w:val="en-US"/>
        </w:rPr>
        <w:t>*</w:t>
      </w:r>
    </w:p>
    <w:p w14:paraId="48878C41"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**Hypertonic saline (HTS</w:t>
      </w:r>
      <w:proofErr w:type="gramStart"/>
      <w:r w:rsidRPr="00032FE0">
        <w:rPr>
          <w:rFonts w:asciiTheme="minorHAnsi" w:hAnsiTheme="minorHAnsi" w:cstheme="minorHAnsi"/>
          <w:lang w:val="en-US"/>
        </w:rPr>
        <w:t>):*</w:t>
      </w:r>
      <w:proofErr w:type="gramEnd"/>
      <w:r w:rsidRPr="00032FE0">
        <w:rPr>
          <w:rFonts w:asciiTheme="minorHAnsi" w:hAnsiTheme="minorHAnsi" w:cstheme="minorHAnsi"/>
          <w:lang w:val="en-US"/>
        </w:rPr>
        <w:t>* Administered intravenously to raise serum osmolarity, drawing water out of brain cells to reduce cerebral edema and ICP.</w:t>
      </w:r>
    </w:p>
    <w:p w14:paraId="131C81C4"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Typical concentration: 3% to 23.4%, depending on the severity.</w:t>
      </w:r>
    </w:p>
    <w:p w14:paraId="47AB021C"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w:t>
      </w:r>
      <w:proofErr w:type="gramStart"/>
      <w:r w:rsidRPr="00032FE0">
        <w:rPr>
          <w:rFonts w:asciiTheme="minorHAnsi" w:hAnsiTheme="minorHAnsi" w:cstheme="minorHAnsi"/>
          <w:lang w:val="en-US"/>
        </w:rPr>
        <w:t>Mannitol:*</w:t>
      </w:r>
      <w:proofErr w:type="gramEnd"/>
      <w:r w:rsidRPr="00032FE0">
        <w:rPr>
          <w:rFonts w:asciiTheme="minorHAnsi" w:hAnsiTheme="minorHAnsi" w:cstheme="minorHAnsi"/>
          <w:lang w:val="en-US"/>
        </w:rPr>
        <w:t>* An osmotic diuretic that works similarly to hypertonic saline, though HTS is preferred in many cases due to fewer side effects related to hypovolemia.</w:t>
      </w:r>
    </w:p>
    <w:p w14:paraId="067CD813"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Dosage: 0.25–1 g/kg intravenously, given every 4–6 hours as needed.</w:t>
      </w:r>
    </w:p>
    <w:p w14:paraId="7E79F397"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w:t>
      </w:r>
      <w:proofErr w:type="gramStart"/>
      <w:r w:rsidRPr="00032FE0">
        <w:rPr>
          <w:rFonts w:asciiTheme="minorHAnsi" w:hAnsiTheme="minorHAnsi" w:cstheme="minorHAnsi"/>
          <w:lang w:val="en-US"/>
        </w:rPr>
        <w:t>Sources:*</w:t>
      </w:r>
      <w:proofErr w:type="gramEnd"/>
      <w:r w:rsidRPr="00032FE0">
        <w:rPr>
          <w:rFonts w:asciiTheme="minorHAnsi" w:hAnsiTheme="minorHAnsi" w:cstheme="minorHAnsi"/>
          <w:lang w:val="en-US"/>
        </w:rPr>
        <w:t>*</w:t>
      </w:r>
    </w:p>
    <w:p w14:paraId="2782EBE2"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Carney et al., *Guidelines for the Management of Severe Traumatic Brain Injury*, Journal of Neurotrauma, 2017.</w:t>
      </w:r>
    </w:p>
    <w:p w14:paraId="649FF286"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2. **CSF </w:t>
      </w:r>
      <w:proofErr w:type="gramStart"/>
      <w:r w:rsidRPr="00032FE0">
        <w:rPr>
          <w:rFonts w:asciiTheme="minorHAnsi" w:hAnsiTheme="minorHAnsi" w:cstheme="minorHAnsi"/>
          <w:lang w:val="en-US"/>
        </w:rPr>
        <w:t>drainage:*</w:t>
      </w:r>
      <w:proofErr w:type="gramEnd"/>
      <w:r w:rsidRPr="00032FE0">
        <w:rPr>
          <w:rFonts w:asciiTheme="minorHAnsi" w:hAnsiTheme="minorHAnsi" w:cstheme="minorHAnsi"/>
          <w:lang w:val="en-US"/>
        </w:rPr>
        <w:t>* Placement of an **external ventricular drain (EVD)** allows direct removal of cerebrospinal fluid (CSF), relieving pressure in the brain ventricles.</w:t>
      </w:r>
    </w:p>
    <w:p w14:paraId="6727EC13"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This is especially useful in patients with obstructive hydrocephalus or severe TBI with elevated ICP.</w:t>
      </w:r>
    </w:p>
    <w:p w14:paraId="0198763D"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3. **Neuromuscular </w:t>
      </w:r>
      <w:proofErr w:type="gramStart"/>
      <w:r w:rsidRPr="00032FE0">
        <w:rPr>
          <w:rFonts w:asciiTheme="minorHAnsi" w:hAnsiTheme="minorHAnsi" w:cstheme="minorHAnsi"/>
          <w:lang w:val="en-US"/>
        </w:rPr>
        <w:t>blockade:*</w:t>
      </w:r>
      <w:proofErr w:type="gramEnd"/>
      <w:r w:rsidRPr="00032FE0">
        <w:rPr>
          <w:rFonts w:asciiTheme="minorHAnsi" w:hAnsiTheme="minorHAnsi" w:cstheme="minorHAnsi"/>
          <w:lang w:val="en-US"/>
        </w:rPr>
        <w:t>* Drugs such as **vecuronium** or **rocuronium** reduce muscle tone and patient movement, minimizing fluctuations in ICP caused by coughing, agitation, or seizures.</w:t>
      </w:r>
    </w:p>
    <w:p w14:paraId="50FCB3C3" w14:textId="77777777" w:rsidR="00032FE0" w:rsidRPr="00032FE0" w:rsidRDefault="00032FE0" w:rsidP="00032FE0">
      <w:pPr>
        <w:rPr>
          <w:rFonts w:asciiTheme="minorHAnsi" w:hAnsiTheme="minorHAnsi" w:cstheme="minorHAnsi"/>
          <w:lang w:val="en-US"/>
        </w:rPr>
      </w:pPr>
    </w:p>
    <w:p w14:paraId="09892320"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**TIL 3: Advanced or Aggressive Interventions**</w:t>
      </w:r>
    </w:p>
    <w:p w14:paraId="6D15350D"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For patients with refractory elevated ICP who do not respond to TIL 1 and 2, more aggressive measures are implemented.</w:t>
      </w:r>
    </w:p>
    <w:p w14:paraId="61A116ED" w14:textId="77777777" w:rsidR="00032FE0" w:rsidRPr="00032FE0" w:rsidRDefault="00032FE0" w:rsidP="00032FE0">
      <w:pPr>
        <w:rPr>
          <w:rFonts w:asciiTheme="minorHAnsi" w:hAnsiTheme="minorHAnsi" w:cstheme="minorHAnsi"/>
          <w:lang w:val="en-US"/>
        </w:rPr>
      </w:pPr>
    </w:p>
    <w:p w14:paraId="7BF96ED1"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1. **Barbiturate </w:t>
      </w:r>
      <w:proofErr w:type="gramStart"/>
      <w:r w:rsidRPr="00032FE0">
        <w:rPr>
          <w:rFonts w:asciiTheme="minorHAnsi" w:hAnsiTheme="minorHAnsi" w:cstheme="minorHAnsi"/>
          <w:lang w:val="en-US"/>
        </w:rPr>
        <w:t>coma:*</w:t>
      </w:r>
      <w:proofErr w:type="gramEnd"/>
      <w:r w:rsidRPr="00032FE0">
        <w:rPr>
          <w:rFonts w:asciiTheme="minorHAnsi" w:hAnsiTheme="minorHAnsi" w:cstheme="minorHAnsi"/>
          <w:lang w:val="en-US"/>
        </w:rPr>
        <w:t>* Intravenous **pentobarbital** is used to induce a coma, lowering metabolic demand and reducing cerebral blood flow, which helps lower ICP. This is considered in refractory cases.</w:t>
      </w:r>
    </w:p>
    <w:p w14:paraId="2B1D3745"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Dosage: Loading dose of 10–15 mg/kg, followed by 1–3 mg/kg/hour infusion.</w:t>
      </w:r>
    </w:p>
    <w:p w14:paraId="1ADE28C3"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w:t>
      </w:r>
      <w:proofErr w:type="gramStart"/>
      <w:r w:rsidRPr="00032FE0">
        <w:rPr>
          <w:rFonts w:asciiTheme="minorHAnsi" w:hAnsiTheme="minorHAnsi" w:cstheme="minorHAnsi"/>
          <w:lang w:val="en-US"/>
        </w:rPr>
        <w:t>Risks:*</w:t>
      </w:r>
      <w:proofErr w:type="gramEnd"/>
      <w:r w:rsidRPr="00032FE0">
        <w:rPr>
          <w:rFonts w:asciiTheme="minorHAnsi" w:hAnsiTheme="minorHAnsi" w:cstheme="minorHAnsi"/>
          <w:lang w:val="en-US"/>
        </w:rPr>
        <w:t>* Hypotension, prolonged ICU stay, and immunosuppression.</w:t>
      </w:r>
    </w:p>
    <w:p w14:paraId="57CE7A62"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2. **Decompressive </w:t>
      </w:r>
      <w:proofErr w:type="gramStart"/>
      <w:r w:rsidRPr="00032FE0">
        <w:rPr>
          <w:rFonts w:asciiTheme="minorHAnsi" w:hAnsiTheme="minorHAnsi" w:cstheme="minorHAnsi"/>
          <w:lang w:val="en-US"/>
        </w:rPr>
        <w:t>craniectomy:*</w:t>
      </w:r>
      <w:proofErr w:type="gramEnd"/>
      <w:r w:rsidRPr="00032FE0">
        <w:rPr>
          <w:rFonts w:asciiTheme="minorHAnsi" w:hAnsiTheme="minorHAnsi" w:cstheme="minorHAnsi"/>
          <w:lang w:val="en-US"/>
        </w:rPr>
        <w:t>* Surgical removal of part of the skull to allow the brain to swell outward without being compressed. This is reserved for life-threatening increases in ICP that are not controlled by other means.</w:t>
      </w:r>
    </w:p>
    <w:p w14:paraId="2739EEA0"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w:t>
      </w:r>
      <w:proofErr w:type="gramStart"/>
      <w:r w:rsidRPr="00032FE0">
        <w:rPr>
          <w:rFonts w:asciiTheme="minorHAnsi" w:hAnsiTheme="minorHAnsi" w:cstheme="minorHAnsi"/>
          <w:lang w:val="en-US"/>
        </w:rPr>
        <w:t>Indications:*</w:t>
      </w:r>
      <w:proofErr w:type="gramEnd"/>
      <w:r w:rsidRPr="00032FE0">
        <w:rPr>
          <w:rFonts w:asciiTheme="minorHAnsi" w:hAnsiTheme="minorHAnsi" w:cstheme="minorHAnsi"/>
          <w:lang w:val="en-US"/>
        </w:rPr>
        <w:t>* Severe brain edema, large infarcts, or significant midline shift.</w:t>
      </w:r>
    </w:p>
    <w:p w14:paraId="74842E9D"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w:t>
      </w:r>
      <w:proofErr w:type="gramStart"/>
      <w:r w:rsidRPr="00032FE0">
        <w:rPr>
          <w:rFonts w:asciiTheme="minorHAnsi" w:hAnsiTheme="minorHAnsi" w:cstheme="minorHAnsi"/>
          <w:lang w:val="en-US"/>
        </w:rPr>
        <w:t>Sources:*</w:t>
      </w:r>
      <w:proofErr w:type="gramEnd"/>
      <w:r w:rsidRPr="00032FE0">
        <w:rPr>
          <w:rFonts w:asciiTheme="minorHAnsi" w:hAnsiTheme="minorHAnsi" w:cstheme="minorHAnsi"/>
          <w:lang w:val="en-US"/>
        </w:rPr>
        <w:t>*</w:t>
      </w:r>
    </w:p>
    <w:p w14:paraId="0DFD299C"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Hutchinson et al., *Decompressive Craniectomy in Traumatic Brain Injury*, New England Journal of Medicine, 2016.</w:t>
      </w:r>
    </w:p>
    <w:p w14:paraId="443200CA"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3. **</w:t>
      </w:r>
      <w:proofErr w:type="gramStart"/>
      <w:r w:rsidRPr="00032FE0">
        <w:rPr>
          <w:rFonts w:asciiTheme="minorHAnsi" w:hAnsiTheme="minorHAnsi" w:cstheme="minorHAnsi"/>
          <w:lang w:val="en-US"/>
        </w:rPr>
        <w:t>Hypothermia:*</w:t>
      </w:r>
      <w:proofErr w:type="gramEnd"/>
      <w:r w:rsidRPr="00032FE0">
        <w:rPr>
          <w:rFonts w:asciiTheme="minorHAnsi" w:hAnsiTheme="minorHAnsi" w:cstheme="minorHAnsi"/>
          <w:lang w:val="en-US"/>
        </w:rPr>
        <w:t>* Inducing mild to moderate hypothermia (32–34°C) to lower metabolic demand and reduce ICP. However, the use of hypothermia in TBI remains controversial due to mixed outcomes in clinical trials.</w:t>
      </w:r>
    </w:p>
    <w:p w14:paraId="4D552B49"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w:t>
      </w:r>
      <w:proofErr w:type="gramStart"/>
      <w:r w:rsidRPr="00032FE0">
        <w:rPr>
          <w:rFonts w:asciiTheme="minorHAnsi" w:hAnsiTheme="minorHAnsi" w:cstheme="minorHAnsi"/>
          <w:lang w:val="en-US"/>
        </w:rPr>
        <w:t>Sources:*</w:t>
      </w:r>
      <w:proofErr w:type="gramEnd"/>
      <w:r w:rsidRPr="00032FE0">
        <w:rPr>
          <w:rFonts w:asciiTheme="minorHAnsi" w:hAnsiTheme="minorHAnsi" w:cstheme="minorHAnsi"/>
          <w:lang w:val="en-US"/>
        </w:rPr>
        <w:t>*</w:t>
      </w:r>
    </w:p>
    <w:p w14:paraId="576A6A8E"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 *The Eurotherm3235 Trial*, NEJM, 2015.</w:t>
      </w:r>
    </w:p>
    <w:p w14:paraId="2886BE07" w14:textId="77777777" w:rsidR="00032FE0" w:rsidRPr="00032FE0" w:rsidRDefault="00032FE0" w:rsidP="00032FE0">
      <w:pPr>
        <w:rPr>
          <w:rFonts w:asciiTheme="minorHAnsi" w:hAnsiTheme="minorHAnsi" w:cstheme="minorHAnsi"/>
          <w:lang w:val="en-US"/>
        </w:rPr>
      </w:pPr>
    </w:p>
    <w:p w14:paraId="5434D05C"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**TIL 4: Experimental or Rarely Used Therapies**</w:t>
      </w:r>
    </w:p>
    <w:p w14:paraId="092A2DA5"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These treatments are typically reserved for specialized cases where other measures have failed.</w:t>
      </w:r>
    </w:p>
    <w:p w14:paraId="3225CCB6" w14:textId="77777777" w:rsidR="00032FE0" w:rsidRPr="00032FE0" w:rsidRDefault="00032FE0" w:rsidP="00032FE0">
      <w:pPr>
        <w:rPr>
          <w:rFonts w:asciiTheme="minorHAnsi" w:hAnsiTheme="minorHAnsi" w:cstheme="minorHAnsi"/>
          <w:lang w:val="en-US"/>
        </w:rPr>
      </w:pPr>
    </w:p>
    <w:p w14:paraId="6F2B3DAD"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lastRenderedPageBreak/>
        <w:t xml:space="preserve">1. **Intrathecal </w:t>
      </w:r>
      <w:proofErr w:type="gramStart"/>
      <w:r w:rsidRPr="00032FE0">
        <w:rPr>
          <w:rFonts w:asciiTheme="minorHAnsi" w:hAnsiTheme="minorHAnsi" w:cstheme="minorHAnsi"/>
          <w:lang w:val="en-US"/>
        </w:rPr>
        <w:t>therapy:*</w:t>
      </w:r>
      <w:proofErr w:type="gramEnd"/>
      <w:r w:rsidRPr="00032FE0">
        <w:rPr>
          <w:rFonts w:asciiTheme="minorHAnsi" w:hAnsiTheme="minorHAnsi" w:cstheme="minorHAnsi"/>
          <w:lang w:val="en-US"/>
        </w:rPr>
        <w:t>* Delivery of drugs directly into the cerebrospinal fluid (CSF) via lumbar puncture or ventriculostomy may be used in specific cases to manage ICP.</w:t>
      </w:r>
    </w:p>
    <w:p w14:paraId="68EA14B3"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2. **Hyperventilation beyond conventional </w:t>
      </w:r>
      <w:proofErr w:type="gramStart"/>
      <w:r w:rsidRPr="00032FE0">
        <w:rPr>
          <w:rFonts w:asciiTheme="minorHAnsi" w:hAnsiTheme="minorHAnsi" w:cstheme="minorHAnsi"/>
          <w:lang w:val="en-US"/>
        </w:rPr>
        <w:t>levels:*</w:t>
      </w:r>
      <w:proofErr w:type="gramEnd"/>
      <w:r w:rsidRPr="00032FE0">
        <w:rPr>
          <w:rFonts w:asciiTheme="minorHAnsi" w:hAnsiTheme="minorHAnsi" w:cstheme="minorHAnsi"/>
          <w:lang w:val="en-US"/>
        </w:rPr>
        <w:t>* In rare circumstances, more aggressive hyperventilation (</w:t>
      </w:r>
      <w:proofErr w:type="spellStart"/>
      <w:r w:rsidRPr="00032FE0">
        <w:rPr>
          <w:rFonts w:asciiTheme="minorHAnsi" w:hAnsiTheme="minorHAnsi" w:cstheme="minorHAnsi"/>
          <w:lang w:val="en-US"/>
        </w:rPr>
        <w:t>pCO</w:t>
      </w:r>
      <w:proofErr w:type="spellEnd"/>
      <w:r w:rsidRPr="00032FE0">
        <w:rPr>
          <w:rFonts w:asciiTheme="minorHAnsi" w:hAnsiTheme="minorHAnsi" w:cstheme="minorHAnsi"/>
          <w:lang w:val="en-US"/>
        </w:rPr>
        <w:t>₂ &lt; 30 mmHg) may be used to acutely reduce ICP, though this risks severe cerebral ischemia.</w:t>
      </w:r>
    </w:p>
    <w:p w14:paraId="772904CB" w14:textId="77777777" w:rsidR="00032FE0" w:rsidRPr="00032FE0" w:rsidRDefault="00032FE0" w:rsidP="00032FE0">
      <w:pPr>
        <w:rPr>
          <w:rFonts w:asciiTheme="minorHAnsi" w:hAnsiTheme="minorHAnsi" w:cstheme="minorHAnsi"/>
          <w:lang w:val="en-US"/>
        </w:rPr>
      </w:pPr>
    </w:p>
    <w:p w14:paraId="7BA9E3EB"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w:t>
      </w:r>
    </w:p>
    <w:p w14:paraId="3F999818" w14:textId="77777777" w:rsidR="00032FE0" w:rsidRPr="00032FE0" w:rsidRDefault="00032FE0" w:rsidP="00032FE0">
      <w:pPr>
        <w:rPr>
          <w:rFonts w:asciiTheme="minorHAnsi" w:hAnsiTheme="minorHAnsi" w:cstheme="minorHAnsi"/>
          <w:lang w:val="en-US"/>
        </w:rPr>
      </w:pPr>
    </w:p>
    <w:p w14:paraId="026CB5F3"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**Sources for Further </w:t>
      </w:r>
      <w:proofErr w:type="gramStart"/>
      <w:r w:rsidRPr="00032FE0">
        <w:rPr>
          <w:rFonts w:asciiTheme="minorHAnsi" w:hAnsiTheme="minorHAnsi" w:cstheme="minorHAnsi"/>
          <w:lang w:val="en-US"/>
        </w:rPr>
        <w:t>Reading:*</w:t>
      </w:r>
      <w:proofErr w:type="gramEnd"/>
      <w:r w:rsidRPr="00032FE0">
        <w:rPr>
          <w:rFonts w:asciiTheme="minorHAnsi" w:hAnsiTheme="minorHAnsi" w:cstheme="minorHAnsi"/>
          <w:lang w:val="en-US"/>
        </w:rPr>
        <w:t>*</w:t>
      </w:r>
    </w:p>
    <w:p w14:paraId="1F8CEDF7"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Carney, N., Totten, A. M., O'Reilly, C., et al. *Guidelines for the Management of Severe Traumatic Brain Injury*, Journal of Neurotrauma, 2017. [DOI: 10.1089/neu.2016.</w:t>
      </w:r>
      <w:proofErr w:type="gramStart"/>
      <w:r w:rsidRPr="00032FE0">
        <w:rPr>
          <w:rFonts w:asciiTheme="minorHAnsi" w:hAnsiTheme="minorHAnsi" w:cstheme="minorHAnsi"/>
          <w:lang w:val="en-US"/>
        </w:rPr>
        <w:t>4990](</w:t>
      </w:r>
      <w:proofErr w:type="gramEnd"/>
      <w:r w:rsidRPr="00032FE0">
        <w:rPr>
          <w:rFonts w:asciiTheme="minorHAnsi" w:hAnsiTheme="minorHAnsi" w:cstheme="minorHAnsi"/>
          <w:lang w:val="en-US"/>
        </w:rPr>
        <w:t>https://doi.org/10.1089/neu.2016.4990)</w:t>
      </w:r>
    </w:p>
    <w:p w14:paraId="7C91E988"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Hutchinson, P. J., </w:t>
      </w:r>
      <w:proofErr w:type="spellStart"/>
      <w:r w:rsidRPr="00032FE0">
        <w:rPr>
          <w:rFonts w:asciiTheme="minorHAnsi" w:hAnsiTheme="minorHAnsi" w:cstheme="minorHAnsi"/>
          <w:lang w:val="en-US"/>
        </w:rPr>
        <w:t>Kolias</w:t>
      </w:r>
      <w:proofErr w:type="spellEnd"/>
      <w:r w:rsidRPr="00032FE0">
        <w:rPr>
          <w:rFonts w:asciiTheme="minorHAnsi" w:hAnsiTheme="minorHAnsi" w:cstheme="minorHAnsi"/>
          <w:lang w:val="en-US"/>
        </w:rPr>
        <w:t>, A. G., Timofeev, I. S., et al. *Decompressive Craniectomy in Traumatic Brain Injury*, NEJM, 2016. [DOI: 10.1056/NEJMoa</w:t>
      </w:r>
      <w:proofErr w:type="gramStart"/>
      <w:r w:rsidRPr="00032FE0">
        <w:rPr>
          <w:rFonts w:asciiTheme="minorHAnsi" w:hAnsiTheme="minorHAnsi" w:cstheme="minorHAnsi"/>
          <w:lang w:val="en-US"/>
        </w:rPr>
        <w:t>1605215](</w:t>
      </w:r>
      <w:proofErr w:type="gramEnd"/>
      <w:r w:rsidRPr="00032FE0">
        <w:rPr>
          <w:rFonts w:asciiTheme="minorHAnsi" w:hAnsiTheme="minorHAnsi" w:cstheme="minorHAnsi"/>
          <w:lang w:val="en-US"/>
        </w:rPr>
        <w:t>https://doi.org/10.1056/NEJMoa1605215)</w:t>
      </w:r>
    </w:p>
    <w:p w14:paraId="04B8FE38"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The Eurotherm3235 Trial. *Hypothermia for Intracranial Hypertension after Traumatic Brain Injury*, NEJM, 2015. [DOI: 10.1056/NEJMoa</w:t>
      </w:r>
      <w:proofErr w:type="gramStart"/>
      <w:r w:rsidRPr="00032FE0">
        <w:rPr>
          <w:rFonts w:asciiTheme="minorHAnsi" w:hAnsiTheme="minorHAnsi" w:cstheme="minorHAnsi"/>
          <w:lang w:val="en-US"/>
        </w:rPr>
        <w:t>1507581](</w:t>
      </w:r>
      <w:proofErr w:type="gramEnd"/>
      <w:r w:rsidRPr="00032FE0">
        <w:rPr>
          <w:rFonts w:asciiTheme="minorHAnsi" w:hAnsiTheme="minorHAnsi" w:cstheme="minorHAnsi"/>
          <w:lang w:val="en-US"/>
        </w:rPr>
        <w:t>https://doi.org/10.1056/NEJMoa1507581)</w:t>
      </w:r>
    </w:p>
    <w:p w14:paraId="47FD6EE7" w14:textId="77777777" w:rsidR="00032FE0" w:rsidRPr="00032FE0" w:rsidRDefault="00032FE0" w:rsidP="00032FE0">
      <w:pPr>
        <w:rPr>
          <w:rFonts w:asciiTheme="minorHAnsi" w:hAnsiTheme="minorHAnsi" w:cstheme="minorHAnsi"/>
          <w:lang w:val="en-US"/>
        </w:rPr>
      </w:pPr>
    </w:p>
    <w:p w14:paraId="2352ECA7" w14:textId="77777777" w:rsidR="00032FE0" w:rsidRDefault="00032FE0" w:rsidP="00032FE0">
      <w:pPr>
        <w:rPr>
          <w:rFonts w:asciiTheme="minorHAnsi" w:hAnsiTheme="minorHAnsi" w:cstheme="minorHAnsi"/>
          <w:lang w:val="en-US"/>
        </w:rPr>
      </w:pPr>
      <w:r w:rsidRPr="00032FE0">
        <w:rPr>
          <w:rFonts w:asciiTheme="minorHAnsi" w:hAnsiTheme="minorHAnsi" w:cstheme="minorHAnsi"/>
          <w:lang w:val="en-US"/>
        </w:rPr>
        <w:t>This TIL-based approach helps guide treatment decisions for elevated ICP in TBI, ensuring that care escalates appropriately based on the patient's response to therapy.</w:t>
      </w:r>
    </w:p>
    <w:p w14:paraId="1E1E288D" w14:textId="77777777" w:rsidR="00032FE0" w:rsidRDefault="00032FE0" w:rsidP="00032FE0">
      <w:pPr>
        <w:rPr>
          <w:rFonts w:asciiTheme="minorHAnsi" w:hAnsiTheme="minorHAnsi" w:cstheme="minorHAnsi"/>
          <w:lang w:val="en-US"/>
        </w:rPr>
      </w:pPr>
    </w:p>
    <w:p w14:paraId="2AE6AA1C" w14:textId="77777777" w:rsidR="00032FE0" w:rsidRPr="00032FE0" w:rsidRDefault="00032FE0" w:rsidP="00032FE0">
      <w:pPr>
        <w:rPr>
          <w:rFonts w:asciiTheme="minorHAnsi" w:hAnsiTheme="minorHAnsi" w:cstheme="minorHAnsi"/>
        </w:rPr>
      </w:pPr>
      <w:r w:rsidRPr="00032FE0">
        <w:rPr>
          <w:rFonts w:asciiTheme="minorHAnsi" w:hAnsiTheme="minorHAnsi" w:cstheme="minorHAnsi"/>
        </w:rPr>
        <w:t>How about indomethacin?</w:t>
      </w:r>
    </w:p>
    <w:p w14:paraId="19696878"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**Indomethacin**, a nonsteroidal anti-inflammatory drug (NSAID), has been explored for the treatment of elevated intracranial pressure (ICP) in certain clinical settings, particularly due to its effects on cerebral blood flow (CBF) and cerebral metabolism. However, its use in this context is more specialized and less common than other treatments like osmotic agents or hyperventilation.</w:t>
      </w:r>
    </w:p>
    <w:p w14:paraId="7BD99304" w14:textId="77777777" w:rsidR="00032FE0" w:rsidRPr="00032FE0" w:rsidRDefault="00032FE0" w:rsidP="00032FE0">
      <w:pPr>
        <w:rPr>
          <w:rFonts w:asciiTheme="minorHAnsi" w:hAnsiTheme="minorHAnsi" w:cstheme="minorHAnsi"/>
          <w:lang w:val="en-US"/>
        </w:rPr>
      </w:pPr>
    </w:p>
    <w:p w14:paraId="64E9EEF8"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Mechanism of Action:</w:t>
      </w:r>
    </w:p>
    <w:p w14:paraId="7D819D4C"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1. **Vasoconstriction**: Indomethacin works by inhibiting the production of prostaglandins via the cyclooxygenase (COX) pathway. Prostaglandins normally dilate blood vessels, increasing cerebral blood flow. By reducing prostaglandin levels, indomethacin induces **cerebral vasoconstriction**, which can reduce cerebral blood volume and subsequently lower ICP.</w:t>
      </w:r>
    </w:p>
    <w:p w14:paraId="707C5A74"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w:t>
      </w:r>
    </w:p>
    <w:p w14:paraId="6DA6F8EB"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2. **Reduced cerebral blood flow**: This vasoconstrictive effect can help reduce elevated ICP, especially in patients with hyperemia (increased cerebral blood flow), which is sometimes seen in traumatic brain injury (TBI) and other conditions associated with elevated ICP.</w:t>
      </w:r>
    </w:p>
    <w:p w14:paraId="39A8350D" w14:textId="77777777" w:rsidR="00032FE0" w:rsidRPr="00032FE0" w:rsidRDefault="00032FE0" w:rsidP="00032FE0">
      <w:pPr>
        <w:rPr>
          <w:rFonts w:asciiTheme="minorHAnsi" w:hAnsiTheme="minorHAnsi" w:cstheme="minorHAnsi"/>
          <w:lang w:val="en-US"/>
        </w:rPr>
      </w:pPr>
    </w:p>
    <w:p w14:paraId="0507F9EF"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3. **Metabolic effects**: Indomethacin may also reduce cerebral metabolism and oxygen consumption, leading to a further reduction in CBF, which is often beneficial when managing elevated ICP.</w:t>
      </w:r>
    </w:p>
    <w:p w14:paraId="1E0C00DF" w14:textId="77777777" w:rsidR="00032FE0" w:rsidRPr="00032FE0" w:rsidRDefault="00032FE0" w:rsidP="00032FE0">
      <w:pPr>
        <w:rPr>
          <w:rFonts w:asciiTheme="minorHAnsi" w:hAnsiTheme="minorHAnsi" w:cstheme="minorHAnsi"/>
          <w:lang w:val="en-US"/>
        </w:rPr>
      </w:pPr>
    </w:p>
    <w:p w14:paraId="4D8A2395"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Clinical Use in ICP Management:</w:t>
      </w:r>
    </w:p>
    <w:p w14:paraId="4783EA4A"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**Limited and selective use**: Indomethacin is not a first-line treatment for elevated ICP but has been used in selected cases, particularly for patients with **refractory intracranial </w:t>
      </w:r>
      <w:r w:rsidRPr="00032FE0">
        <w:rPr>
          <w:rFonts w:asciiTheme="minorHAnsi" w:hAnsiTheme="minorHAnsi" w:cstheme="minorHAnsi"/>
          <w:lang w:val="en-US"/>
        </w:rPr>
        <w:lastRenderedPageBreak/>
        <w:t>hypertension** or those with issues related to cerebral hyperemia (e.g., in some cases of subarachnoid hemorrhage or TBI).</w:t>
      </w:r>
    </w:p>
    <w:p w14:paraId="2ABFE696"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w:t>
      </w:r>
    </w:p>
    <w:p w14:paraId="1EFDC9D5"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**Research evidence**: Some studies have demonstrated that indomethacin can rapidly reduce ICP, primarily due to its effects on cerebral vasoconstriction. However, it is used cautiously because the reduction in CBF might compromise cerebral perfusion, potentially leading to ischemic brain injury if not carefully monitored.</w:t>
      </w:r>
    </w:p>
    <w:p w14:paraId="0934B2D8" w14:textId="77777777" w:rsidR="00032FE0" w:rsidRPr="00032FE0" w:rsidRDefault="00032FE0" w:rsidP="00032FE0">
      <w:pPr>
        <w:rPr>
          <w:rFonts w:asciiTheme="minorHAnsi" w:hAnsiTheme="minorHAnsi" w:cstheme="minorHAnsi"/>
          <w:lang w:val="en-US"/>
        </w:rPr>
      </w:pPr>
    </w:p>
    <w:p w14:paraId="45BDC05E"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Dosage and Administration:</w:t>
      </w:r>
    </w:p>
    <w:p w14:paraId="1B899CF5"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Indomethacin is typically given as an intravenous bolus in acute settings where rapid reduction in ICP is needed.</w:t>
      </w:r>
    </w:p>
    <w:p w14:paraId="09572F6F"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Typical dosage: **0.2–0.5 mg/kg IV bolus**, but dosing regimens vary based on individual patient factors and clinical judgment.</w:t>
      </w:r>
    </w:p>
    <w:p w14:paraId="70C3734A"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w:t>
      </w:r>
    </w:p>
    <w:p w14:paraId="152AC00B"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Risks and Considerations:</w:t>
      </w:r>
    </w:p>
    <w:p w14:paraId="24161787"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1. **Cerebral ischemia**: The main concern with indomethacin is that the reduction in CBF could lead to cerebral ischemia, especially in areas of the brain already at risk due to injury or compromised perfusion.</w:t>
      </w:r>
    </w:p>
    <w:p w14:paraId="7E914BFD"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   </w:t>
      </w:r>
    </w:p>
    <w:p w14:paraId="271D20B9"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2. **Systemic side effects**: Like other NSAIDs, indomethacin can cause systemic side effects, including gastrointestinal bleeding, renal dysfunction, and cardiovascular effects. These must be considered, particularly in critically ill patients.</w:t>
      </w:r>
    </w:p>
    <w:p w14:paraId="237D1DC5" w14:textId="77777777" w:rsidR="00032FE0" w:rsidRPr="00032FE0" w:rsidRDefault="00032FE0" w:rsidP="00032FE0">
      <w:pPr>
        <w:rPr>
          <w:rFonts w:asciiTheme="minorHAnsi" w:hAnsiTheme="minorHAnsi" w:cstheme="minorHAnsi"/>
          <w:lang w:val="en-US"/>
        </w:rPr>
      </w:pPr>
    </w:p>
    <w:p w14:paraId="11EBC9C3"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3. **Short-term use**: Indomethacin’s effects on ICP are typically short-term, so it is usually employed as a bridge to other, more definitive therapies, such as decompressive surgery or prolonged osmotic therapy.</w:t>
      </w:r>
    </w:p>
    <w:p w14:paraId="1DA8045A" w14:textId="77777777" w:rsidR="00032FE0" w:rsidRPr="00032FE0" w:rsidRDefault="00032FE0" w:rsidP="00032FE0">
      <w:pPr>
        <w:rPr>
          <w:rFonts w:asciiTheme="minorHAnsi" w:hAnsiTheme="minorHAnsi" w:cstheme="minorHAnsi"/>
          <w:lang w:val="en-US"/>
        </w:rPr>
      </w:pPr>
    </w:p>
    <w:p w14:paraId="51BBA140"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Clinical Context:</w:t>
      </w:r>
    </w:p>
    <w:p w14:paraId="2625E2B4"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Indomethacin is used selectively in patients with elevated ICP, particularly in cases where **cerebral vasodilation** or hyperemia is a contributing factor to elevated pressure. It may also be considered in situations where standard therapies (such as osmotic agents, hypertonic saline, or CSF drainage) are insufficient.</w:t>
      </w:r>
    </w:p>
    <w:p w14:paraId="1676CDB0" w14:textId="77777777" w:rsidR="00032FE0" w:rsidRPr="00032FE0" w:rsidRDefault="00032FE0" w:rsidP="00032FE0">
      <w:pPr>
        <w:rPr>
          <w:rFonts w:asciiTheme="minorHAnsi" w:hAnsiTheme="minorHAnsi" w:cstheme="minorHAnsi"/>
          <w:lang w:val="en-US"/>
        </w:rPr>
      </w:pPr>
    </w:p>
    <w:p w14:paraId="66BD988D"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w:t>
      </w:r>
    </w:p>
    <w:p w14:paraId="12923B3B" w14:textId="77777777" w:rsidR="00032FE0" w:rsidRPr="00032FE0" w:rsidRDefault="00032FE0" w:rsidP="00032FE0">
      <w:pPr>
        <w:rPr>
          <w:rFonts w:asciiTheme="minorHAnsi" w:hAnsiTheme="minorHAnsi" w:cstheme="minorHAnsi"/>
          <w:lang w:val="en-US"/>
        </w:rPr>
      </w:pPr>
    </w:p>
    <w:p w14:paraId="0EF71064"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References for Further Study:</w:t>
      </w:r>
    </w:p>
    <w:p w14:paraId="373C8A85"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1. **De Sars </w:t>
      </w:r>
      <w:proofErr w:type="gramStart"/>
      <w:r w:rsidRPr="00032FE0">
        <w:rPr>
          <w:rFonts w:asciiTheme="minorHAnsi" w:hAnsiTheme="minorHAnsi" w:cstheme="minorHAnsi"/>
          <w:lang w:val="en-US"/>
        </w:rPr>
        <w:t>et al.,*</w:t>
      </w:r>
      <w:proofErr w:type="gramEnd"/>
      <w:r w:rsidRPr="00032FE0">
        <w:rPr>
          <w:rFonts w:asciiTheme="minorHAnsi" w:hAnsiTheme="minorHAnsi" w:cstheme="minorHAnsi"/>
          <w:lang w:val="en-US"/>
        </w:rPr>
        <w:t>* *Cerebral blood flow and metabolism in head trauma patients: effects of indomethacin*, Journal of Cerebral Blood Flow and Metabolism, 2001. [DOI: 10.1097/00004647-200107000-</w:t>
      </w:r>
      <w:proofErr w:type="gramStart"/>
      <w:r w:rsidRPr="00032FE0">
        <w:rPr>
          <w:rFonts w:asciiTheme="minorHAnsi" w:hAnsiTheme="minorHAnsi" w:cstheme="minorHAnsi"/>
          <w:lang w:val="en-US"/>
        </w:rPr>
        <w:t>00003](</w:t>
      </w:r>
      <w:proofErr w:type="gramEnd"/>
      <w:r w:rsidRPr="00032FE0">
        <w:rPr>
          <w:rFonts w:asciiTheme="minorHAnsi" w:hAnsiTheme="minorHAnsi" w:cstheme="minorHAnsi"/>
          <w:lang w:val="en-US"/>
        </w:rPr>
        <w:t>https://doi.org/10.1097/00004647-200107000-00003)</w:t>
      </w:r>
    </w:p>
    <w:p w14:paraId="289AE104" w14:textId="77777777" w:rsidR="00032FE0" w:rsidRPr="00032FE0" w:rsidRDefault="00032FE0" w:rsidP="00032FE0">
      <w:pPr>
        <w:rPr>
          <w:rFonts w:asciiTheme="minorHAnsi" w:hAnsiTheme="minorHAnsi" w:cstheme="minorHAnsi"/>
          <w:lang w:val="en-US"/>
        </w:rPr>
      </w:pPr>
      <w:r w:rsidRPr="00032FE0">
        <w:rPr>
          <w:rFonts w:asciiTheme="minorHAnsi" w:hAnsiTheme="minorHAnsi" w:cstheme="minorHAnsi"/>
          <w:lang w:val="en-US"/>
        </w:rPr>
        <w:t xml:space="preserve">2. **Clifton </w:t>
      </w:r>
      <w:proofErr w:type="gramStart"/>
      <w:r w:rsidRPr="00032FE0">
        <w:rPr>
          <w:rFonts w:asciiTheme="minorHAnsi" w:hAnsiTheme="minorHAnsi" w:cstheme="minorHAnsi"/>
          <w:lang w:val="en-US"/>
        </w:rPr>
        <w:t>et al.,*</w:t>
      </w:r>
      <w:proofErr w:type="gramEnd"/>
      <w:r w:rsidRPr="00032FE0">
        <w:rPr>
          <w:rFonts w:asciiTheme="minorHAnsi" w:hAnsiTheme="minorHAnsi" w:cstheme="minorHAnsi"/>
          <w:lang w:val="en-US"/>
        </w:rPr>
        <w:t>* *Indomethacin therapy in the control of intracranial pressure*, Journal of Neurosurgery, 1991. [DOI: 10.3171/jns.1991.74.4.</w:t>
      </w:r>
      <w:proofErr w:type="gramStart"/>
      <w:r w:rsidRPr="00032FE0">
        <w:rPr>
          <w:rFonts w:asciiTheme="minorHAnsi" w:hAnsiTheme="minorHAnsi" w:cstheme="minorHAnsi"/>
          <w:lang w:val="en-US"/>
        </w:rPr>
        <w:t>0501](</w:t>
      </w:r>
      <w:proofErr w:type="gramEnd"/>
      <w:r w:rsidRPr="00032FE0">
        <w:rPr>
          <w:rFonts w:asciiTheme="minorHAnsi" w:hAnsiTheme="minorHAnsi" w:cstheme="minorHAnsi"/>
          <w:lang w:val="en-US"/>
        </w:rPr>
        <w:t>https://doi.org/10.3171/jns.1991.74.4.0501)</w:t>
      </w:r>
    </w:p>
    <w:p w14:paraId="58B721FB" w14:textId="77777777" w:rsidR="00032FE0" w:rsidRPr="00032FE0" w:rsidRDefault="00032FE0" w:rsidP="00032FE0">
      <w:pPr>
        <w:rPr>
          <w:rFonts w:asciiTheme="minorHAnsi" w:hAnsiTheme="minorHAnsi" w:cstheme="minorHAnsi"/>
          <w:lang w:val="en-US"/>
        </w:rPr>
      </w:pPr>
    </w:p>
    <w:p w14:paraId="4DCA78F2" w14:textId="049F77A0" w:rsidR="00201E14" w:rsidRPr="00032FE0" w:rsidRDefault="00032FE0" w:rsidP="00032FE0">
      <w:pPr>
        <w:rPr>
          <w:rFonts w:asciiTheme="minorHAnsi" w:hAnsiTheme="minorHAnsi" w:cstheme="minorHAnsi"/>
          <w:b/>
          <w:bCs/>
          <w:lang w:val="en-IT"/>
        </w:rPr>
      </w:pPr>
      <w:r w:rsidRPr="00032FE0">
        <w:rPr>
          <w:rFonts w:asciiTheme="minorHAnsi" w:hAnsiTheme="minorHAnsi" w:cstheme="minorHAnsi"/>
          <w:lang w:val="en-US"/>
        </w:rPr>
        <w:t>In summary, indomethacin can be a useful adjunct in the treatment of elevated ICP, particularly in cases involving hyperemia, but its use is highly specialized and associated with risks, particularly the potential for cerebral ischemia due to reduced blood flow.</w:t>
      </w:r>
      <w:r w:rsidR="00201E14" w:rsidRPr="00032FE0">
        <w:rPr>
          <w:rFonts w:asciiTheme="minorHAnsi" w:hAnsiTheme="minorHAnsi" w:cstheme="minorHAnsi"/>
          <w:lang w:val="en-US"/>
        </w:rPr>
        <w:br w:type="page"/>
      </w:r>
    </w:p>
    <w:p w14:paraId="2709A093" w14:textId="605591E2" w:rsidR="0083142B" w:rsidRPr="00201E14" w:rsidRDefault="0083142B" w:rsidP="0083142B">
      <w:pPr>
        <w:pStyle w:val="Heading1"/>
        <w:rPr>
          <w:lang w:val="en-US"/>
        </w:rPr>
      </w:pPr>
      <w:proofErr w:type="spellStart"/>
      <w:r w:rsidRPr="00201E14">
        <w:rPr>
          <w:lang w:val="en-US"/>
        </w:rPr>
        <w:lastRenderedPageBreak/>
        <w:t>Bibliografia</w:t>
      </w:r>
      <w:bookmarkEnd w:id="1"/>
      <w:proofErr w:type="spellEnd"/>
    </w:p>
    <w:p w14:paraId="74753CB7" w14:textId="18D7BA0F" w:rsidR="0083142B" w:rsidRPr="0083142B" w:rsidRDefault="0083142B" w:rsidP="0083142B">
      <w:pPr>
        <w:pStyle w:val="Bibliography"/>
        <w:rPr>
          <w:rFonts w:ascii="Arial" w:cs="Arial"/>
        </w:rPr>
      </w:pPr>
      <w:r>
        <w:rPr>
          <w:lang w:val="it-IT"/>
        </w:rPr>
        <w:fldChar w:fldCharType="begin"/>
      </w:r>
      <w:r w:rsidRPr="0083142B">
        <w:rPr>
          <w:lang w:val="en-US"/>
        </w:rPr>
        <w:instrText xml:space="preserve"> ADDIN ZOTERO_BIBL {"uncited":[],"omitted":[],"custom":[]} CSL_BIBLIOGRAPHY </w:instrText>
      </w:r>
      <w:r>
        <w:rPr>
          <w:lang w:val="it-IT"/>
        </w:rPr>
        <w:fldChar w:fldCharType="separate"/>
      </w:r>
      <w:r w:rsidRPr="0083142B">
        <w:rPr>
          <w:rFonts w:ascii="Arial" w:cs="Arial"/>
        </w:rPr>
        <w:t>1.</w:t>
      </w:r>
      <w:r w:rsidRPr="0083142B">
        <w:rPr>
          <w:rFonts w:ascii="Arial" w:cs="Arial"/>
        </w:rPr>
        <w:tab/>
        <w:t xml:space="preserve">Sterns RH. Disorders of Plasma Sodium — Causes, Consequences, and Correction. Ingelfinger JR, ed. </w:t>
      </w:r>
      <w:r w:rsidRPr="0083142B">
        <w:rPr>
          <w:rFonts w:ascii="Arial" w:cs="Arial"/>
          <w:i/>
          <w:iCs/>
        </w:rPr>
        <w:t>N Engl J Med</w:t>
      </w:r>
      <w:r w:rsidRPr="0083142B">
        <w:rPr>
          <w:rFonts w:ascii="Arial" w:cs="Arial"/>
        </w:rPr>
        <w:t>. 2015;372(1):55-65. doi:10.1056/NEJMra1404489</w:t>
      </w:r>
    </w:p>
    <w:p w14:paraId="5B094DDA" w14:textId="6E1EFD55" w:rsidR="00A00BE6" w:rsidRPr="00FC25EA" w:rsidRDefault="0083142B" w:rsidP="00A00BE6">
      <w:pPr>
        <w:rPr>
          <w:lang w:val="it-IT"/>
        </w:rPr>
      </w:pPr>
      <w:r>
        <w:rPr>
          <w:lang w:val="it-IT"/>
        </w:rPr>
        <w:fldChar w:fldCharType="end"/>
      </w:r>
    </w:p>
    <w:sectPr w:rsidR="00A00BE6" w:rsidRPr="00FC25EA" w:rsidSect="00943170">
      <w:footerReference w:type="even" r:id="rId8"/>
      <w:footerReference w:type="default" r:id="rId9"/>
      <w:pgSz w:w="11900" w:h="16840"/>
      <w:pgMar w:top="1701" w:right="1418" w:bottom="1701"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C3E8E" w14:textId="77777777" w:rsidR="00B302A4" w:rsidRDefault="00B302A4" w:rsidP="00AB763C">
      <w:pPr>
        <w:spacing w:line="240" w:lineRule="auto"/>
      </w:pPr>
      <w:r>
        <w:separator/>
      </w:r>
    </w:p>
  </w:endnote>
  <w:endnote w:type="continuationSeparator" w:id="0">
    <w:p w14:paraId="25CFA4C0" w14:textId="77777777" w:rsidR="00B302A4" w:rsidRDefault="00B302A4" w:rsidP="00AB7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PMincho">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7871998"/>
      <w:docPartObj>
        <w:docPartGallery w:val="Page Numbers (Bottom of Page)"/>
        <w:docPartUnique/>
      </w:docPartObj>
    </w:sdtPr>
    <w:sdtContent>
      <w:p w14:paraId="64127188" w14:textId="694A4B93" w:rsidR="00723BC5" w:rsidRDefault="00723BC5" w:rsidP="006461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CC9FE7" w14:textId="77777777" w:rsidR="00723BC5" w:rsidRDefault="00723BC5" w:rsidP="00AE18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2557495"/>
      <w:docPartObj>
        <w:docPartGallery w:val="Page Numbers (Bottom of Page)"/>
        <w:docPartUnique/>
      </w:docPartObj>
    </w:sdtPr>
    <w:sdtContent>
      <w:p w14:paraId="170A3BA2" w14:textId="188105E6" w:rsidR="00723BC5" w:rsidRDefault="00723BC5" w:rsidP="006461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80</w:t>
        </w:r>
        <w:r>
          <w:rPr>
            <w:rStyle w:val="PageNumber"/>
          </w:rPr>
          <w:fldChar w:fldCharType="end"/>
        </w:r>
      </w:p>
    </w:sdtContent>
  </w:sdt>
  <w:p w14:paraId="52E55249" w14:textId="77777777" w:rsidR="00723BC5" w:rsidRDefault="00723BC5" w:rsidP="00AE18F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4A374" w14:textId="77777777" w:rsidR="00B302A4" w:rsidRDefault="00B302A4" w:rsidP="00AB763C">
      <w:pPr>
        <w:spacing w:line="240" w:lineRule="auto"/>
      </w:pPr>
      <w:r>
        <w:separator/>
      </w:r>
    </w:p>
  </w:footnote>
  <w:footnote w:type="continuationSeparator" w:id="0">
    <w:p w14:paraId="2F048C68" w14:textId="77777777" w:rsidR="00B302A4" w:rsidRDefault="00B302A4" w:rsidP="00AB76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34E9"/>
    <w:multiLevelType w:val="hybridMultilevel"/>
    <w:tmpl w:val="63401AC8"/>
    <w:lvl w:ilvl="0" w:tplc="EED0440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13975"/>
    <w:multiLevelType w:val="hybridMultilevel"/>
    <w:tmpl w:val="183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305"/>
    <w:multiLevelType w:val="hybridMultilevel"/>
    <w:tmpl w:val="09AAFA96"/>
    <w:lvl w:ilvl="0" w:tplc="2290583E">
      <w:numFmt w:val="bullet"/>
      <w:lvlText w:val="•"/>
      <w:lvlJc w:val="left"/>
      <w:pPr>
        <w:ind w:left="1778" w:hanging="360"/>
      </w:pPr>
      <w:rPr>
        <w:rFonts w:ascii="Calibri Light" w:eastAsiaTheme="majorEastAsia" w:hAnsi="Calibri Light" w:cs="Calibri Light"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3" w15:restartNumberingAfterBreak="0">
    <w:nsid w:val="1506350E"/>
    <w:multiLevelType w:val="hybridMultilevel"/>
    <w:tmpl w:val="22CEA9FA"/>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7248A"/>
    <w:multiLevelType w:val="hybridMultilevel"/>
    <w:tmpl w:val="DF2E6B30"/>
    <w:lvl w:ilvl="0" w:tplc="ACC69A0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F298B"/>
    <w:multiLevelType w:val="multilevel"/>
    <w:tmpl w:val="C5B6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11D06"/>
    <w:multiLevelType w:val="hybridMultilevel"/>
    <w:tmpl w:val="351CE3C2"/>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C3808"/>
    <w:multiLevelType w:val="hybridMultilevel"/>
    <w:tmpl w:val="7940E814"/>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8126BD"/>
    <w:multiLevelType w:val="hybridMultilevel"/>
    <w:tmpl w:val="ADF2A9BC"/>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46111"/>
    <w:multiLevelType w:val="hybridMultilevel"/>
    <w:tmpl w:val="B00AFB22"/>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C1815"/>
    <w:multiLevelType w:val="hybridMultilevel"/>
    <w:tmpl w:val="43706AF2"/>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62070"/>
    <w:multiLevelType w:val="hybridMultilevel"/>
    <w:tmpl w:val="C3029510"/>
    <w:lvl w:ilvl="0" w:tplc="D870BD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D6787"/>
    <w:multiLevelType w:val="hybridMultilevel"/>
    <w:tmpl w:val="0786DB32"/>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A4274"/>
    <w:multiLevelType w:val="hybridMultilevel"/>
    <w:tmpl w:val="E1C4BCC6"/>
    <w:lvl w:ilvl="0" w:tplc="4CB8B46A">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8012F"/>
    <w:multiLevelType w:val="hybridMultilevel"/>
    <w:tmpl w:val="4770023A"/>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845BC"/>
    <w:multiLevelType w:val="hybridMultilevel"/>
    <w:tmpl w:val="DC22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A3D1B"/>
    <w:multiLevelType w:val="hybridMultilevel"/>
    <w:tmpl w:val="DAA8135A"/>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856E0"/>
    <w:multiLevelType w:val="hybridMultilevel"/>
    <w:tmpl w:val="8CA2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51536"/>
    <w:multiLevelType w:val="multilevel"/>
    <w:tmpl w:val="E018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4B3B"/>
    <w:multiLevelType w:val="hybridMultilevel"/>
    <w:tmpl w:val="CC848924"/>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10746E"/>
    <w:multiLevelType w:val="hybridMultilevel"/>
    <w:tmpl w:val="0AC69CC2"/>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447FE"/>
    <w:multiLevelType w:val="hybridMultilevel"/>
    <w:tmpl w:val="D304C978"/>
    <w:lvl w:ilvl="0" w:tplc="2290583E">
      <w:numFmt w:val="bullet"/>
      <w:lvlText w:val="•"/>
      <w:lvlJc w:val="left"/>
      <w:pPr>
        <w:ind w:left="1778"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87762"/>
    <w:multiLevelType w:val="hybridMultilevel"/>
    <w:tmpl w:val="88FC8E5A"/>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B2FDD"/>
    <w:multiLevelType w:val="hybridMultilevel"/>
    <w:tmpl w:val="681C517C"/>
    <w:lvl w:ilvl="0" w:tplc="ACC69A0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31ECC"/>
    <w:multiLevelType w:val="hybridMultilevel"/>
    <w:tmpl w:val="64C0B640"/>
    <w:lvl w:ilvl="0" w:tplc="2290583E">
      <w:numFmt w:val="bullet"/>
      <w:lvlText w:val="•"/>
      <w:lvlJc w:val="left"/>
      <w:pPr>
        <w:ind w:left="1080" w:hanging="360"/>
      </w:pPr>
      <w:rPr>
        <w:rFonts w:ascii="Calibri Light" w:eastAsiaTheme="maj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093A89"/>
    <w:multiLevelType w:val="multilevel"/>
    <w:tmpl w:val="A31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11DA6"/>
    <w:multiLevelType w:val="hybridMultilevel"/>
    <w:tmpl w:val="49187E3C"/>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617474"/>
    <w:multiLevelType w:val="hybridMultilevel"/>
    <w:tmpl w:val="D26614B2"/>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04E12"/>
    <w:multiLevelType w:val="hybridMultilevel"/>
    <w:tmpl w:val="9CFC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D41EEC"/>
    <w:multiLevelType w:val="hybridMultilevel"/>
    <w:tmpl w:val="E78214B2"/>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C8460D"/>
    <w:multiLevelType w:val="hybridMultilevel"/>
    <w:tmpl w:val="5636CDF6"/>
    <w:lvl w:ilvl="0" w:tplc="229058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05044">
    <w:abstractNumId w:val="28"/>
  </w:num>
  <w:num w:numId="2" w16cid:durableId="660809827">
    <w:abstractNumId w:val="7"/>
  </w:num>
  <w:num w:numId="3" w16cid:durableId="2108117605">
    <w:abstractNumId w:val="15"/>
  </w:num>
  <w:num w:numId="4" w16cid:durableId="1368869277">
    <w:abstractNumId w:val="11"/>
  </w:num>
  <w:num w:numId="5" w16cid:durableId="1846895462">
    <w:abstractNumId w:val="13"/>
  </w:num>
  <w:num w:numId="6" w16cid:durableId="1486507898">
    <w:abstractNumId w:val="2"/>
  </w:num>
  <w:num w:numId="7" w16cid:durableId="1594821389">
    <w:abstractNumId w:val="23"/>
  </w:num>
  <w:num w:numId="8" w16cid:durableId="655836280">
    <w:abstractNumId w:val="20"/>
  </w:num>
  <w:num w:numId="9" w16cid:durableId="1484929415">
    <w:abstractNumId w:val="1"/>
  </w:num>
  <w:num w:numId="10" w16cid:durableId="699823462">
    <w:abstractNumId w:val="9"/>
  </w:num>
  <w:num w:numId="11" w16cid:durableId="1469782883">
    <w:abstractNumId w:val="30"/>
  </w:num>
  <w:num w:numId="12" w16cid:durableId="457408488">
    <w:abstractNumId w:val="10"/>
  </w:num>
  <w:num w:numId="13" w16cid:durableId="1248922941">
    <w:abstractNumId w:val="14"/>
  </w:num>
  <w:num w:numId="14" w16cid:durableId="1879705312">
    <w:abstractNumId w:val="4"/>
  </w:num>
  <w:num w:numId="15" w16cid:durableId="1627157392">
    <w:abstractNumId w:val="17"/>
  </w:num>
  <w:num w:numId="16" w16cid:durableId="504563496">
    <w:abstractNumId w:val="6"/>
  </w:num>
  <w:num w:numId="17" w16cid:durableId="1906256086">
    <w:abstractNumId w:val="3"/>
  </w:num>
  <w:num w:numId="18" w16cid:durableId="452133504">
    <w:abstractNumId w:val="12"/>
  </w:num>
  <w:num w:numId="19" w16cid:durableId="632175300">
    <w:abstractNumId w:val="16"/>
  </w:num>
  <w:num w:numId="20" w16cid:durableId="1180582041">
    <w:abstractNumId w:val="8"/>
  </w:num>
  <w:num w:numId="21" w16cid:durableId="158472715">
    <w:abstractNumId w:val="26"/>
  </w:num>
  <w:num w:numId="22" w16cid:durableId="2062552847">
    <w:abstractNumId w:val="29"/>
  </w:num>
  <w:num w:numId="23" w16cid:durableId="1501892872">
    <w:abstractNumId w:val="24"/>
  </w:num>
  <w:num w:numId="24" w16cid:durableId="712580279">
    <w:abstractNumId w:val="19"/>
  </w:num>
  <w:num w:numId="25" w16cid:durableId="905143442">
    <w:abstractNumId w:val="21"/>
  </w:num>
  <w:num w:numId="26" w16cid:durableId="266427593">
    <w:abstractNumId w:val="22"/>
  </w:num>
  <w:num w:numId="27" w16cid:durableId="93718688">
    <w:abstractNumId w:val="0"/>
  </w:num>
  <w:num w:numId="28" w16cid:durableId="2092967267">
    <w:abstractNumId w:val="27"/>
  </w:num>
  <w:num w:numId="29" w16cid:durableId="537081904">
    <w:abstractNumId w:val="18"/>
  </w:num>
  <w:num w:numId="30" w16cid:durableId="467627684">
    <w:abstractNumId w:val="5"/>
  </w:num>
  <w:num w:numId="31" w16cid:durableId="11210010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3F"/>
    <w:rsid w:val="00000370"/>
    <w:rsid w:val="00001351"/>
    <w:rsid w:val="000029A4"/>
    <w:rsid w:val="00003834"/>
    <w:rsid w:val="00005273"/>
    <w:rsid w:val="0000683C"/>
    <w:rsid w:val="00006C1A"/>
    <w:rsid w:val="0000729F"/>
    <w:rsid w:val="000101B3"/>
    <w:rsid w:val="0001083E"/>
    <w:rsid w:val="00010B0C"/>
    <w:rsid w:val="00010BBB"/>
    <w:rsid w:val="00014665"/>
    <w:rsid w:val="00020550"/>
    <w:rsid w:val="00020DBB"/>
    <w:rsid w:val="0002135D"/>
    <w:rsid w:val="00021E04"/>
    <w:rsid w:val="0002433B"/>
    <w:rsid w:val="00024E05"/>
    <w:rsid w:val="00024F5E"/>
    <w:rsid w:val="00026544"/>
    <w:rsid w:val="00027BC0"/>
    <w:rsid w:val="00027FAD"/>
    <w:rsid w:val="00031592"/>
    <w:rsid w:val="00032FE0"/>
    <w:rsid w:val="0003469B"/>
    <w:rsid w:val="00037011"/>
    <w:rsid w:val="0004030C"/>
    <w:rsid w:val="000415B8"/>
    <w:rsid w:val="00041609"/>
    <w:rsid w:val="000419AA"/>
    <w:rsid w:val="00042A20"/>
    <w:rsid w:val="0004442E"/>
    <w:rsid w:val="00044B76"/>
    <w:rsid w:val="00044F41"/>
    <w:rsid w:val="00045401"/>
    <w:rsid w:val="000462E1"/>
    <w:rsid w:val="00047BD8"/>
    <w:rsid w:val="00051A4C"/>
    <w:rsid w:val="00051DF4"/>
    <w:rsid w:val="00053966"/>
    <w:rsid w:val="00053D61"/>
    <w:rsid w:val="000556D3"/>
    <w:rsid w:val="00055C06"/>
    <w:rsid w:val="00062E3E"/>
    <w:rsid w:val="00064C12"/>
    <w:rsid w:val="00070791"/>
    <w:rsid w:val="00071322"/>
    <w:rsid w:val="000763A6"/>
    <w:rsid w:val="00080D2D"/>
    <w:rsid w:val="000818F3"/>
    <w:rsid w:val="00082301"/>
    <w:rsid w:val="00086980"/>
    <w:rsid w:val="00087171"/>
    <w:rsid w:val="000904FB"/>
    <w:rsid w:val="00091AAB"/>
    <w:rsid w:val="00093911"/>
    <w:rsid w:val="0009411C"/>
    <w:rsid w:val="000941F4"/>
    <w:rsid w:val="000971FB"/>
    <w:rsid w:val="000972B4"/>
    <w:rsid w:val="000A233D"/>
    <w:rsid w:val="000A2E01"/>
    <w:rsid w:val="000A3135"/>
    <w:rsid w:val="000A645C"/>
    <w:rsid w:val="000A7838"/>
    <w:rsid w:val="000A7A20"/>
    <w:rsid w:val="000A7FF6"/>
    <w:rsid w:val="000B682A"/>
    <w:rsid w:val="000C0D8C"/>
    <w:rsid w:val="000C1CB9"/>
    <w:rsid w:val="000C215D"/>
    <w:rsid w:val="000C309F"/>
    <w:rsid w:val="000C7971"/>
    <w:rsid w:val="000D0848"/>
    <w:rsid w:val="000D1746"/>
    <w:rsid w:val="000D26B7"/>
    <w:rsid w:val="000D47BE"/>
    <w:rsid w:val="000D55B1"/>
    <w:rsid w:val="000D6C86"/>
    <w:rsid w:val="000D7F4D"/>
    <w:rsid w:val="000E2D80"/>
    <w:rsid w:val="000E5E4A"/>
    <w:rsid w:val="000E657C"/>
    <w:rsid w:val="000F17F5"/>
    <w:rsid w:val="000F1B06"/>
    <w:rsid w:val="000F2335"/>
    <w:rsid w:val="000F3670"/>
    <w:rsid w:val="000F3FC5"/>
    <w:rsid w:val="000F40FB"/>
    <w:rsid w:val="000F447F"/>
    <w:rsid w:val="000F45D0"/>
    <w:rsid w:val="000F4677"/>
    <w:rsid w:val="000F6E69"/>
    <w:rsid w:val="001014EB"/>
    <w:rsid w:val="0010282B"/>
    <w:rsid w:val="001038BB"/>
    <w:rsid w:val="00103FA0"/>
    <w:rsid w:val="0010410A"/>
    <w:rsid w:val="00105325"/>
    <w:rsid w:val="00105CC5"/>
    <w:rsid w:val="00107253"/>
    <w:rsid w:val="001118BE"/>
    <w:rsid w:val="00113CAF"/>
    <w:rsid w:val="00115EE2"/>
    <w:rsid w:val="001169EE"/>
    <w:rsid w:val="00116DD5"/>
    <w:rsid w:val="001179BA"/>
    <w:rsid w:val="00120320"/>
    <w:rsid w:val="00127DC2"/>
    <w:rsid w:val="00131398"/>
    <w:rsid w:val="001336BD"/>
    <w:rsid w:val="001349D5"/>
    <w:rsid w:val="00135603"/>
    <w:rsid w:val="001357DD"/>
    <w:rsid w:val="00136E4B"/>
    <w:rsid w:val="00142554"/>
    <w:rsid w:val="00142581"/>
    <w:rsid w:val="00143414"/>
    <w:rsid w:val="00143A72"/>
    <w:rsid w:val="0015154E"/>
    <w:rsid w:val="00152090"/>
    <w:rsid w:val="00152D2E"/>
    <w:rsid w:val="00153563"/>
    <w:rsid w:val="00154011"/>
    <w:rsid w:val="00160856"/>
    <w:rsid w:val="00164FAD"/>
    <w:rsid w:val="00165B2E"/>
    <w:rsid w:val="00167CDF"/>
    <w:rsid w:val="00170617"/>
    <w:rsid w:val="00170B4F"/>
    <w:rsid w:val="00171B9B"/>
    <w:rsid w:val="00172D03"/>
    <w:rsid w:val="00173E69"/>
    <w:rsid w:val="00180A1C"/>
    <w:rsid w:val="001813FC"/>
    <w:rsid w:val="00181D8E"/>
    <w:rsid w:val="001826CE"/>
    <w:rsid w:val="0018316C"/>
    <w:rsid w:val="001833B0"/>
    <w:rsid w:val="00183E6B"/>
    <w:rsid w:val="00186620"/>
    <w:rsid w:val="001876D2"/>
    <w:rsid w:val="00190C70"/>
    <w:rsid w:val="00191188"/>
    <w:rsid w:val="001920C2"/>
    <w:rsid w:val="001934A9"/>
    <w:rsid w:val="00194F7D"/>
    <w:rsid w:val="00195362"/>
    <w:rsid w:val="00196867"/>
    <w:rsid w:val="00196C64"/>
    <w:rsid w:val="00196E9D"/>
    <w:rsid w:val="001A226D"/>
    <w:rsid w:val="001A2E4F"/>
    <w:rsid w:val="001A40AB"/>
    <w:rsid w:val="001A5CD3"/>
    <w:rsid w:val="001A61C5"/>
    <w:rsid w:val="001A6804"/>
    <w:rsid w:val="001A7518"/>
    <w:rsid w:val="001B02FB"/>
    <w:rsid w:val="001B1648"/>
    <w:rsid w:val="001B1BC5"/>
    <w:rsid w:val="001B25B1"/>
    <w:rsid w:val="001B2B34"/>
    <w:rsid w:val="001B2E0A"/>
    <w:rsid w:val="001B2F6E"/>
    <w:rsid w:val="001B3BD7"/>
    <w:rsid w:val="001B3ECD"/>
    <w:rsid w:val="001B4534"/>
    <w:rsid w:val="001B69D7"/>
    <w:rsid w:val="001C0760"/>
    <w:rsid w:val="001C11CF"/>
    <w:rsid w:val="001C203E"/>
    <w:rsid w:val="001C4624"/>
    <w:rsid w:val="001C6476"/>
    <w:rsid w:val="001C664B"/>
    <w:rsid w:val="001C7725"/>
    <w:rsid w:val="001D0143"/>
    <w:rsid w:val="001D1CA2"/>
    <w:rsid w:val="001D24D0"/>
    <w:rsid w:val="001D357C"/>
    <w:rsid w:val="001D4BCA"/>
    <w:rsid w:val="001D5A31"/>
    <w:rsid w:val="001D7467"/>
    <w:rsid w:val="001D7B61"/>
    <w:rsid w:val="001E0C10"/>
    <w:rsid w:val="001E0C61"/>
    <w:rsid w:val="001E12CA"/>
    <w:rsid w:val="001E1BDD"/>
    <w:rsid w:val="001E30D8"/>
    <w:rsid w:val="001E5B8C"/>
    <w:rsid w:val="001E5D54"/>
    <w:rsid w:val="001F1576"/>
    <w:rsid w:val="001F39AE"/>
    <w:rsid w:val="001F3F29"/>
    <w:rsid w:val="001F547E"/>
    <w:rsid w:val="001F5E48"/>
    <w:rsid w:val="001F688D"/>
    <w:rsid w:val="00201E14"/>
    <w:rsid w:val="0020465F"/>
    <w:rsid w:val="00205556"/>
    <w:rsid w:val="002064CE"/>
    <w:rsid w:val="00211621"/>
    <w:rsid w:val="00212C19"/>
    <w:rsid w:val="00212F50"/>
    <w:rsid w:val="00213B54"/>
    <w:rsid w:val="00215788"/>
    <w:rsid w:val="002160E2"/>
    <w:rsid w:val="00217590"/>
    <w:rsid w:val="0021795E"/>
    <w:rsid w:val="0022059D"/>
    <w:rsid w:val="0022203F"/>
    <w:rsid w:val="00223087"/>
    <w:rsid w:val="00224D7C"/>
    <w:rsid w:val="002251BE"/>
    <w:rsid w:val="00225C62"/>
    <w:rsid w:val="00226835"/>
    <w:rsid w:val="00226D59"/>
    <w:rsid w:val="0022770F"/>
    <w:rsid w:val="00230372"/>
    <w:rsid w:val="00230930"/>
    <w:rsid w:val="0023378F"/>
    <w:rsid w:val="00235810"/>
    <w:rsid w:val="00236595"/>
    <w:rsid w:val="00236AAC"/>
    <w:rsid w:val="0023743F"/>
    <w:rsid w:val="00240592"/>
    <w:rsid w:val="002420B5"/>
    <w:rsid w:val="0024361B"/>
    <w:rsid w:val="00243B78"/>
    <w:rsid w:val="00245172"/>
    <w:rsid w:val="00246821"/>
    <w:rsid w:val="0025082B"/>
    <w:rsid w:val="00250F97"/>
    <w:rsid w:val="00251A8B"/>
    <w:rsid w:val="00252404"/>
    <w:rsid w:val="0025283A"/>
    <w:rsid w:val="002533C1"/>
    <w:rsid w:val="00254938"/>
    <w:rsid w:val="00260939"/>
    <w:rsid w:val="0026148F"/>
    <w:rsid w:val="002636B1"/>
    <w:rsid w:val="00264232"/>
    <w:rsid w:val="00264431"/>
    <w:rsid w:val="0026527C"/>
    <w:rsid w:val="00265EEE"/>
    <w:rsid w:val="0026603F"/>
    <w:rsid w:val="0026619B"/>
    <w:rsid w:val="002661DE"/>
    <w:rsid w:val="00267246"/>
    <w:rsid w:val="00270A6C"/>
    <w:rsid w:val="00271F42"/>
    <w:rsid w:val="00272BCA"/>
    <w:rsid w:val="00273030"/>
    <w:rsid w:val="0027391F"/>
    <w:rsid w:val="0027563A"/>
    <w:rsid w:val="0027673F"/>
    <w:rsid w:val="0028065A"/>
    <w:rsid w:val="0028285C"/>
    <w:rsid w:val="002863AA"/>
    <w:rsid w:val="0029226B"/>
    <w:rsid w:val="00292E70"/>
    <w:rsid w:val="00294FC0"/>
    <w:rsid w:val="0029736A"/>
    <w:rsid w:val="002A1AAC"/>
    <w:rsid w:val="002A41BE"/>
    <w:rsid w:val="002A4937"/>
    <w:rsid w:val="002A4F04"/>
    <w:rsid w:val="002A52E9"/>
    <w:rsid w:val="002A5775"/>
    <w:rsid w:val="002A6368"/>
    <w:rsid w:val="002A6E47"/>
    <w:rsid w:val="002A747C"/>
    <w:rsid w:val="002A7B67"/>
    <w:rsid w:val="002A7E47"/>
    <w:rsid w:val="002B1119"/>
    <w:rsid w:val="002B2780"/>
    <w:rsid w:val="002B5735"/>
    <w:rsid w:val="002B5932"/>
    <w:rsid w:val="002B6012"/>
    <w:rsid w:val="002C084E"/>
    <w:rsid w:val="002C298B"/>
    <w:rsid w:val="002C6EA5"/>
    <w:rsid w:val="002C7AE8"/>
    <w:rsid w:val="002D2137"/>
    <w:rsid w:val="002D2271"/>
    <w:rsid w:val="002D2C0A"/>
    <w:rsid w:val="002D3A60"/>
    <w:rsid w:val="002D545F"/>
    <w:rsid w:val="002D66CA"/>
    <w:rsid w:val="002D70E4"/>
    <w:rsid w:val="002D718F"/>
    <w:rsid w:val="002D7C87"/>
    <w:rsid w:val="002D7EA1"/>
    <w:rsid w:val="002E058A"/>
    <w:rsid w:val="002E14C6"/>
    <w:rsid w:val="002E1CBE"/>
    <w:rsid w:val="002E64C7"/>
    <w:rsid w:val="002E79F2"/>
    <w:rsid w:val="002F2E89"/>
    <w:rsid w:val="002F30E6"/>
    <w:rsid w:val="002F324B"/>
    <w:rsid w:val="002F3F50"/>
    <w:rsid w:val="002F5383"/>
    <w:rsid w:val="002F75E4"/>
    <w:rsid w:val="00302BAA"/>
    <w:rsid w:val="00305769"/>
    <w:rsid w:val="00305EF4"/>
    <w:rsid w:val="003117F9"/>
    <w:rsid w:val="003125BA"/>
    <w:rsid w:val="003140F1"/>
    <w:rsid w:val="00315D0A"/>
    <w:rsid w:val="00317A6E"/>
    <w:rsid w:val="00323383"/>
    <w:rsid w:val="003234E1"/>
    <w:rsid w:val="00325C2D"/>
    <w:rsid w:val="00325FA3"/>
    <w:rsid w:val="003260B3"/>
    <w:rsid w:val="0032790F"/>
    <w:rsid w:val="00330792"/>
    <w:rsid w:val="00331E18"/>
    <w:rsid w:val="00334C73"/>
    <w:rsid w:val="00335257"/>
    <w:rsid w:val="00335849"/>
    <w:rsid w:val="0034102B"/>
    <w:rsid w:val="00342CC7"/>
    <w:rsid w:val="00343AD6"/>
    <w:rsid w:val="003441F9"/>
    <w:rsid w:val="003451A8"/>
    <w:rsid w:val="00346647"/>
    <w:rsid w:val="003500C1"/>
    <w:rsid w:val="00350697"/>
    <w:rsid w:val="0035147F"/>
    <w:rsid w:val="00351C84"/>
    <w:rsid w:val="00351E98"/>
    <w:rsid w:val="003560C2"/>
    <w:rsid w:val="00356B0F"/>
    <w:rsid w:val="003608AD"/>
    <w:rsid w:val="00360E06"/>
    <w:rsid w:val="0036235D"/>
    <w:rsid w:val="00362A2C"/>
    <w:rsid w:val="00362B89"/>
    <w:rsid w:val="00362F1B"/>
    <w:rsid w:val="00365D80"/>
    <w:rsid w:val="00370A0A"/>
    <w:rsid w:val="00373DC1"/>
    <w:rsid w:val="00374433"/>
    <w:rsid w:val="003753B0"/>
    <w:rsid w:val="00375C8D"/>
    <w:rsid w:val="00381AD7"/>
    <w:rsid w:val="003876A6"/>
    <w:rsid w:val="00387C4C"/>
    <w:rsid w:val="0039022D"/>
    <w:rsid w:val="0039053B"/>
    <w:rsid w:val="00392200"/>
    <w:rsid w:val="00393AD7"/>
    <w:rsid w:val="00393F29"/>
    <w:rsid w:val="0039516F"/>
    <w:rsid w:val="003A176E"/>
    <w:rsid w:val="003A3767"/>
    <w:rsid w:val="003A4EE2"/>
    <w:rsid w:val="003A5612"/>
    <w:rsid w:val="003A5DA3"/>
    <w:rsid w:val="003A66E0"/>
    <w:rsid w:val="003B0CBA"/>
    <w:rsid w:val="003B1059"/>
    <w:rsid w:val="003B2BF9"/>
    <w:rsid w:val="003B3687"/>
    <w:rsid w:val="003B41E1"/>
    <w:rsid w:val="003B5235"/>
    <w:rsid w:val="003B7EF5"/>
    <w:rsid w:val="003C06DD"/>
    <w:rsid w:val="003C10E0"/>
    <w:rsid w:val="003C2A0A"/>
    <w:rsid w:val="003C33E8"/>
    <w:rsid w:val="003C5A29"/>
    <w:rsid w:val="003C5B73"/>
    <w:rsid w:val="003C5C3C"/>
    <w:rsid w:val="003C74E8"/>
    <w:rsid w:val="003D1382"/>
    <w:rsid w:val="003D1FD5"/>
    <w:rsid w:val="003D2229"/>
    <w:rsid w:val="003D2CBD"/>
    <w:rsid w:val="003D2D11"/>
    <w:rsid w:val="003D75C2"/>
    <w:rsid w:val="003E1385"/>
    <w:rsid w:val="003E1CB2"/>
    <w:rsid w:val="003E2940"/>
    <w:rsid w:val="003E33C5"/>
    <w:rsid w:val="003E3649"/>
    <w:rsid w:val="003E709F"/>
    <w:rsid w:val="003E7688"/>
    <w:rsid w:val="003E7BE2"/>
    <w:rsid w:val="003F23CA"/>
    <w:rsid w:val="003F398E"/>
    <w:rsid w:val="003F64F3"/>
    <w:rsid w:val="00403C66"/>
    <w:rsid w:val="00407102"/>
    <w:rsid w:val="0040719B"/>
    <w:rsid w:val="00411FC8"/>
    <w:rsid w:val="004127F2"/>
    <w:rsid w:val="00413EBC"/>
    <w:rsid w:val="00416255"/>
    <w:rsid w:val="00416F88"/>
    <w:rsid w:val="00420704"/>
    <w:rsid w:val="00421628"/>
    <w:rsid w:val="004270F2"/>
    <w:rsid w:val="0042736F"/>
    <w:rsid w:val="00427396"/>
    <w:rsid w:val="00431DE7"/>
    <w:rsid w:val="00433A2D"/>
    <w:rsid w:val="004370D2"/>
    <w:rsid w:val="00440C98"/>
    <w:rsid w:val="00440F33"/>
    <w:rsid w:val="00446B69"/>
    <w:rsid w:val="00447589"/>
    <w:rsid w:val="00451151"/>
    <w:rsid w:val="00451861"/>
    <w:rsid w:val="00452357"/>
    <w:rsid w:val="00454558"/>
    <w:rsid w:val="00454CC2"/>
    <w:rsid w:val="004569C2"/>
    <w:rsid w:val="00456F68"/>
    <w:rsid w:val="004604E1"/>
    <w:rsid w:val="00463F61"/>
    <w:rsid w:val="00464EB3"/>
    <w:rsid w:val="00465AA4"/>
    <w:rsid w:val="004661E0"/>
    <w:rsid w:val="004708A1"/>
    <w:rsid w:val="00471AC1"/>
    <w:rsid w:val="00472A70"/>
    <w:rsid w:val="00473021"/>
    <w:rsid w:val="00474E1F"/>
    <w:rsid w:val="00476011"/>
    <w:rsid w:val="00477FEE"/>
    <w:rsid w:val="004801C1"/>
    <w:rsid w:val="004814DF"/>
    <w:rsid w:val="0048238A"/>
    <w:rsid w:val="00482C9B"/>
    <w:rsid w:val="00483770"/>
    <w:rsid w:val="00483996"/>
    <w:rsid w:val="00483F36"/>
    <w:rsid w:val="0048625E"/>
    <w:rsid w:val="00486ED0"/>
    <w:rsid w:val="00487D59"/>
    <w:rsid w:val="00490576"/>
    <w:rsid w:val="004924CA"/>
    <w:rsid w:val="00493265"/>
    <w:rsid w:val="004957EF"/>
    <w:rsid w:val="00495F07"/>
    <w:rsid w:val="00496C16"/>
    <w:rsid w:val="00496D62"/>
    <w:rsid w:val="004978D1"/>
    <w:rsid w:val="004A1C7C"/>
    <w:rsid w:val="004A3E78"/>
    <w:rsid w:val="004A4668"/>
    <w:rsid w:val="004A528F"/>
    <w:rsid w:val="004B1FC6"/>
    <w:rsid w:val="004B2665"/>
    <w:rsid w:val="004B41BF"/>
    <w:rsid w:val="004B4B19"/>
    <w:rsid w:val="004B4F65"/>
    <w:rsid w:val="004B621D"/>
    <w:rsid w:val="004B7F8D"/>
    <w:rsid w:val="004C4CF0"/>
    <w:rsid w:val="004C5C67"/>
    <w:rsid w:val="004D3D0E"/>
    <w:rsid w:val="004D3F0E"/>
    <w:rsid w:val="004D40F1"/>
    <w:rsid w:val="004D5D2E"/>
    <w:rsid w:val="004D6306"/>
    <w:rsid w:val="004D65AA"/>
    <w:rsid w:val="004D6D68"/>
    <w:rsid w:val="004D6D84"/>
    <w:rsid w:val="004D7308"/>
    <w:rsid w:val="004E0A8F"/>
    <w:rsid w:val="004E2C64"/>
    <w:rsid w:val="004E3957"/>
    <w:rsid w:val="004E3CD9"/>
    <w:rsid w:val="004E42A0"/>
    <w:rsid w:val="004E5913"/>
    <w:rsid w:val="004E7566"/>
    <w:rsid w:val="004F275E"/>
    <w:rsid w:val="004F51E3"/>
    <w:rsid w:val="004F7F6B"/>
    <w:rsid w:val="00500EBF"/>
    <w:rsid w:val="00504E22"/>
    <w:rsid w:val="00506E40"/>
    <w:rsid w:val="005074AA"/>
    <w:rsid w:val="005109EC"/>
    <w:rsid w:val="00510FDD"/>
    <w:rsid w:val="00513153"/>
    <w:rsid w:val="00516051"/>
    <w:rsid w:val="00516A11"/>
    <w:rsid w:val="00517969"/>
    <w:rsid w:val="00517BC4"/>
    <w:rsid w:val="00523EC6"/>
    <w:rsid w:val="00525D98"/>
    <w:rsid w:val="005277FA"/>
    <w:rsid w:val="005277FE"/>
    <w:rsid w:val="00531A11"/>
    <w:rsid w:val="00531ADB"/>
    <w:rsid w:val="005322D4"/>
    <w:rsid w:val="00533DE0"/>
    <w:rsid w:val="00534471"/>
    <w:rsid w:val="00534E97"/>
    <w:rsid w:val="005351CB"/>
    <w:rsid w:val="005366F4"/>
    <w:rsid w:val="00536890"/>
    <w:rsid w:val="0053793C"/>
    <w:rsid w:val="00544FA6"/>
    <w:rsid w:val="005500A3"/>
    <w:rsid w:val="00550B9D"/>
    <w:rsid w:val="005510EE"/>
    <w:rsid w:val="0055325C"/>
    <w:rsid w:val="005532CB"/>
    <w:rsid w:val="00556664"/>
    <w:rsid w:val="00556CBD"/>
    <w:rsid w:val="00556CEA"/>
    <w:rsid w:val="0056109D"/>
    <w:rsid w:val="00563322"/>
    <w:rsid w:val="00563CF4"/>
    <w:rsid w:val="00567A7C"/>
    <w:rsid w:val="00571AE0"/>
    <w:rsid w:val="0057358B"/>
    <w:rsid w:val="005738F0"/>
    <w:rsid w:val="00575BCD"/>
    <w:rsid w:val="00581F7A"/>
    <w:rsid w:val="005827BF"/>
    <w:rsid w:val="00582DD1"/>
    <w:rsid w:val="00582DF3"/>
    <w:rsid w:val="005833B7"/>
    <w:rsid w:val="00584765"/>
    <w:rsid w:val="005925C5"/>
    <w:rsid w:val="00592700"/>
    <w:rsid w:val="00597FF0"/>
    <w:rsid w:val="005A0234"/>
    <w:rsid w:val="005A23C8"/>
    <w:rsid w:val="005A2EF9"/>
    <w:rsid w:val="005A3893"/>
    <w:rsid w:val="005A7610"/>
    <w:rsid w:val="005A78DB"/>
    <w:rsid w:val="005B084B"/>
    <w:rsid w:val="005B20E7"/>
    <w:rsid w:val="005B4108"/>
    <w:rsid w:val="005C177A"/>
    <w:rsid w:val="005C2D4E"/>
    <w:rsid w:val="005C305E"/>
    <w:rsid w:val="005C36B7"/>
    <w:rsid w:val="005C3ED4"/>
    <w:rsid w:val="005C49FB"/>
    <w:rsid w:val="005C4DA1"/>
    <w:rsid w:val="005C5555"/>
    <w:rsid w:val="005C5E36"/>
    <w:rsid w:val="005C6382"/>
    <w:rsid w:val="005C657C"/>
    <w:rsid w:val="005C71E5"/>
    <w:rsid w:val="005C7F83"/>
    <w:rsid w:val="005D0444"/>
    <w:rsid w:val="005D13C1"/>
    <w:rsid w:val="005D3AAE"/>
    <w:rsid w:val="005D5F39"/>
    <w:rsid w:val="005D6A8F"/>
    <w:rsid w:val="005E4374"/>
    <w:rsid w:val="005E53A7"/>
    <w:rsid w:val="005F01EC"/>
    <w:rsid w:val="005F022D"/>
    <w:rsid w:val="005F05F8"/>
    <w:rsid w:val="005F1E2A"/>
    <w:rsid w:val="005F22D6"/>
    <w:rsid w:val="005F2383"/>
    <w:rsid w:val="005F37A3"/>
    <w:rsid w:val="005F4B35"/>
    <w:rsid w:val="005F551A"/>
    <w:rsid w:val="00600ACB"/>
    <w:rsid w:val="00600C63"/>
    <w:rsid w:val="006014DA"/>
    <w:rsid w:val="00601551"/>
    <w:rsid w:val="00603975"/>
    <w:rsid w:val="00603BAE"/>
    <w:rsid w:val="00603D8C"/>
    <w:rsid w:val="0060685B"/>
    <w:rsid w:val="006115A3"/>
    <w:rsid w:val="00611FDB"/>
    <w:rsid w:val="00613159"/>
    <w:rsid w:val="00615A88"/>
    <w:rsid w:val="00617A98"/>
    <w:rsid w:val="0062046B"/>
    <w:rsid w:val="006215B6"/>
    <w:rsid w:val="006309B2"/>
    <w:rsid w:val="00632165"/>
    <w:rsid w:val="00634FFB"/>
    <w:rsid w:val="0064221C"/>
    <w:rsid w:val="006433B0"/>
    <w:rsid w:val="00644AC9"/>
    <w:rsid w:val="006461BF"/>
    <w:rsid w:val="00646E5A"/>
    <w:rsid w:val="00646EAD"/>
    <w:rsid w:val="0064720D"/>
    <w:rsid w:val="0065068B"/>
    <w:rsid w:val="00652376"/>
    <w:rsid w:val="00652CCC"/>
    <w:rsid w:val="00653323"/>
    <w:rsid w:val="0065563C"/>
    <w:rsid w:val="006560F7"/>
    <w:rsid w:val="0065677C"/>
    <w:rsid w:val="00657536"/>
    <w:rsid w:val="00660158"/>
    <w:rsid w:val="006606E3"/>
    <w:rsid w:val="006613C1"/>
    <w:rsid w:val="00663274"/>
    <w:rsid w:val="006638AB"/>
    <w:rsid w:val="006652B0"/>
    <w:rsid w:val="0066795A"/>
    <w:rsid w:val="00671821"/>
    <w:rsid w:val="00672190"/>
    <w:rsid w:val="006739F3"/>
    <w:rsid w:val="00673EA4"/>
    <w:rsid w:val="00675F1E"/>
    <w:rsid w:val="00677C46"/>
    <w:rsid w:val="00680519"/>
    <w:rsid w:val="00681830"/>
    <w:rsid w:val="0068299E"/>
    <w:rsid w:val="006834BC"/>
    <w:rsid w:val="006835D2"/>
    <w:rsid w:val="00684564"/>
    <w:rsid w:val="0068535A"/>
    <w:rsid w:val="00685473"/>
    <w:rsid w:val="0068729D"/>
    <w:rsid w:val="00687569"/>
    <w:rsid w:val="0069049D"/>
    <w:rsid w:val="00691044"/>
    <w:rsid w:val="00691174"/>
    <w:rsid w:val="006937CB"/>
    <w:rsid w:val="00694182"/>
    <w:rsid w:val="00695D17"/>
    <w:rsid w:val="0069604B"/>
    <w:rsid w:val="00696EE6"/>
    <w:rsid w:val="0069750B"/>
    <w:rsid w:val="00697D06"/>
    <w:rsid w:val="006A1702"/>
    <w:rsid w:val="006A3C70"/>
    <w:rsid w:val="006A4860"/>
    <w:rsid w:val="006A5123"/>
    <w:rsid w:val="006B0E4D"/>
    <w:rsid w:val="006B4191"/>
    <w:rsid w:val="006C11E8"/>
    <w:rsid w:val="006C1430"/>
    <w:rsid w:val="006C208B"/>
    <w:rsid w:val="006C2200"/>
    <w:rsid w:val="006C33CD"/>
    <w:rsid w:val="006C38C0"/>
    <w:rsid w:val="006C5DD5"/>
    <w:rsid w:val="006D0AA4"/>
    <w:rsid w:val="006D11D3"/>
    <w:rsid w:val="006D4CCD"/>
    <w:rsid w:val="006D63DB"/>
    <w:rsid w:val="006D7EBB"/>
    <w:rsid w:val="006E090E"/>
    <w:rsid w:val="006E156C"/>
    <w:rsid w:val="006E2BF0"/>
    <w:rsid w:val="006E2C48"/>
    <w:rsid w:val="006E47B0"/>
    <w:rsid w:val="006E7A6F"/>
    <w:rsid w:val="006F0BA2"/>
    <w:rsid w:val="006F0DE9"/>
    <w:rsid w:val="006F43C5"/>
    <w:rsid w:val="006F5BAD"/>
    <w:rsid w:val="006F635E"/>
    <w:rsid w:val="006F7046"/>
    <w:rsid w:val="006F7208"/>
    <w:rsid w:val="00700703"/>
    <w:rsid w:val="007017F9"/>
    <w:rsid w:val="00702356"/>
    <w:rsid w:val="007035A2"/>
    <w:rsid w:val="00703A53"/>
    <w:rsid w:val="00707BDE"/>
    <w:rsid w:val="00710EBC"/>
    <w:rsid w:val="00713BD2"/>
    <w:rsid w:val="007141D9"/>
    <w:rsid w:val="00715167"/>
    <w:rsid w:val="00715F52"/>
    <w:rsid w:val="00720816"/>
    <w:rsid w:val="00723BC5"/>
    <w:rsid w:val="007300D7"/>
    <w:rsid w:val="00732A26"/>
    <w:rsid w:val="007337E3"/>
    <w:rsid w:val="0073424C"/>
    <w:rsid w:val="007350EB"/>
    <w:rsid w:val="0073663A"/>
    <w:rsid w:val="00736A47"/>
    <w:rsid w:val="00741902"/>
    <w:rsid w:val="00745840"/>
    <w:rsid w:val="00746767"/>
    <w:rsid w:val="00746E6B"/>
    <w:rsid w:val="00747184"/>
    <w:rsid w:val="00747D75"/>
    <w:rsid w:val="007536CB"/>
    <w:rsid w:val="00757496"/>
    <w:rsid w:val="007612DB"/>
    <w:rsid w:val="0076274B"/>
    <w:rsid w:val="00762799"/>
    <w:rsid w:val="00762F9B"/>
    <w:rsid w:val="00763175"/>
    <w:rsid w:val="007634EC"/>
    <w:rsid w:val="0077548B"/>
    <w:rsid w:val="007767EC"/>
    <w:rsid w:val="00777CE0"/>
    <w:rsid w:val="00777D98"/>
    <w:rsid w:val="007824EF"/>
    <w:rsid w:val="0078265A"/>
    <w:rsid w:val="00782BA2"/>
    <w:rsid w:val="00782E1C"/>
    <w:rsid w:val="007851F1"/>
    <w:rsid w:val="007854F2"/>
    <w:rsid w:val="00786299"/>
    <w:rsid w:val="007902AF"/>
    <w:rsid w:val="00791F22"/>
    <w:rsid w:val="0079290A"/>
    <w:rsid w:val="00793EF0"/>
    <w:rsid w:val="00794691"/>
    <w:rsid w:val="007967AA"/>
    <w:rsid w:val="007A0393"/>
    <w:rsid w:val="007A6363"/>
    <w:rsid w:val="007A7C3A"/>
    <w:rsid w:val="007C696D"/>
    <w:rsid w:val="007C7B39"/>
    <w:rsid w:val="007C7DB7"/>
    <w:rsid w:val="007D0B99"/>
    <w:rsid w:val="007D17CA"/>
    <w:rsid w:val="007D1D93"/>
    <w:rsid w:val="007D22B0"/>
    <w:rsid w:val="007D2DB6"/>
    <w:rsid w:val="007D309A"/>
    <w:rsid w:val="007E041B"/>
    <w:rsid w:val="007E0A50"/>
    <w:rsid w:val="007E0EF2"/>
    <w:rsid w:val="007E1463"/>
    <w:rsid w:val="007E4069"/>
    <w:rsid w:val="007E482F"/>
    <w:rsid w:val="007F2BF3"/>
    <w:rsid w:val="007F3BC0"/>
    <w:rsid w:val="007F68FE"/>
    <w:rsid w:val="007F6C7F"/>
    <w:rsid w:val="007F7B4A"/>
    <w:rsid w:val="00800422"/>
    <w:rsid w:val="008034BD"/>
    <w:rsid w:val="00803B75"/>
    <w:rsid w:val="008041C0"/>
    <w:rsid w:val="0080726E"/>
    <w:rsid w:val="0081096A"/>
    <w:rsid w:val="00812283"/>
    <w:rsid w:val="00813280"/>
    <w:rsid w:val="00816AB7"/>
    <w:rsid w:val="00817F04"/>
    <w:rsid w:val="008204B1"/>
    <w:rsid w:val="00825BA2"/>
    <w:rsid w:val="008260D6"/>
    <w:rsid w:val="00827C34"/>
    <w:rsid w:val="0083142B"/>
    <w:rsid w:val="008340CA"/>
    <w:rsid w:val="00834702"/>
    <w:rsid w:val="008354A8"/>
    <w:rsid w:val="00835CF2"/>
    <w:rsid w:val="0083621D"/>
    <w:rsid w:val="00836CA9"/>
    <w:rsid w:val="00837FE6"/>
    <w:rsid w:val="00840B3E"/>
    <w:rsid w:val="00840CD7"/>
    <w:rsid w:val="00842B6E"/>
    <w:rsid w:val="00843217"/>
    <w:rsid w:val="00844010"/>
    <w:rsid w:val="00844118"/>
    <w:rsid w:val="0084775E"/>
    <w:rsid w:val="008479DB"/>
    <w:rsid w:val="00847BE3"/>
    <w:rsid w:val="00850063"/>
    <w:rsid w:val="0085263C"/>
    <w:rsid w:val="008544F2"/>
    <w:rsid w:val="008550AE"/>
    <w:rsid w:val="00856F3A"/>
    <w:rsid w:val="00860A06"/>
    <w:rsid w:val="00862FB7"/>
    <w:rsid w:val="00864BD5"/>
    <w:rsid w:val="00867E28"/>
    <w:rsid w:val="00870C25"/>
    <w:rsid w:val="008722F5"/>
    <w:rsid w:val="008725AB"/>
    <w:rsid w:val="00875288"/>
    <w:rsid w:val="00877B7A"/>
    <w:rsid w:val="008809E3"/>
    <w:rsid w:val="0088366F"/>
    <w:rsid w:val="00885B1E"/>
    <w:rsid w:val="00887853"/>
    <w:rsid w:val="00893A6A"/>
    <w:rsid w:val="00895A92"/>
    <w:rsid w:val="008963BD"/>
    <w:rsid w:val="0089786E"/>
    <w:rsid w:val="008A3E79"/>
    <w:rsid w:val="008A44C0"/>
    <w:rsid w:val="008A5954"/>
    <w:rsid w:val="008B0966"/>
    <w:rsid w:val="008B0DD5"/>
    <w:rsid w:val="008B11DB"/>
    <w:rsid w:val="008B30CD"/>
    <w:rsid w:val="008B3148"/>
    <w:rsid w:val="008B696D"/>
    <w:rsid w:val="008B6A2F"/>
    <w:rsid w:val="008C0169"/>
    <w:rsid w:val="008C0632"/>
    <w:rsid w:val="008C1546"/>
    <w:rsid w:val="008C51B2"/>
    <w:rsid w:val="008D3CC7"/>
    <w:rsid w:val="008D4A7F"/>
    <w:rsid w:val="008D6457"/>
    <w:rsid w:val="008E2291"/>
    <w:rsid w:val="008E5082"/>
    <w:rsid w:val="008E56F0"/>
    <w:rsid w:val="008E6B11"/>
    <w:rsid w:val="008E77D0"/>
    <w:rsid w:val="008E7C3A"/>
    <w:rsid w:val="008F06F4"/>
    <w:rsid w:val="008F19E6"/>
    <w:rsid w:val="008F230F"/>
    <w:rsid w:val="008F404D"/>
    <w:rsid w:val="008F7001"/>
    <w:rsid w:val="008F75A3"/>
    <w:rsid w:val="0090336D"/>
    <w:rsid w:val="00904D16"/>
    <w:rsid w:val="009052E9"/>
    <w:rsid w:val="00910E96"/>
    <w:rsid w:val="009111FE"/>
    <w:rsid w:val="00912138"/>
    <w:rsid w:val="00912B39"/>
    <w:rsid w:val="009135D9"/>
    <w:rsid w:val="00913BF2"/>
    <w:rsid w:val="00916412"/>
    <w:rsid w:val="00917061"/>
    <w:rsid w:val="009206E6"/>
    <w:rsid w:val="00920B89"/>
    <w:rsid w:val="009246EB"/>
    <w:rsid w:val="00925E22"/>
    <w:rsid w:val="009267E1"/>
    <w:rsid w:val="009279DF"/>
    <w:rsid w:val="00931BC0"/>
    <w:rsid w:val="00932C46"/>
    <w:rsid w:val="00935406"/>
    <w:rsid w:val="00936553"/>
    <w:rsid w:val="009365F3"/>
    <w:rsid w:val="00936D96"/>
    <w:rsid w:val="00942878"/>
    <w:rsid w:val="0094303A"/>
    <w:rsid w:val="00943170"/>
    <w:rsid w:val="009432D1"/>
    <w:rsid w:val="00944222"/>
    <w:rsid w:val="009448F3"/>
    <w:rsid w:val="00944EFD"/>
    <w:rsid w:val="00945220"/>
    <w:rsid w:val="0094585B"/>
    <w:rsid w:val="00946B6D"/>
    <w:rsid w:val="00950211"/>
    <w:rsid w:val="0095099E"/>
    <w:rsid w:val="00951022"/>
    <w:rsid w:val="00951D28"/>
    <w:rsid w:val="0095412A"/>
    <w:rsid w:val="009549A0"/>
    <w:rsid w:val="00954A9E"/>
    <w:rsid w:val="00955993"/>
    <w:rsid w:val="0095637C"/>
    <w:rsid w:val="009579F8"/>
    <w:rsid w:val="00960831"/>
    <w:rsid w:val="00961363"/>
    <w:rsid w:val="00962F8A"/>
    <w:rsid w:val="00964B39"/>
    <w:rsid w:val="00966E0A"/>
    <w:rsid w:val="00967798"/>
    <w:rsid w:val="00974345"/>
    <w:rsid w:val="009744DB"/>
    <w:rsid w:val="009778EC"/>
    <w:rsid w:val="00980B15"/>
    <w:rsid w:val="00981AFC"/>
    <w:rsid w:val="00983788"/>
    <w:rsid w:val="00984EB3"/>
    <w:rsid w:val="009857D2"/>
    <w:rsid w:val="00985DE1"/>
    <w:rsid w:val="00986FED"/>
    <w:rsid w:val="0099118B"/>
    <w:rsid w:val="00991863"/>
    <w:rsid w:val="00992BC2"/>
    <w:rsid w:val="009978D7"/>
    <w:rsid w:val="009A0C78"/>
    <w:rsid w:val="009A0EFA"/>
    <w:rsid w:val="009A1501"/>
    <w:rsid w:val="009A23E1"/>
    <w:rsid w:val="009A5652"/>
    <w:rsid w:val="009B1065"/>
    <w:rsid w:val="009B1E44"/>
    <w:rsid w:val="009B63B6"/>
    <w:rsid w:val="009B712F"/>
    <w:rsid w:val="009B72D2"/>
    <w:rsid w:val="009C22CF"/>
    <w:rsid w:val="009C2901"/>
    <w:rsid w:val="009C5D68"/>
    <w:rsid w:val="009C603C"/>
    <w:rsid w:val="009C7BEF"/>
    <w:rsid w:val="009D0067"/>
    <w:rsid w:val="009D0D2A"/>
    <w:rsid w:val="009D1D31"/>
    <w:rsid w:val="009D36D5"/>
    <w:rsid w:val="009D49C1"/>
    <w:rsid w:val="009D6459"/>
    <w:rsid w:val="009D6983"/>
    <w:rsid w:val="009D6F0F"/>
    <w:rsid w:val="009E1173"/>
    <w:rsid w:val="009E1D3C"/>
    <w:rsid w:val="009E2460"/>
    <w:rsid w:val="009E40A8"/>
    <w:rsid w:val="009E64AA"/>
    <w:rsid w:val="009F0937"/>
    <w:rsid w:val="009F2C01"/>
    <w:rsid w:val="009F6A50"/>
    <w:rsid w:val="00A00BE6"/>
    <w:rsid w:val="00A0503C"/>
    <w:rsid w:val="00A05792"/>
    <w:rsid w:val="00A06F45"/>
    <w:rsid w:val="00A10E40"/>
    <w:rsid w:val="00A10E4A"/>
    <w:rsid w:val="00A11D8C"/>
    <w:rsid w:val="00A1276C"/>
    <w:rsid w:val="00A13F1B"/>
    <w:rsid w:val="00A179EF"/>
    <w:rsid w:val="00A23C71"/>
    <w:rsid w:val="00A2432F"/>
    <w:rsid w:val="00A24E71"/>
    <w:rsid w:val="00A251FF"/>
    <w:rsid w:val="00A360FD"/>
    <w:rsid w:val="00A40555"/>
    <w:rsid w:val="00A40A6C"/>
    <w:rsid w:val="00A43AFB"/>
    <w:rsid w:val="00A51F85"/>
    <w:rsid w:val="00A52AE6"/>
    <w:rsid w:val="00A534D2"/>
    <w:rsid w:val="00A571D1"/>
    <w:rsid w:val="00A61B14"/>
    <w:rsid w:val="00A633CC"/>
    <w:rsid w:val="00A63B5A"/>
    <w:rsid w:val="00A642A3"/>
    <w:rsid w:val="00A6670A"/>
    <w:rsid w:val="00A70707"/>
    <w:rsid w:val="00A716A2"/>
    <w:rsid w:val="00A71C77"/>
    <w:rsid w:val="00A74670"/>
    <w:rsid w:val="00A74D64"/>
    <w:rsid w:val="00A75057"/>
    <w:rsid w:val="00A75824"/>
    <w:rsid w:val="00A765DD"/>
    <w:rsid w:val="00A77503"/>
    <w:rsid w:val="00A775D7"/>
    <w:rsid w:val="00A80594"/>
    <w:rsid w:val="00A812FD"/>
    <w:rsid w:val="00A817ED"/>
    <w:rsid w:val="00A81F06"/>
    <w:rsid w:val="00A83F4B"/>
    <w:rsid w:val="00A852F0"/>
    <w:rsid w:val="00A8535E"/>
    <w:rsid w:val="00A853BE"/>
    <w:rsid w:val="00A85804"/>
    <w:rsid w:val="00A90225"/>
    <w:rsid w:val="00A9304F"/>
    <w:rsid w:val="00A93951"/>
    <w:rsid w:val="00A956EA"/>
    <w:rsid w:val="00AA0229"/>
    <w:rsid w:val="00AA0D8B"/>
    <w:rsid w:val="00AA1496"/>
    <w:rsid w:val="00AA232E"/>
    <w:rsid w:val="00AA54F9"/>
    <w:rsid w:val="00AA5903"/>
    <w:rsid w:val="00AA609B"/>
    <w:rsid w:val="00AB05A4"/>
    <w:rsid w:val="00AB0C1E"/>
    <w:rsid w:val="00AB0C4D"/>
    <w:rsid w:val="00AB0DAE"/>
    <w:rsid w:val="00AB0F30"/>
    <w:rsid w:val="00AB15AD"/>
    <w:rsid w:val="00AB2452"/>
    <w:rsid w:val="00AB2809"/>
    <w:rsid w:val="00AB56E2"/>
    <w:rsid w:val="00AB57D5"/>
    <w:rsid w:val="00AB606D"/>
    <w:rsid w:val="00AB7081"/>
    <w:rsid w:val="00AB70D7"/>
    <w:rsid w:val="00AB763C"/>
    <w:rsid w:val="00AC0016"/>
    <w:rsid w:val="00AC0670"/>
    <w:rsid w:val="00AC0968"/>
    <w:rsid w:val="00AC4AE9"/>
    <w:rsid w:val="00AC6C00"/>
    <w:rsid w:val="00AC6D83"/>
    <w:rsid w:val="00AD070C"/>
    <w:rsid w:val="00AD1130"/>
    <w:rsid w:val="00AD1EFB"/>
    <w:rsid w:val="00AD3D4B"/>
    <w:rsid w:val="00AD4F01"/>
    <w:rsid w:val="00AD752A"/>
    <w:rsid w:val="00AD7A6F"/>
    <w:rsid w:val="00AE0D59"/>
    <w:rsid w:val="00AE18FD"/>
    <w:rsid w:val="00AE1C1F"/>
    <w:rsid w:val="00AE20D5"/>
    <w:rsid w:val="00AE37E1"/>
    <w:rsid w:val="00AE4A3A"/>
    <w:rsid w:val="00AE60F0"/>
    <w:rsid w:val="00AE7C3B"/>
    <w:rsid w:val="00AF1F5B"/>
    <w:rsid w:val="00AF1F8B"/>
    <w:rsid w:val="00AF2B1D"/>
    <w:rsid w:val="00AF2C8F"/>
    <w:rsid w:val="00AF3A3E"/>
    <w:rsid w:val="00AF5056"/>
    <w:rsid w:val="00AF6212"/>
    <w:rsid w:val="00AF6AB3"/>
    <w:rsid w:val="00B0227A"/>
    <w:rsid w:val="00B02725"/>
    <w:rsid w:val="00B02B74"/>
    <w:rsid w:val="00B0695C"/>
    <w:rsid w:val="00B06F7E"/>
    <w:rsid w:val="00B12898"/>
    <w:rsid w:val="00B13D9E"/>
    <w:rsid w:val="00B1691D"/>
    <w:rsid w:val="00B177C2"/>
    <w:rsid w:val="00B21CF4"/>
    <w:rsid w:val="00B21D0B"/>
    <w:rsid w:val="00B23030"/>
    <w:rsid w:val="00B263CE"/>
    <w:rsid w:val="00B276A1"/>
    <w:rsid w:val="00B302A4"/>
    <w:rsid w:val="00B332C8"/>
    <w:rsid w:val="00B34F45"/>
    <w:rsid w:val="00B35D4A"/>
    <w:rsid w:val="00B374E1"/>
    <w:rsid w:val="00B4041D"/>
    <w:rsid w:val="00B405F4"/>
    <w:rsid w:val="00B41841"/>
    <w:rsid w:val="00B41E0C"/>
    <w:rsid w:val="00B43262"/>
    <w:rsid w:val="00B434CF"/>
    <w:rsid w:val="00B44AF3"/>
    <w:rsid w:val="00B44E68"/>
    <w:rsid w:val="00B47BD2"/>
    <w:rsid w:val="00B5041B"/>
    <w:rsid w:val="00B50CF4"/>
    <w:rsid w:val="00B5226E"/>
    <w:rsid w:val="00B52453"/>
    <w:rsid w:val="00B529F3"/>
    <w:rsid w:val="00B530F5"/>
    <w:rsid w:val="00B5351D"/>
    <w:rsid w:val="00B54423"/>
    <w:rsid w:val="00B54F30"/>
    <w:rsid w:val="00B55510"/>
    <w:rsid w:val="00B60350"/>
    <w:rsid w:val="00B60C2E"/>
    <w:rsid w:val="00B60E78"/>
    <w:rsid w:val="00B6310F"/>
    <w:rsid w:val="00B638AD"/>
    <w:rsid w:val="00B63F9F"/>
    <w:rsid w:val="00B643DC"/>
    <w:rsid w:val="00B64AED"/>
    <w:rsid w:val="00B64E57"/>
    <w:rsid w:val="00B65D74"/>
    <w:rsid w:val="00B703A3"/>
    <w:rsid w:val="00B711EE"/>
    <w:rsid w:val="00B727AD"/>
    <w:rsid w:val="00B72913"/>
    <w:rsid w:val="00B72E30"/>
    <w:rsid w:val="00B758AF"/>
    <w:rsid w:val="00B807AC"/>
    <w:rsid w:val="00B80C30"/>
    <w:rsid w:val="00B80EC8"/>
    <w:rsid w:val="00B812DB"/>
    <w:rsid w:val="00B8415C"/>
    <w:rsid w:val="00B8423C"/>
    <w:rsid w:val="00B85F85"/>
    <w:rsid w:val="00B86377"/>
    <w:rsid w:val="00B87082"/>
    <w:rsid w:val="00B90218"/>
    <w:rsid w:val="00B90C53"/>
    <w:rsid w:val="00B9140F"/>
    <w:rsid w:val="00B9269F"/>
    <w:rsid w:val="00B92707"/>
    <w:rsid w:val="00B938F2"/>
    <w:rsid w:val="00B9568C"/>
    <w:rsid w:val="00B9651E"/>
    <w:rsid w:val="00B96846"/>
    <w:rsid w:val="00BA1279"/>
    <w:rsid w:val="00BA30E3"/>
    <w:rsid w:val="00BA42B3"/>
    <w:rsid w:val="00BA4718"/>
    <w:rsid w:val="00BA653C"/>
    <w:rsid w:val="00BA703F"/>
    <w:rsid w:val="00BA7AE3"/>
    <w:rsid w:val="00BB0EF0"/>
    <w:rsid w:val="00BB10C3"/>
    <w:rsid w:val="00BB12A4"/>
    <w:rsid w:val="00BB3CBA"/>
    <w:rsid w:val="00BC19B8"/>
    <w:rsid w:val="00BC2A3D"/>
    <w:rsid w:val="00BC39C9"/>
    <w:rsid w:val="00BC62AA"/>
    <w:rsid w:val="00BC6B64"/>
    <w:rsid w:val="00BC7364"/>
    <w:rsid w:val="00BC7F56"/>
    <w:rsid w:val="00BD0434"/>
    <w:rsid w:val="00BD4B86"/>
    <w:rsid w:val="00BD5802"/>
    <w:rsid w:val="00BE038C"/>
    <w:rsid w:val="00BE05EE"/>
    <w:rsid w:val="00BE0DBB"/>
    <w:rsid w:val="00BE122A"/>
    <w:rsid w:val="00BE2EEA"/>
    <w:rsid w:val="00BE4110"/>
    <w:rsid w:val="00BE76CA"/>
    <w:rsid w:val="00BF016D"/>
    <w:rsid w:val="00BF1628"/>
    <w:rsid w:val="00BF2146"/>
    <w:rsid w:val="00BF22FA"/>
    <w:rsid w:val="00BF7E55"/>
    <w:rsid w:val="00C01544"/>
    <w:rsid w:val="00C01A9B"/>
    <w:rsid w:val="00C01B7C"/>
    <w:rsid w:val="00C02071"/>
    <w:rsid w:val="00C034A3"/>
    <w:rsid w:val="00C04A3E"/>
    <w:rsid w:val="00C06CC1"/>
    <w:rsid w:val="00C07B70"/>
    <w:rsid w:val="00C120C0"/>
    <w:rsid w:val="00C14547"/>
    <w:rsid w:val="00C149EB"/>
    <w:rsid w:val="00C1569B"/>
    <w:rsid w:val="00C17D88"/>
    <w:rsid w:val="00C21358"/>
    <w:rsid w:val="00C24C66"/>
    <w:rsid w:val="00C26127"/>
    <w:rsid w:val="00C278A3"/>
    <w:rsid w:val="00C303A6"/>
    <w:rsid w:val="00C31260"/>
    <w:rsid w:val="00C31CDE"/>
    <w:rsid w:val="00C33A2F"/>
    <w:rsid w:val="00C33F12"/>
    <w:rsid w:val="00C349C4"/>
    <w:rsid w:val="00C35064"/>
    <w:rsid w:val="00C35C72"/>
    <w:rsid w:val="00C35F74"/>
    <w:rsid w:val="00C37355"/>
    <w:rsid w:val="00C37371"/>
    <w:rsid w:val="00C413EB"/>
    <w:rsid w:val="00C432F3"/>
    <w:rsid w:val="00C43BF4"/>
    <w:rsid w:val="00C45996"/>
    <w:rsid w:val="00C45A83"/>
    <w:rsid w:val="00C46550"/>
    <w:rsid w:val="00C47898"/>
    <w:rsid w:val="00C5042A"/>
    <w:rsid w:val="00C5161C"/>
    <w:rsid w:val="00C52109"/>
    <w:rsid w:val="00C521B2"/>
    <w:rsid w:val="00C52BC0"/>
    <w:rsid w:val="00C52DA5"/>
    <w:rsid w:val="00C52F7D"/>
    <w:rsid w:val="00C57307"/>
    <w:rsid w:val="00C609D0"/>
    <w:rsid w:val="00C6414C"/>
    <w:rsid w:val="00C66B1B"/>
    <w:rsid w:val="00C66F80"/>
    <w:rsid w:val="00C730A5"/>
    <w:rsid w:val="00C73957"/>
    <w:rsid w:val="00C73B13"/>
    <w:rsid w:val="00C745A1"/>
    <w:rsid w:val="00C75617"/>
    <w:rsid w:val="00C77BFC"/>
    <w:rsid w:val="00C80027"/>
    <w:rsid w:val="00C80D71"/>
    <w:rsid w:val="00C81599"/>
    <w:rsid w:val="00C82373"/>
    <w:rsid w:val="00C8339E"/>
    <w:rsid w:val="00C83649"/>
    <w:rsid w:val="00C852D4"/>
    <w:rsid w:val="00C85C32"/>
    <w:rsid w:val="00C86722"/>
    <w:rsid w:val="00C8738E"/>
    <w:rsid w:val="00C876FD"/>
    <w:rsid w:val="00C901A9"/>
    <w:rsid w:val="00C91751"/>
    <w:rsid w:val="00C937D0"/>
    <w:rsid w:val="00C95600"/>
    <w:rsid w:val="00CA015E"/>
    <w:rsid w:val="00CA282E"/>
    <w:rsid w:val="00CA2A27"/>
    <w:rsid w:val="00CA2C70"/>
    <w:rsid w:val="00CA4686"/>
    <w:rsid w:val="00CA7517"/>
    <w:rsid w:val="00CB0F0F"/>
    <w:rsid w:val="00CB1E51"/>
    <w:rsid w:val="00CC0D1A"/>
    <w:rsid w:val="00CC1CFB"/>
    <w:rsid w:val="00CC22C0"/>
    <w:rsid w:val="00CC5EF3"/>
    <w:rsid w:val="00CC6C6F"/>
    <w:rsid w:val="00CD1004"/>
    <w:rsid w:val="00CD19E1"/>
    <w:rsid w:val="00CD1E2A"/>
    <w:rsid w:val="00CD4028"/>
    <w:rsid w:val="00CD4474"/>
    <w:rsid w:val="00CD4B07"/>
    <w:rsid w:val="00CD640E"/>
    <w:rsid w:val="00CD71D1"/>
    <w:rsid w:val="00CD7668"/>
    <w:rsid w:val="00CE00C1"/>
    <w:rsid w:val="00CE1161"/>
    <w:rsid w:val="00CE2064"/>
    <w:rsid w:val="00CE4690"/>
    <w:rsid w:val="00CE4ABD"/>
    <w:rsid w:val="00CF0B38"/>
    <w:rsid w:val="00CF2CC2"/>
    <w:rsid w:val="00CF400C"/>
    <w:rsid w:val="00CF4602"/>
    <w:rsid w:val="00CF4D55"/>
    <w:rsid w:val="00CF5E2D"/>
    <w:rsid w:val="00CF6FF0"/>
    <w:rsid w:val="00CF7218"/>
    <w:rsid w:val="00D03558"/>
    <w:rsid w:val="00D06231"/>
    <w:rsid w:val="00D07292"/>
    <w:rsid w:val="00D104D6"/>
    <w:rsid w:val="00D11C53"/>
    <w:rsid w:val="00D13A7B"/>
    <w:rsid w:val="00D145A7"/>
    <w:rsid w:val="00D16398"/>
    <w:rsid w:val="00D179FB"/>
    <w:rsid w:val="00D17CC5"/>
    <w:rsid w:val="00D202A0"/>
    <w:rsid w:val="00D20A10"/>
    <w:rsid w:val="00D22DE9"/>
    <w:rsid w:val="00D2523E"/>
    <w:rsid w:val="00D27E93"/>
    <w:rsid w:val="00D27F76"/>
    <w:rsid w:val="00D31CB7"/>
    <w:rsid w:val="00D33D13"/>
    <w:rsid w:val="00D33E0B"/>
    <w:rsid w:val="00D345B5"/>
    <w:rsid w:val="00D35506"/>
    <w:rsid w:val="00D35BF4"/>
    <w:rsid w:val="00D3649A"/>
    <w:rsid w:val="00D365B5"/>
    <w:rsid w:val="00D417DB"/>
    <w:rsid w:val="00D41837"/>
    <w:rsid w:val="00D42883"/>
    <w:rsid w:val="00D43595"/>
    <w:rsid w:val="00D44E4E"/>
    <w:rsid w:val="00D46106"/>
    <w:rsid w:val="00D46BB6"/>
    <w:rsid w:val="00D502E6"/>
    <w:rsid w:val="00D5110D"/>
    <w:rsid w:val="00D51D35"/>
    <w:rsid w:val="00D52F81"/>
    <w:rsid w:val="00D53B09"/>
    <w:rsid w:val="00D548B8"/>
    <w:rsid w:val="00D548EF"/>
    <w:rsid w:val="00D55B7D"/>
    <w:rsid w:val="00D607D9"/>
    <w:rsid w:val="00D630E1"/>
    <w:rsid w:val="00D65618"/>
    <w:rsid w:val="00D669A0"/>
    <w:rsid w:val="00D66F09"/>
    <w:rsid w:val="00D72665"/>
    <w:rsid w:val="00D74C00"/>
    <w:rsid w:val="00D76897"/>
    <w:rsid w:val="00D77408"/>
    <w:rsid w:val="00D800FA"/>
    <w:rsid w:val="00D81BDA"/>
    <w:rsid w:val="00D85AE2"/>
    <w:rsid w:val="00D910C9"/>
    <w:rsid w:val="00D91456"/>
    <w:rsid w:val="00D91B04"/>
    <w:rsid w:val="00D938DB"/>
    <w:rsid w:val="00D94467"/>
    <w:rsid w:val="00DA1BCA"/>
    <w:rsid w:val="00DA1EC0"/>
    <w:rsid w:val="00DA23DD"/>
    <w:rsid w:val="00DA2A22"/>
    <w:rsid w:val="00DA2FA9"/>
    <w:rsid w:val="00DA3FE8"/>
    <w:rsid w:val="00DA6FEE"/>
    <w:rsid w:val="00DB05EF"/>
    <w:rsid w:val="00DB3F78"/>
    <w:rsid w:val="00DB43F4"/>
    <w:rsid w:val="00DB4E1F"/>
    <w:rsid w:val="00DB6D22"/>
    <w:rsid w:val="00DB7522"/>
    <w:rsid w:val="00DC3616"/>
    <w:rsid w:val="00DC42B2"/>
    <w:rsid w:val="00DC49B4"/>
    <w:rsid w:val="00DC5D6E"/>
    <w:rsid w:val="00DC70CF"/>
    <w:rsid w:val="00DC73BC"/>
    <w:rsid w:val="00DD1E57"/>
    <w:rsid w:val="00DD2654"/>
    <w:rsid w:val="00DD2F96"/>
    <w:rsid w:val="00DD31A2"/>
    <w:rsid w:val="00DD4E61"/>
    <w:rsid w:val="00DD5259"/>
    <w:rsid w:val="00DD7E52"/>
    <w:rsid w:val="00DE0648"/>
    <w:rsid w:val="00DE11EE"/>
    <w:rsid w:val="00DE1628"/>
    <w:rsid w:val="00DE285D"/>
    <w:rsid w:val="00DE2A0D"/>
    <w:rsid w:val="00DE3101"/>
    <w:rsid w:val="00DE3352"/>
    <w:rsid w:val="00DE3E97"/>
    <w:rsid w:val="00DE44C8"/>
    <w:rsid w:val="00DE554B"/>
    <w:rsid w:val="00DE6EB2"/>
    <w:rsid w:val="00DE7569"/>
    <w:rsid w:val="00DF0167"/>
    <w:rsid w:val="00DF045B"/>
    <w:rsid w:val="00DF15E2"/>
    <w:rsid w:val="00DF24CF"/>
    <w:rsid w:val="00DF38BE"/>
    <w:rsid w:val="00DF4A25"/>
    <w:rsid w:val="00DF4F0E"/>
    <w:rsid w:val="00DF6FD7"/>
    <w:rsid w:val="00DF7633"/>
    <w:rsid w:val="00DF79B5"/>
    <w:rsid w:val="00E00957"/>
    <w:rsid w:val="00E024AE"/>
    <w:rsid w:val="00E042A3"/>
    <w:rsid w:val="00E05557"/>
    <w:rsid w:val="00E05563"/>
    <w:rsid w:val="00E1382B"/>
    <w:rsid w:val="00E13ED3"/>
    <w:rsid w:val="00E15E92"/>
    <w:rsid w:val="00E20B47"/>
    <w:rsid w:val="00E21309"/>
    <w:rsid w:val="00E213DA"/>
    <w:rsid w:val="00E2264E"/>
    <w:rsid w:val="00E23111"/>
    <w:rsid w:val="00E25C24"/>
    <w:rsid w:val="00E26777"/>
    <w:rsid w:val="00E272C7"/>
    <w:rsid w:val="00E27849"/>
    <w:rsid w:val="00E3407B"/>
    <w:rsid w:val="00E35198"/>
    <w:rsid w:val="00E375F6"/>
    <w:rsid w:val="00E40798"/>
    <w:rsid w:val="00E45353"/>
    <w:rsid w:val="00E4633D"/>
    <w:rsid w:val="00E50D7C"/>
    <w:rsid w:val="00E519CC"/>
    <w:rsid w:val="00E5303B"/>
    <w:rsid w:val="00E5575F"/>
    <w:rsid w:val="00E577E4"/>
    <w:rsid w:val="00E60330"/>
    <w:rsid w:val="00E671AA"/>
    <w:rsid w:val="00E70429"/>
    <w:rsid w:val="00E71280"/>
    <w:rsid w:val="00E763DB"/>
    <w:rsid w:val="00E8403D"/>
    <w:rsid w:val="00E86A03"/>
    <w:rsid w:val="00E90DD8"/>
    <w:rsid w:val="00E91171"/>
    <w:rsid w:val="00E9123E"/>
    <w:rsid w:val="00E91AB5"/>
    <w:rsid w:val="00E92DA8"/>
    <w:rsid w:val="00E93A76"/>
    <w:rsid w:val="00EA15C6"/>
    <w:rsid w:val="00EA40DA"/>
    <w:rsid w:val="00EA5B59"/>
    <w:rsid w:val="00EA6420"/>
    <w:rsid w:val="00EA6E20"/>
    <w:rsid w:val="00EB1161"/>
    <w:rsid w:val="00EB1FE6"/>
    <w:rsid w:val="00EB3114"/>
    <w:rsid w:val="00EB44EB"/>
    <w:rsid w:val="00EB5187"/>
    <w:rsid w:val="00EB7217"/>
    <w:rsid w:val="00EC1079"/>
    <w:rsid w:val="00EC10EA"/>
    <w:rsid w:val="00EC12A9"/>
    <w:rsid w:val="00EC14F9"/>
    <w:rsid w:val="00EC2196"/>
    <w:rsid w:val="00EC26F0"/>
    <w:rsid w:val="00EC358F"/>
    <w:rsid w:val="00EC6850"/>
    <w:rsid w:val="00ED03DC"/>
    <w:rsid w:val="00ED10B6"/>
    <w:rsid w:val="00ED2666"/>
    <w:rsid w:val="00ED3032"/>
    <w:rsid w:val="00ED66D1"/>
    <w:rsid w:val="00ED69C2"/>
    <w:rsid w:val="00EE0210"/>
    <w:rsid w:val="00EE23DD"/>
    <w:rsid w:val="00EE2ABC"/>
    <w:rsid w:val="00EE3138"/>
    <w:rsid w:val="00EE3A4C"/>
    <w:rsid w:val="00EE4B35"/>
    <w:rsid w:val="00EE663F"/>
    <w:rsid w:val="00EF08E0"/>
    <w:rsid w:val="00EF2B0E"/>
    <w:rsid w:val="00EF63DE"/>
    <w:rsid w:val="00EF6BB4"/>
    <w:rsid w:val="00EF6EFF"/>
    <w:rsid w:val="00EF7F5D"/>
    <w:rsid w:val="00F0043D"/>
    <w:rsid w:val="00F00D8B"/>
    <w:rsid w:val="00F01038"/>
    <w:rsid w:val="00F01348"/>
    <w:rsid w:val="00F01536"/>
    <w:rsid w:val="00F017EE"/>
    <w:rsid w:val="00F022BB"/>
    <w:rsid w:val="00F04D4B"/>
    <w:rsid w:val="00F06EBF"/>
    <w:rsid w:val="00F10244"/>
    <w:rsid w:val="00F1159A"/>
    <w:rsid w:val="00F139E1"/>
    <w:rsid w:val="00F14551"/>
    <w:rsid w:val="00F2143D"/>
    <w:rsid w:val="00F23AD8"/>
    <w:rsid w:val="00F24030"/>
    <w:rsid w:val="00F25863"/>
    <w:rsid w:val="00F2599B"/>
    <w:rsid w:val="00F25FC9"/>
    <w:rsid w:val="00F261ED"/>
    <w:rsid w:val="00F27032"/>
    <w:rsid w:val="00F27211"/>
    <w:rsid w:val="00F3119B"/>
    <w:rsid w:val="00F318CC"/>
    <w:rsid w:val="00F31F01"/>
    <w:rsid w:val="00F324FF"/>
    <w:rsid w:val="00F34982"/>
    <w:rsid w:val="00F34B09"/>
    <w:rsid w:val="00F374B8"/>
    <w:rsid w:val="00F4029D"/>
    <w:rsid w:val="00F414D4"/>
    <w:rsid w:val="00F44EC8"/>
    <w:rsid w:val="00F45A43"/>
    <w:rsid w:val="00F465D4"/>
    <w:rsid w:val="00F46AF3"/>
    <w:rsid w:val="00F51A5F"/>
    <w:rsid w:val="00F51E11"/>
    <w:rsid w:val="00F5350B"/>
    <w:rsid w:val="00F53BA1"/>
    <w:rsid w:val="00F553C8"/>
    <w:rsid w:val="00F555FD"/>
    <w:rsid w:val="00F5714F"/>
    <w:rsid w:val="00F57442"/>
    <w:rsid w:val="00F619C7"/>
    <w:rsid w:val="00F6241D"/>
    <w:rsid w:val="00F6567F"/>
    <w:rsid w:val="00F661AE"/>
    <w:rsid w:val="00F66D2D"/>
    <w:rsid w:val="00F677C3"/>
    <w:rsid w:val="00F701E0"/>
    <w:rsid w:val="00F731F4"/>
    <w:rsid w:val="00F743AC"/>
    <w:rsid w:val="00F7652D"/>
    <w:rsid w:val="00F80B9E"/>
    <w:rsid w:val="00F80D16"/>
    <w:rsid w:val="00F80DE7"/>
    <w:rsid w:val="00F80E2A"/>
    <w:rsid w:val="00F80F69"/>
    <w:rsid w:val="00F81A60"/>
    <w:rsid w:val="00F81DAA"/>
    <w:rsid w:val="00F82051"/>
    <w:rsid w:val="00F8271C"/>
    <w:rsid w:val="00F828E5"/>
    <w:rsid w:val="00F82CE1"/>
    <w:rsid w:val="00F86510"/>
    <w:rsid w:val="00F90304"/>
    <w:rsid w:val="00F912FD"/>
    <w:rsid w:val="00F92727"/>
    <w:rsid w:val="00F93A1D"/>
    <w:rsid w:val="00F94085"/>
    <w:rsid w:val="00F960B4"/>
    <w:rsid w:val="00FA209B"/>
    <w:rsid w:val="00FA3F04"/>
    <w:rsid w:val="00FA7927"/>
    <w:rsid w:val="00FB0399"/>
    <w:rsid w:val="00FB0BA8"/>
    <w:rsid w:val="00FB1E04"/>
    <w:rsid w:val="00FB31D6"/>
    <w:rsid w:val="00FB3924"/>
    <w:rsid w:val="00FB3D8B"/>
    <w:rsid w:val="00FB5554"/>
    <w:rsid w:val="00FB71C5"/>
    <w:rsid w:val="00FC073D"/>
    <w:rsid w:val="00FC1034"/>
    <w:rsid w:val="00FC1ABA"/>
    <w:rsid w:val="00FC25EA"/>
    <w:rsid w:val="00FC3D3C"/>
    <w:rsid w:val="00FC745C"/>
    <w:rsid w:val="00FC7FCE"/>
    <w:rsid w:val="00FD238F"/>
    <w:rsid w:val="00FD2709"/>
    <w:rsid w:val="00FD3895"/>
    <w:rsid w:val="00FD438C"/>
    <w:rsid w:val="00FD4398"/>
    <w:rsid w:val="00FD6604"/>
    <w:rsid w:val="00FD7670"/>
    <w:rsid w:val="00FE26C6"/>
    <w:rsid w:val="00FE74AD"/>
    <w:rsid w:val="00FF1194"/>
    <w:rsid w:val="00FF2AF4"/>
    <w:rsid w:val="00FF6E7C"/>
    <w:rsid w:val="00FF74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D6EE6B"/>
  <w14:defaultImageDpi w14:val="32767"/>
  <w15:docId w15:val="{3AA17D8D-4D27-4940-8E87-8E05389D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F4"/>
  </w:style>
  <w:style w:type="paragraph" w:styleId="Heading1">
    <w:name w:val="heading 1"/>
    <w:basedOn w:val="Normal"/>
    <w:next w:val="Normal"/>
    <w:link w:val="Heading1Char"/>
    <w:uiPriority w:val="9"/>
    <w:qFormat/>
    <w:rsid w:val="00FF2AF4"/>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F2AF4"/>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FF2AF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FF2AF4"/>
    <w:pPr>
      <w:spacing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FF2AF4"/>
    <w:pPr>
      <w:spacing w:line="271" w:lineRule="auto"/>
      <w:outlineLvl w:val="4"/>
    </w:pPr>
    <w:rPr>
      <w:i/>
      <w:iCs/>
      <w:sz w:val="24"/>
      <w:szCs w:val="24"/>
    </w:rPr>
  </w:style>
  <w:style w:type="paragraph" w:styleId="Heading6">
    <w:name w:val="heading 6"/>
    <w:basedOn w:val="Normal"/>
    <w:next w:val="Normal"/>
    <w:link w:val="Heading6Char"/>
    <w:uiPriority w:val="9"/>
    <w:unhideWhenUsed/>
    <w:qFormat/>
    <w:rsid w:val="00FF2AF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FF2AF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F2AF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F2AF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F4"/>
    <w:rPr>
      <w:smallCaps/>
      <w:spacing w:val="5"/>
      <w:sz w:val="36"/>
      <w:szCs w:val="36"/>
    </w:rPr>
  </w:style>
  <w:style w:type="paragraph" w:styleId="TOCHeading">
    <w:name w:val="TOC Heading"/>
    <w:basedOn w:val="Heading1"/>
    <w:next w:val="Normal"/>
    <w:uiPriority w:val="39"/>
    <w:unhideWhenUsed/>
    <w:qFormat/>
    <w:rsid w:val="00FF2AF4"/>
    <w:pPr>
      <w:outlineLvl w:val="9"/>
    </w:pPr>
  </w:style>
  <w:style w:type="paragraph" w:styleId="TOC1">
    <w:name w:val="toc 1"/>
    <w:basedOn w:val="Normal"/>
    <w:next w:val="Normal"/>
    <w:autoRedefine/>
    <w:uiPriority w:val="39"/>
    <w:unhideWhenUsed/>
    <w:rsid w:val="00600AC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600ACB"/>
    <w:pPr>
      <w:spacing w:before="120"/>
      <w:ind w:left="220"/>
    </w:pPr>
    <w:rPr>
      <w:rFonts w:asciiTheme="minorHAnsi" w:hAnsiTheme="minorHAnsi"/>
      <w:b/>
      <w:bCs/>
    </w:rPr>
  </w:style>
  <w:style w:type="paragraph" w:styleId="TOC3">
    <w:name w:val="toc 3"/>
    <w:basedOn w:val="Normal"/>
    <w:next w:val="Normal"/>
    <w:autoRedefine/>
    <w:uiPriority w:val="39"/>
    <w:unhideWhenUsed/>
    <w:rsid w:val="00600AC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00AC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00AC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00AC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00AC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00AC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00ACB"/>
    <w:pPr>
      <w:ind w:left="1760"/>
    </w:pPr>
    <w:rPr>
      <w:rFonts w:asciiTheme="minorHAnsi" w:hAnsiTheme="minorHAnsi"/>
      <w:sz w:val="20"/>
      <w:szCs w:val="20"/>
    </w:rPr>
  </w:style>
  <w:style w:type="paragraph" w:styleId="ListParagraph">
    <w:name w:val="List Paragraph"/>
    <w:basedOn w:val="Normal"/>
    <w:uiPriority w:val="34"/>
    <w:qFormat/>
    <w:rsid w:val="00FF2AF4"/>
    <w:pPr>
      <w:ind w:left="720"/>
      <w:contextualSpacing/>
    </w:pPr>
  </w:style>
  <w:style w:type="paragraph" w:styleId="NormalWeb">
    <w:name w:val="Normal (Web)"/>
    <w:basedOn w:val="Normal"/>
    <w:uiPriority w:val="99"/>
    <w:unhideWhenUsed/>
    <w:rsid w:val="00691044"/>
    <w:pPr>
      <w:spacing w:before="100" w:beforeAutospacing="1" w:after="100" w:afterAutospacing="1"/>
    </w:pPr>
    <w:rPr>
      <w:rFonts w:ascii="Times New Roman" w:eastAsia="Times New Roman" w:hAnsi="Times New Roman" w:cs="Times New Roman"/>
      <w:lang w:val="it-IT"/>
    </w:rPr>
  </w:style>
  <w:style w:type="character" w:customStyle="1" w:styleId="Heading2Char">
    <w:name w:val="Heading 2 Char"/>
    <w:basedOn w:val="DefaultParagraphFont"/>
    <w:link w:val="Heading2"/>
    <w:uiPriority w:val="9"/>
    <w:rsid w:val="00FF2AF4"/>
    <w:rPr>
      <w:smallCaps/>
      <w:sz w:val="28"/>
      <w:szCs w:val="28"/>
    </w:rPr>
  </w:style>
  <w:style w:type="character" w:customStyle="1" w:styleId="Heading3Char">
    <w:name w:val="Heading 3 Char"/>
    <w:basedOn w:val="DefaultParagraphFont"/>
    <w:link w:val="Heading3"/>
    <w:uiPriority w:val="9"/>
    <w:rsid w:val="00FF2AF4"/>
    <w:rPr>
      <w:i/>
      <w:iCs/>
      <w:smallCaps/>
      <w:spacing w:val="5"/>
      <w:sz w:val="26"/>
      <w:szCs w:val="26"/>
    </w:rPr>
  </w:style>
  <w:style w:type="character" w:customStyle="1" w:styleId="Heading4Char">
    <w:name w:val="Heading 4 Char"/>
    <w:basedOn w:val="DefaultParagraphFont"/>
    <w:link w:val="Heading4"/>
    <w:uiPriority w:val="9"/>
    <w:rsid w:val="00FF2AF4"/>
    <w:rPr>
      <w:b/>
      <w:bCs/>
      <w:spacing w:val="5"/>
      <w:sz w:val="24"/>
      <w:szCs w:val="24"/>
    </w:rPr>
  </w:style>
  <w:style w:type="character" w:customStyle="1" w:styleId="Heading5Char">
    <w:name w:val="Heading 5 Char"/>
    <w:basedOn w:val="DefaultParagraphFont"/>
    <w:link w:val="Heading5"/>
    <w:uiPriority w:val="9"/>
    <w:rsid w:val="00FF2AF4"/>
    <w:rPr>
      <w:i/>
      <w:iCs/>
      <w:sz w:val="24"/>
      <w:szCs w:val="24"/>
    </w:rPr>
  </w:style>
  <w:style w:type="character" w:customStyle="1" w:styleId="Heading6Char">
    <w:name w:val="Heading 6 Char"/>
    <w:basedOn w:val="DefaultParagraphFont"/>
    <w:link w:val="Heading6"/>
    <w:uiPriority w:val="9"/>
    <w:rsid w:val="00FF2AF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FF2AF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F2AF4"/>
    <w:rPr>
      <w:b/>
      <w:bCs/>
      <w:color w:val="7F7F7F" w:themeColor="text1" w:themeTint="80"/>
      <w:sz w:val="20"/>
      <w:szCs w:val="20"/>
    </w:rPr>
  </w:style>
  <w:style w:type="character" w:customStyle="1" w:styleId="Heading9Char">
    <w:name w:val="Heading 9 Char"/>
    <w:basedOn w:val="DefaultParagraphFont"/>
    <w:link w:val="Heading9"/>
    <w:uiPriority w:val="9"/>
    <w:semiHidden/>
    <w:rsid w:val="00FF2AF4"/>
    <w:rPr>
      <w:b/>
      <w:bCs/>
      <w:i/>
      <w:iCs/>
      <w:color w:val="7F7F7F" w:themeColor="text1" w:themeTint="80"/>
      <w:sz w:val="18"/>
      <w:szCs w:val="18"/>
    </w:rPr>
  </w:style>
  <w:style w:type="paragraph" w:styleId="Caption">
    <w:name w:val="caption"/>
    <w:basedOn w:val="Normal"/>
    <w:next w:val="Normal"/>
    <w:uiPriority w:val="35"/>
    <w:unhideWhenUsed/>
    <w:rsid w:val="00FF2AF4"/>
    <w:rPr>
      <w:b/>
      <w:bCs/>
      <w:caps/>
      <w:sz w:val="16"/>
      <w:szCs w:val="18"/>
    </w:rPr>
  </w:style>
  <w:style w:type="paragraph" w:styleId="Title">
    <w:name w:val="Title"/>
    <w:basedOn w:val="Normal"/>
    <w:next w:val="Normal"/>
    <w:link w:val="TitleChar"/>
    <w:uiPriority w:val="10"/>
    <w:qFormat/>
    <w:rsid w:val="00FF2AF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F2AF4"/>
    <w:rPr>
      <w:smallCaps/>
      <w:sz w:val="52"/>
      <w:szCs w:val="52"/>
    </w:rPr>
  </w:style>
  <w:style w:type="paragraph" w:styleId="Subtitle">
    <w:name w:val="Subtitle"/>
    <w:basedOn w:val="Normal"/>
    <w:next w:val="Normal"/>
    <w:link w:val="SubtitleChar"/>
    <w:uiPriority w:val="11"/>
    <w:qFormat/>
    <w:rsid w:val="00FF2AF4"/>
    <w:rPr>
      <w:i/>
      <w:iCs/>
      <w:smallCaps/>
      <w:spacing w:val="10"/>
      <w:sz w:val="28"/>
      <w:szCs w:val="28"/>
    </w:rPr>
  </w:style>
  <w:style w:type="character" w:customStyle="1" w:styleId="SubtitleChar">
    <w:name w:val="Subtitle Char"/>
    <w:basedOn w:val="DefaultParagraphFont"/>
    <w:link w:val="Subtitle"/>
    <w:uiPriority w:val="11"/>
    <w:rsid w:val="00FF2AF4"/>
    <w:rPr>
      <w:i/>
      <w:iCs/>
      <w:smallCaps/>
      <w:spacing w:val="10"/>
      <w:sz w:val="28"/>
      <w:szCs w:val="28"/>
    </w:rPr>
  </w:style>
  <w:style w:type="character" w:styleId="Strong">
    <w:name w:val="Strong"/>
    <w:uiPriority w:val="22"/>
    <w:qFormat/>
    <w:rsid w:val="00FF2AF4"/>
    <w:rPr>
      <w:b/>
      <w:bCs/>
    </w:rPr>
  </w:style>
  <w:style w:type="character" w:styleId="Emphasis">
    <w:name w:val="Emphasis"/>
    <w:uiPriority w:val="20"/>
    <w:qFormat/>
    <w:rsid w:val="00FF2AF4"/>
    <w:rPr>
      <w:b/>
      <w:bCs/>
      <w:i/>
      <w:iCs/>
      <w:spacing w:val="10"/>
    </w:rPr>
  </w:style>
  <w:style w:type="paragraph" w:styleId="NoSpacing">
    <w:name w:val="No Spacing"/>
    <w:basedOn w:val="Normal"/>
    <w:link w:val="NoSpacingChar"/>
    <w:uiPriority w:val="1"/>
    <w:qFormat/>
    <w:rsid w:val="00FF2AF4"/>
    <w:pPr>
      <w:spacing w:line="240" w:lineRule="auto"/>
    </w:pPr>
  </w:style>
  <w:style w:type="character" w:customStyle="1" w:styleId="NoSpacingChar">
    <w:name w:val="No Spacing Char"/>
    <w:basedOn w:val="DefaultParagraphFont"/>
    <w:link w:val="NoSpacing"/>
    <w:uiPriority w:val="1"/>
    <w:rsid w:val="00FF2AF4"/>
  </w:style>
  <w:style w:type="paragraph" w:styleId="Quote">
    <w:name w:val="Quote"/>
    <w:basedOn w:val="Normal"/>
    <w:next w:val="Normal"/>
    <w:link w:val="QuoteChar"/>
    <w:uiPriority w:val="29"/>
    <w:qFormat/>
    <w:rsid w:val="00FF2AF4"/>
    <w:rPr>
      <w:i/>
      <w:iCs/>
    </w:rPr>
  </w:style>
  <w:style w:type="character" w:customStyle="1" w:styleId="QuoteChar">
    <w:name w:val="Quote Char"/>
    <w:basedOn w:val="DefaultParagraphFont"/>
    <w:link w:val="Quote"/>
    <w:uiPriority w:val="29"/>
    <w:rsid w:val="00FF2AF4"/>
    <w:rPr>
      <w:i/>
      <w:iCs/>
    </w:rPr>
  </w:style>
  <w:style w:type="paragraph" w:styleId="IntenseQuote">
    <w:name w:val="Intense Quote"/>
    <w:basedOn w:val="Normal"/>
    <w:next w:val="Normal"/>
    <w:link w:val="IntenseQuoteChar"/>
    <w:uiPriority w:val="30"/>
    <w:qFormat/>
    <w:rsid w:val="00FF2AF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F2AF4"/>
    <w:rPr>
      <w:i/>
      <w:iCs/>
    </w:rPr>
  </w:style>
  <w:style w:type="character" w:styleId="SubtleEmphasis">
    <w:name w:val="Subtle Emphasis"/>
    <w:uiPriority w:val="19"/>
    <w:qFormat/>
    <w:rsid w:val="00FF2AF4"/>
    <w:rPr>
      <w:i/>
      <w:iCs/>
    </w:rPr>
  </w:style>
  <w:style w:type="character" w:styleId="IntenseEmphasis">
    <w:name w:val="Intense Emphasis"/>
    <w:uiPriority w:val="21"/>
    <w:qFormat/>
    <w:rsid w:val="00FF2AF4"/>
    <w:rPr>
      <w:b/>
      <w:bCs/>
      <w:i/>
      <w:iCs/>
    </w:rPr>
  </w:style>
  <w:style w:type="character" w:styleId="SubtleReference">
    <w:name w:val="Subtle Reference"/>
    <w:basedOn w:val="DefaultParagraphFont"/>
    <w:uiPriority w:val="31"/>
    <w:qFormat/>
    <w:rsid w:val="00FF2AF4"/>
    <w:rPr>
      <w:smallCaps/>
    </w:rPr>
  </w:style>
  <w:style w:type="character" w:styleId="IntenseReference">
    <w:name w:val="Intense Reference"/>
    <w:uiPriority w:val="32"/>
    <w:qFormat/>
    <w:rsid w:val="00FF2AF4"/>
    <w:rPr>
      <w:b/>
      <w:bCs/>
      <w:smallCaps/>
    </w:rPr>
  </w:style>
  <w:style w:type="character" w:styleId="BookTitle">
    <w:name w:val="Book Title"/>
    <w:basedOn w:val="DefaultParagraphFont"/>
    <w:uiPriority w:val="33"/>
    <w:qFormat/>
    <w:rsid w:val="00FF2AF4"/>
    <w:rPr>
      <w:i/>
      <w:iCs/>
      <w:smallCaps/>
      <w:spacing w:val="5"/>
    </w:rPr>
  </w:style>
  <w:style w:type="paragraph" w:styleId="Header">
    <w:name w:val="header"/>
    <w:basedOn w:val="Normal"/>
    <w:link w:val="HeaderChar"/>
    <w:uiPriority w:val="99"/>
    <w:unhideWhenUsed/>
    <w:rsid w:val="00AB763C"/>
    <w:pPr>
      <w:tabs>
        <w:tab w:val="center" w:pos="4819"/>
        <w:tab w:val="right" w:pos="9638"/>
      </w:tabs>
      <w:spacing w:line="240" w:lineRule="auto"/>
    </w:pPr>
  </w:style>
  <w:style w:type="character" w:customStyle="1" w:styleId="HeaderChar">
    <w:name w:val="Header Char"/>
    <w:basedOn w:val="DefaultParagraphFont"/>
    <w:link w:val="Header"/>
    <w:uiPriority w:val="99"/>
    <w:rsid w:val="00AB763C"/>
  </w:style>
  <w:style w:type="paragraph" w:styleId="Footer">
    <w:name w:val="footer"/>
    <w:basedOn w:val="Normal"/>
    <w:link w:val="FooterChar"/>
    <w:uiPriority w:val="99"/>
    <w:unhideWhenUsed/>
    <w:rsid w:val="00AB763C"/>
    <w:pPr>
      <w:tabs>
        <w:tab w:val="center" w:pos="4819"/>
        <w:tab w:val="right" w:pos="9638"/>
      </w:tabs>
      <w:spacing w:line="240" w:lineRule="auto"/>
    </w:pPr>
  </w:style>
  <w:style w:type="character" w:customStyle="1" w:styleId="FooterChar">
    <w:name w:val="Footer Char"/>
    <w:basedOn w:val="DefaultParagraphFont"/>
    <w:link w:val="Footer"/>
    <w:uiPriority w:val="99"/>
    <w:rsid w:val="00AB763C"/>
  </w:style>
  <w:style w:type="character" w:styleId="Hyperlink">
    <w:name w:val="Hyperlink"/>
    <w:basedOn w:val="DefaultParagraphFont"/>
    <w:uiPriority w:val="99"/>
    <w:unhideWhenUsed/>
    <w:rsid w:val="00440F33"/>
    <w:rPr>
      <w:color w:val="FFAE3E" w:themeColor="hyperlink"/>
      <w:u w:val="single"/>
    </w:rPr>
  </w:style>
  <w:style w:type="character" w:styleId="PlaceholderText">
    <w:name w:val="Placeholder Text"/>
    <w:basedOn w:val="DefaultParagraphFont"/>
    <w:uiPriority w:val="99"/>
    <w:semiHidden/>
    <w:rsid w:val="00A05792"/>
    <w:rPr>
      <w:color w:val="808080"/>
    </w:rPr>
  </w:style>
  <w:style w:type="paragraph" w:styleId="BalloonText">
    <w:name w:val="Balloon Text"/>
    <w:basedOn w:val="Normal"/>
    <w:link w:val="BalloonTextChar"/>
    <w:uiPriority w:val="99"/>
    <w:semiHidden/>
    <w:unhideWhenUsed/>
    <w:rsid w:val="0015209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52090"/>
    <w:rPr>
      <w:rFonts w:ascii="Lucida Grande" w:hAnsi="Lucida Grande"/>
      <w:sz w:val="18"/>
      <w:szCs w:val="18"/>
    </w:rPr>
  </w:style>
  <w:style w:type="table" w:styleId="TableGrid">
    <w:name w:val="Table Grid"/>
    <w:basedOn w:val="TableNormal"/>
    <w:uiPriority w:val="59"/>
    <w:rsid w:val="00985DE1"/>
    <w:pPr>
      <w:spacing w:line="240" w:lineRule="auto"/>
    </w:pPr>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E18FD"/>
  </w:style>
  <w:style w:type="paragraph" w:styleId="Bibliography">
    <w:name w:val="Bibliography"/>
    <w:basedOn w:val="Normal"/>
    <w:next w:val="Normal"/>
    <w:uiPriority w:val="37"/>
    <w:unhideWhenUsed/>
    <w:rsid w:val="0083142B"/>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5206">
      <w:bodyDiv w:val="1"/>
      <w:marLeft w:val="0"/>
      <w:marRight w:val="0"/>
      <w:marTop w:val="0"/>
      <w:marBottom w:val="0"/>
      <w:divBdr>
        <w:top w:val="none" w:sz="0" w:space="0" w:color="auto"/>
        <w:left w:val="none" w:sz="0" w:space="0" w:color="auto"/>
        <w:bottom w:val="none" w:sz="0" w:space="0" w:color="auto"/>
        <w:right w:val="none" w:sz="0" w:space="0" w:color="auto"/>
      </w:divBdr>
    </w:div>
    <w:div w:id="98985856">
      <w:bodyDiv w:val="1"/>
      <w:marLeft w:val="0"/>
      <w:marRight w:val="0"/>
      <w:marTop w:val="0"/>
      <w:marBottom w:val="0"/>
      <w:divBdr>
        <w:top w:val="none" w:sz="0" w:space="0" w:color="auto"/>
        <w:left w:val="none" w:sz="0" w:space="0" w:color="auto"/>
        <w:bottom w:val="none" w:sz="0" w:space="0" w:color="auto"/>
        <w:right w:val="none" w:sz="0" w:space="0" w:color="auto"/>
      </w:divBdr>
    </w:div>
    <w:div w:id="115610756">
      <w:bodyDiv w:val="1"/>
      <w:marLeft w:val="0"/>
      <w:marRight w:val="0"/>
      <w:marTop w:val="0"/>
      <w:marBottom w:val="0"/>
      <w:divBdr>
        <w:top w:val="none" w:sz="0" w:space="0" w:color="auto"/>
        <w:left w:val="none" w:sz="0" w:space="0" w:color="auto"/>
        <w:bottom w:val="none" w:sz="0" w:space="0" w:color="auto"/>
        <w:right w:val="none" w:sz="0" w:space="0" w:color="auto"/>
      </w:divBdr>
    </w:div>
    <w:div w:id="131100254">
      <w:bodyDiv w:val="1"/>
      <w:marLeft w:val="0"/>
      <w:marRight w:val="0"/>
      <w:marTop w:val="0"/>
      <w:marBottom w:val="0"/>
      <w:divBdr>
        <w:top w:val="none" w:sz="0" w:space="0" w:color="auto"/>
        <w:left w:val="none" w:sz="0" w:space="0" w:color="auto"/>
        <w:bottom w:val="none" w:sz="0" w:space="0" w:color="auto"/>
        <w:right w:val="none" w:sz="0" w:space="0" w:color="auto"/>
      </w:divBdr>
      <w:divsChild>
        <w:div w:id="644235779">
          <w:marLeft w:val="0"/>
          <w:marRight w:val="0"/>
          <w:marTop w:val="0"/>
          <w:marBottom w:val="0"/>
          <w:divBdr>
            <w:top w:val="none" w:sz="0" w:space="0" w:color="auto"/>
            <w:left w:val="none" w:sz="0" w:space="0" w:color="auto"/>
            <w:bottom w:val="none" w:sz="0" w:space="0" w:color="auto"/>
            <w:right w:val="none" w:sz="0" w:space="0" w:color="auto"/>
          </w:divBdr>
          <w:divsChild>
            <w:div w:id="440540677">
              <w:marLeft w:val="0"/>
              <w:marRight w:val="0"/>
              <w:marTop w:val="0"/>
              <w:marBottom w:val="0"/>
              <w:divBdr>
                <w:top w:val="none" w:sz="0" w:space="0" w:color="auto"/>
                <w:left w:val="none" w:sz="0" w:space="0" w:color="auto"/>
                <w:bottom w:val="none" w:sz="0" w:space="0" w:color="auto"/>
                <w:right w:val="none" w:sz="0" w:space="0" w:color="auto"/>
              </w:divBdr>
              <w:divsChild>
                <w:div w:id="6114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790">
      <w:bodyDiv w:val="1"/>
      <w:marLeft w:val="0"/>
      <w:marRight w:val="0"/>
      <w:marTop w:val="0"/>
      <w:marBottom w:val="0"/>
      <w:divBdr>
        <w:top w:val="none" w:sz="0" w:space="0" w:color="auto"/>
        <w:left w:val="none" w:sz="0" w:space="0" w:color="auto"/>
        <w:bottom w:val="none" w:sz="0" w:space="0" w:color="auto"/>
        <w:right w:val="none" w:sz="0" w:space="0" w:color="auto"/>
      </w:divBdr>
      <w:divsChild>
        <w:div w:id="1078748240">
          <w:marLeft w:val="0"/>
          <w:marRight w:val="0"/>
          <w:marTop w:val="0"/>
          <w:marBottom w:val="0"/>
          <w:divBdr>
            <w:top w:val="none" w:sz="0" w:space="0" w:color="auto"/>
            <w:left w:val="none" w:sz="0" w:space="0" w:color="auto"/>
            <w:bottom w:val="none" w:sz="0" w:space="0" w:color="auto"/>
            <w:right w:val="none" w:sz="0" w:space="0" w:color="auto"/>
          </w:divBdr>
          <w:divsChild>
            <w:div w:id="1312099354">
              <w:marLeft w:val="0"/>
              <w:marRight w:val="0"/>
              <w:marTop w:val="0"/>
              <w:marBottom w:val="0"/>
              <w:divBdr>
                <w:top w:val="none" w:sz="0" w:space="0" w:color="auto"/>
                <w:left w:val="none" w:sz="0" w:space="0" w:color="auto"/>
                <w:bottom w:val="none" w:sz="0" w:space="0" w:color="auto"/>
                <w:right w:val="none" w:sz="0" w:space="0" w:color="auto"/>
              </w:divBdr>
              <w:divsChild>
                <w:div w:id="408381693">
                  <w:marLeft w:val="0"/>
                  <w:marRight w:val="0"/>
                  <w:marTop w:val="0"/>
                  <w:marBottom w:val="0"/>
                  <w:divBdr>
                    <w:top w:val="none" w:sz="0" w:space="0" w:color="auto"/>
                    <w:left w:val="none" w:sz="0" w:space="0" w:color="auto"/>
                    <w:bottom w:val="none" w:sz="0" w:space="0" w:color="auto"/>
                    <w:right w:val="none" w:sz="0" w:space="0" w:color="auto"/>
                  </w:divBdr>
                  <w:divsChild>
                    <w:div w:id="13308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0648">
      <w:bodyDiv w:val="1"/>
      <w:marLeft w:val="0"/>
      <w:marRight w:val="0"/>
      <w:marTop w:val="0"/>
      <w:marBottom w:val="0"/>
      <w:divBdr>
        <w:top w:val="none" w:sz="0" w:space="0" w:color="auto"/>
        <w:left w:val="none" w:sz="0" w:space="0" w:color="auto"/>
        <w:bottom w:val="none" w:sz="0" w:space="0" w:color="auto"/>
        <w:right w:val="none" w:sz="0" w:space="0" w:color="auto"/>
      </w:divBdr>
    </w:div>
    <w:div w:id="256253202">
      <w:bodyDiv w:val="1"/>
      <w:marLeft w:val="0"/>
      <w:marRight w:val="0"/>
      <w:marTop w:val="0"/>
      <w:marBottom w:val="0"/>
      <w:divBdr>
        <w:top w:val="none" w:sz="0" w:space="0" w:color="auto"/>
        <w:left w:val="none" w:sz="0" w:space="0" w:color="auto"/>
        <w:bottom w:val="none" w:sz="0" w:space="0" w:color="auto"/>
        <w:right w:val="none" w:sz="0" w:space="0" w:color="auto"/>
      </w:divBdr>
    </w:div>
    <w:div w:id="267808907">
      <w:bodyDiv w:val="1"/>
      <w:marLeft w:val="0"/>
      <w:marRight w:val="0"/>
      <w:marTop w:val="0"/>
      <w:marBottom w:val="0"/>
      <w:divBdr>
        <w:top w:val="none" w:sz="0" w:space="0" w:color="auto"/>
        <w:left w:val="none" w:sz="0" w:space="0" w:color="auto"/>
        <w:bottom w:val="none" w:sz="0" w:space="0" w:color="auto"/>
        <w:right w:val="none" w:sz="0" w:space="0" w:color="auto"/>
      </w:divBdr>
    </w:div>
    <w:div w:id="360712698">
      <w:bodyDiv w:val="1"/>
      <w:marLeft w:val="0"/>
      <w:marRight w:val="0"/>
      <w:marTop w:val="0"/>
      <w:marBottom w:val="0"/>
      <w:divBdr>
        <w:top w:val="none" w:sz="0" w:space="0" w:color="auto"/>
        <w:left w:val="none" w:sz="0" w:space="0" w:color="auto"/>
        <w:bottom w:val="none" w:sz="0" w:space="0" w:color="auto"/>
        <w:right w:val="none" w:sz="0" w:space="0" w:color="auto"/>
      </w:divBdr>
      <w:divsChild>
        <w:div w:id="2012755822">
          <w:marLeft w:val="0"/>
          <w:marRight w:val="0"/>
          <w:marTop w:val="0"/>
          <w:marBottom w:val="0"/>
          <w:divBdr>
            <w:top w:val="none" w:sz="0" w:space="0" w:color="auto"/>
            <w:left w:val="none" w:sz="0" w:space="0" w:color="auto"/>
            <w:bottom w:val="none" w:sz="0" w:space="0" w:color="auto"/>
            <w:right w:val="none" w:sz="0" w:space="0" w:color="auto"/>
          </w:divBdr>
          <w:divsChild>
            <w:div w:id="1941257607">
              <w:marLeft w:val="0"/>
              <w:marRight w:val="0"/>
              <w:marTop w:val="0"/>
              <w:marBottom w:val="0"/>
              <w:divBdr>
                <w:top w:val="none" w:sz="0" w:space="0" w:color="auto"/>
                <w:left w:val="none" w:sz="0" w:space="0" w:color="auto"/>
                <w:bottom w:val="none" w:sz="0" w:space="0" w:color="auto"/>
                <w:right w:val="none" w:sz="0" w:space="0" w:color="auto"/>
              </w:divBdr>
              <w:divsChild>
                <w:div w:id="214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2395">
      <w:bodyDiv w:val="1"/>
      <w:marLeft w:val="0"/>
      <w:marRight w:val="0"/>
      <w:marTop w:val="0"/>
      <w:marBottom w:val="0"/>
      <w:divBdr>
        <w:top w:val="none" w:sz="0" w:space="0" w:color="auto"/>
        <w:left w:val="none" w:sz="0" w:space="0" w:color="auto"/>
        <w:bottom w:val="none" w:sz="0" w:space="0" w:color="auto"/>
        <w:right w:val="none" w:sz="0" w:space="0" w:color="auto"/>
      </w:divBdr>
    </w:div>
    <w:div w:id="468129327">
      <w:bodyDiv w:val="1"/>
      <w:marLeft w:val="0"/>
      <w:marRight w:val="0"/>
      <w:marTop w:val="0"/>
      <w:marBottom w:val="0"/>
      <w:divBdr>
        <w:top w:val="none" w:sz="0" w:space="0" w:color="auto"/>
        <w:left w:val="none" w:sz="0" w:space="0" w:color="auto"/>
        <w:bottom w:val="none" w:sz="0" w:space="0" w:color="auto"/>
        <w:right w:val="none" w:sz="0" w:space="0" w:color="auto"/>
      </w:divBdr>
      <w:divsChild>
        <w:div w:id="1340615684">
          <w:marLeft w:val="0"/>
          <w:marRight w:val="0"/>
          <w:marTop w:val="0"/>
          <w:marBottom w:val="0"/>
          <w:divBdr>
            <w:top w:val="none" w:sz="0" w:space="0" w:color="auto"/>
            <w:left w:val="none" w:sz="0" w:space="0" w:color="auto"/>
            <w:bottom w:val="none" w:sz="0" w:space="0" w:color="auto"/>
            <w:right w:val="none" w:sz="0" w:space="0" w:color="auto"/>
          </w:divBdr>
          <w:divsChild>
            <w:div w:id="2089840900">
              <w:marLeft w:val="0"/>
              <w:marRight w:val="0"/>
              <w:marTop w:val="0"/>
              <w:marBottom w:val="0"/>
              <w:divBdr>
                <w:top w:val="none" w:sz="0" w:space="0" w:color="auto"/>
                <w:left w:val="none" w:sz="0" w:space="0" w:color="auto"/>
                <w:bottom w:val="none" w:sz="0" w:space="0" w:color="auto"/>
                <w:right w:val="none" w:sz="0" w:space="0" w:color="auto"/>
              </w:divBdr>
              <w:divsChild>
                <w:div w:id="165873027">
                  <w:marLeft w:val="0"/>
                  <w:marRight w:val="0"/>
                  <w:marTop w:val="0"/>
                  <w:marBottom w:val="0"/>
                  <w:divBdr>
                    <w:top w:val="none" w:sz="0" w:space="0" w:color="auto"/>
                    <w:left w:val="none" w:sz="0" w:space="0" w:color="auto"/>
                    <w:bottom w:val="none" w:sz="0" w:space="0" w:color="auto"/>
                    <w:right w:val="none" w:sz="0" w:space="0" w:color="auto"/>
                  </w:divBdr>
                  <w:divsChild>
                    <w:div w:id="12077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27381">
      <w:bodyDiv w:val="1"/>
      <w:marLeft w:val="0"/>
      <w:marRight w:val="0"/>
      <w:marTop w:val="0"/>
      <w:marBottom w:val="0"/>
      <w:divBdr>
        <w:top w:val="none" w:sz="0" w:space="0" w:color="auto"/>
        <w:left w:val="none" w:sz="0" w:space="0" w:color="auto"/>
        <w:bottom w:val="none" w:sz="0" w:space="0" w:color="auto"/>
        <w:right w:val="none" w:sz="0" w:space="0" w:color="auto"/>
      </w:divBdr>
    </w:div>
    <w:div w:id="663163980">
      <w:bodyDiv w:val="1"/>
      <w:marLeft w:val="0"/>
      <w:marRight w:val="0"/>
      <w:marTop w:val="0"/>
      <w:marBottom w:val="0"/>
      <w:divBdr>
        <w:top w:val="none" w:sz="0" w:space="0" w:color="auto"/>
        <w:left w:val="none" w:sz="0" w:space="0" w:color="auto"/>
        <w:bottom w:val="none" w:sz="0" w:space="0" w:color="auto"/>
        <w:right w:val="none" w:sz="0" w:space="0" w:color="auto"/>
      </w:divBdr>
      <w:divsChild>
        <w:div w:id="679047887">
          <w:marLeft w:val="0"/>
          <w:marRight w:val="0"/>
          <w:marTop w:val="0"/>
          <w:marBottom w:val="0"/>
          <w:divBdr>
            <w:top w:val="none" w:sz="0" w:space="0" w:color="auto"/>
            <w:left w:val="none" w:sz="0" w:space="0" w:color="auto"/>
            <w:bottom w:val="none" w:sz="0" w:space="0" w:color="auto"/>
            <w:right w:val="none" w:sz="0" w:space="0" w:color="auto"/>
          </w:divBdr>
          <w:divsChild>
            <w:div w:id="1195077878">
              <w:marLeft w:val="0"/>
              <w:marRight w:val="0"/>
              <w:marTop w:val="0"/>
              <w:marBottom w:val="0"/>
              <w:divBdr>
                <w:top w:val="none" w:sz="0" w:space="0" w:color="auto"/>
                <w:left w:val="none" w:sz="0" w:space="0" w:color="auto"/>
                <w:bottom w:val="none" w:sz="0" w:space="0" w:color="auto"/>
                <w:right w:val="none" w:sz="0" w:space="0" w:color="auto"/>
              </w:divBdr>
              <w:divsChild>
                <w:div w:id="14153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13393">
      <w:bodyDiv w:val="1"/>
      <w:marLeft w:val="0"/>
      <w:marRight w:val="0"/>
      <w:marTop w:val="0"/>
      <w:marBottom w:val="0"/>
      <w:divBdr>
        <w:top w:val="none" w:sz="0" w:space="0" w:color="auto"/>
        <w:left w:val="none" w:sz="0" w:space="0" w:color="auto"/>
        <w:bottom w:val="none" w:sz="0" w:space="0" w:color="auto"/>
        <w:right w:val="none" w:sz="0" w:space="0" w:color="auto"/>
      </w:divBdr>
    </w:div>
    <w:div w:id="816649729">
      <w:bodyDiv w:val="1"/>
      <w:marLeft w:val="0"/>
      <w:marRight w:val="0"/>
      <w:marTop w:val="0"/>
      <w:marBottom w:val="0"/>
      <w:divBdr>
        <w:top w:val="none" w:sz="0" w:space="0" w:color="auto"/>
        <w:left w:val="none" w:sz="0" w:space="0" w:color="auto"/>
        <w:bottom w:val="none" w:sz="0" w:space="0" w:color="auto"/>
        <w:right w:val="none" w:sz="0" w:space="0" w:color="auto"/>
      </w:divBdr>
    </w:div>
    <w:div w:id="825515639">
      <w:bodyDiv w:val="1"/>
      <w:marLeft w:val="0"/>
      <w:marRight w:val="0"/>
      <w:marTop w:val="0"/>
      <w:marBottom w:val="0"/>
      <w:divBdr>
        <w:top w:val="none" w:sz="0" w:space="0" w:color="auto"/>
        <w:left w:val="none" w:sz="0" w:space="0" w:color="auto"/>
        <w:bottom w:val="none" w:sz="0" w:space="0" w:color="auto"/>
        <w:right w:val="none" w:sz="0" w:space="0" w:color="auto"/>
      </w:divBdr>
    </w:div>
    <w:div w:id="868226147">
      <w:bodyDiv w:val="1"/>
      <w:marLeft w:val="0"/>
      <w:marRight w:val="0"/>
      <w:marTop w:val="0"/>
      <w:marBottom w:val="0"/>
      <w:divBdr>
        <w:top w:val="none" w:sz="0" w:space="0" w:color="auto"/>
        <w:left w:val="none" w:sz="0" w:space="0" w:color="auto"/>
        <w:bottom w:val="none" w:sz="0" w:space="0" w:color="auto"/>
        <w:right w:val="none" w:sz="0" w:space="0" w:color="auto"/>
      </w:divBdr>
    </w:div>
    <w:div w:id="878475954">
      <w:bodyDiv w:val="1"/>
      <w:marLeft w:val="0"/>
      <w:marRight w:val="0"/>
      <w:marTop w:val="0"/>
      <w:marBottom w:val="0"/>
      <w:divBdr>
        <w:top w:val="none" w:sz="0" w:space="0" w:color="auto"/>
        <w:left w:val="none" w:sz="0" w:space="0" w:color="auto"/>
        <w:bottom w:val="none" w:sz="0" w:space="0" w:color="auto"/>
        <w:right w:val="none" w:sz="0" w:space="0" w:color="auto"/>
      </w:divBdr>
      <w:divsChild>
        <w:div w:id="820536111">
          <w:marLeft w:val="0"/>
          <w:marRight w:val="0"/>
          <w:marTop w:val="0"/>
          <w:marBottom w:val="0"/>
          <w:divBdr>
            <w:top w:val="none" w:sz="0" w:space="0" w:color="auto"/>
            <w:left w:val="none" w:sz="0" w:space="0" w:color="auto"/>
            <w:bottom w:val="none" w:sz="0" w:space="0" w:color="auto"/>
            <w:right w:val="none" w:sz="0" w:space="0" w:color="auto"/>
          </w:divBdr>
          <w:divsChild>
            <w:div w:id="377095500">
              <w:marLeft w:val="0"/>
              <w:marRight w:val="0"/>
              <w:marTop w:val="0"/>
              <w:marBottom w:val="0"/>
              <w:divBdr>
                <w:top w:val="none" w:sz="0" w:space="0" w:color="auto"/>
                <w:left w:val="none" w:sz="0" w:space="0" w:color="auto"/>
                <w:bottom w:val="none" w:sz="0" w:space="0" w:color="auto"/>
                <w:right w:val="none" w:sz="0" w:space="0" w:color="auto"/>
              </w:divBdr>
              <w:divsChild>
                <w:div w:id="11590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78030">
      <w:bodyDiv w:val="1"/>
      <w:marLeft w:val="0"/>
      <w:marRight w:val="0"/>
      <w:marTop w:val="0"/>
      <w:marBottom w:val="0"/>
      <w:divBdr>
        <w:top w:val="none" w:sz="0" w:space="0" w:color="auto"/>
        <w:left w:val="none" w:sz="0" w:space="0" w:color="auto"/>
        <w:bottom w:val="none" w:sz="0" w:space="0" w:color="auto"/>
        <w:right w:val="none" w:sz="0" w:space="0" w:color="auto"/>
      </w:divBdr>
      <w:divsChild>
        <w:div w:id="211162442">
          <w:marLeft w:val="0"/>
          <w:marRight w:val="0"/>
          <w:marTop w:val="0"/>
          <w:marBottom w:val="0"/>
          <w:divBdr>
            <w:top w:val="none" w:sz="0" w:space="0" w:color="auto"/>
            <w:left w:val="none" w:sz="0" w:space="0" w:color="auto"/>
            <w:bottom w:val="none" w:sz="0" w:space="0" w:color="auto"/>
            <w:right w:val="none" w:sz="0" w:space="0" w:color="auto"/>
          </w:divBdr>
          <w:divsChild>
            <w:div w:id="426537178">
              <w:marLeft w:val="0"/>
              <w:marRight w:val="0"/>
              <w:marTop w:val="0"/>
              <w:marBottom w:val="0"/>
              <w:divBdr>
                <w:top w:val="none" w:sz="0" w:space="0" w:color="auto"/>
                <w:left w:val="none" w:sz="0" w:space="0" w:color="auto"/>
                <w:bottom w:val="none" w:sz="0" w:space="0" w:color="auto"/>
                <w:right w:val="none" w:sz="0" w:space="0" w:color="auto"/>
              </w:divBdr>
              <w:divsChild>
                <w:div w:id="20487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60832">
      <w:bodyDiv w:val="1"/>
      <w:marLeft w:val="0"/>
      <w:marRight w:val="0"/>
      <w:marTop w:val="0"/>
      <w:marBottom w:val="0"/>
      <w:divBdr>
        <w:top w:val="none" w:sz="0" w:space="0" w:color="auto"/>
        <w:left w:val="none" w:sz="0" w:space="0" w:color="auto"/>
        <w:bottom w:val="none" w:sz="0" w:space="0" w:color="auto"/>
        <w:right w:val="none" w:sz="0" w:space="0" w:color="auto"/>
      </w:divBdr>
    </w:div>
    <w:div w:id="1088576868">
      <w:bodyDiv w:val="1"/>
      <w:marLeft w:val="0"/>
      <w:marRight w:val="0"/>
      <w:marTop w:val="0"/>
      <w:marBottom w:val="0"/>
      <w:divBdr>
        <w:top w:val="none" w:sz="0" w:space="0" w:color="auto"/>
        <w:left w:val="none" w:sz="0" w:space="0" w:color="auto"/>
        <w:bottom w:val="none" w:sz="0" w:space="0" w:color="auto"/>
        <w:right w:val="none" w:sz="0" w:space="0" w:color="auto"/>
      </w:divBdr>
    </w:div>
    <w:div w:id="1102216171">
      <w:bodyDiv w:val="1"/>
      <w:marLeft w:val="0"/>
      <w:marRight w:val="0"/>
      <w:marTop w:val="0"/>
      <w:marBottom w:val="0"/>
      <w:divBdr>
        <w:top w:val="none" w:sz="0" w:space="0" w:color="auto"/>
        <w:left w:val="none" w:sz="0" w:space="0" w:color="auto"/>
        <w:bottom w:val="none" w:sz="0" w:space="0" w:color="auto"/>
        <w:right w:val="none" w:sz="0" w:space="0" w:color="auto"/>
      </w:divBdr>
    </w:div>
    <w:div w:id="1145242367">
      <w:bodyDiv w:val="1"/>
      <w:marLeft w:val="0"/>
      <w:marRight w:val="0"/>
      <w:marTop w:val="0"/>
      <w:marBottom w:val="0"/>
      <w:divBdr>
        <w:top w:val="none" w:sz="0" w:space="0" w:color="auto"/>
        <w:left w:val="none" w:sz="0" w:space="0" w:color="auto"/>
        <w:bottom w:val="none" w:sz="0" w:space="0" w:color="auto"/>
        <w:right w:val="none" w:sz="0" w:space="0" w:color="auto"/>
      </w:divBdr>
      <w:divsChild>
        <w:div w:id="1096168070">
          <w:marLeft w:val="0"/>
          <w:marRight w:val="0"/>
          <w:marTop w:val="195"/>
          <w:marBottom w:val="0"/>
          <w:divBdr>
            <w:top w:val="none" w:sz="0" w:space="0" w:color="auto"/>
            <w:left w:val="none" w:sz="0" w:space="0" w:color="auto"/>
            <w:bottom w:val="none" w:sz="0" w:space="0" w:color="auto"/>
            <w:right w:val="none" w:sz="0" w:space="0" w:color="auto"/>
          </w:divBdr>
        </w:div>
      </w:divsChild>
    </w:div>
    <w:div w:id="1298032023">
      <w:bodyDiv w:val="1"/>
      <w:marLeft w:val="0"/>
      <w:marRight w:val="0"/>
      <w:marTop w:val="0"/>
      <w:marBottom w:val="0"/>
      <w:divBdr>
        <w:top w:val="none" w:sz="0" w:space="0" w:color="auto"/>
        <w:left w:val="none" w:sz="0" w:space="0" w:color="auto"/>
        <w:bottom w:val="none" w:sz="0" w:space="0" w:color="auto"/>
        <w:right w:val="none" w:sz="0" w:space="0" w:color="auto"/>
      </w:divBdr>
    </w:div>
    <w:div w:id="1303077576">
      <w:bodyDiv w:val="1"/>
      <w:marLeft w:val="0"/>
      <w:marRight w:val="0"/>
      <w:marTop w:val="0"/>
      <w:marBottom w:val="0"/>
      <w:divBdr>
        <w:top w:val="none" w:sz="0" w:space="0" w:color="auto"/>
        <w:left w:val="none" w:sz="0" w:space="0" w:color="auto"/>
        <w:bottom w:val="none" w:sz="0" w:space="0" w:color="auto"/>
        <w:right w:val="none" w:sz="0" w:space="0" w:color="auto"/>
      </w:divBdr>
    </w:div>
    <w:div w:id="1342584915">
      <w:bodyDiv w:val="1"/>
      <w:marLeft w:val="0"/>
      <w:marRight w:val="0"/>
      <w:marTop w:val="0"/>
      <w:marBottom w:val="0"/>
      <w:divBdr>
        <w:top w:val="none" w:sz="0" w:space="0" w:color="auto"/>
        <w:left w:val="none" w:sz="0" w:space="0" w:color="auto"/>
        <w:bottom w:val="none" w:sz="0" w:space="0" w:color="auto"/>
        <w:right w:val="none" w:sz="0" w:space="0" w:color="auto"/>
      </w:divBdr>
    </w:div>
    <w:div w:id="1350401737">
      <w:bodyDiv w:val="1"/>
      <w:marLeft w:val="0"/>
      <w:marRight w:val="0"/>
      <w:marTop w:val="0"/>
      <w:marBottom w:val="0"/>
      <w:divBdr>
        <w:top w:val="none" w:sz="0" w:space="0" w:color="auto"/>
        <w:left w:val="none" w:sz="0" w:space="0" w:color="auto"/>
        <w:bottom w:val="none" w:sz="0" w:space="0" w:color="auto"/>
        <w:right w:val="none" w:sz="0" w:space="0" w:color="auto"/>
      </w:divBdr>
    </w:div>
    <w:div w:id="1357929103">
      <w:bodyDiv w:val="1"/>
      <w:marLeft w:val="0"/>
      <w:marRight w:val="0"/>
      <w:marTop w:val="0"/>
      <w:marBottom w:val="0"/>
      <w:divBdr>
        <w:top w:val="none" w:sz="0" w:space="0" w:color="auto"/>
        <w:left w:val="none" w:sz="0" w:space="0" w:color="auto"/>
        <w:bottom w:val="none" w:sz="0" w:space="0" w:color="auto"/>
        <w:right w:val="none" w:sz="0" w:space="0" w:color="auto"/>
      </w:divBdr>
    </w:div>
    <w:div w:id="1458792455">
      <w:bodyDiv w:val="1"/>
      <w:marLeft w:val="0"/>
      <w:marRight w:val="0"/>
      <w:marTop w:val="0"/>
      <w:marBottom w:val="0"/>
      <w:divBdr>
        <w:top w:val="none" w:sz="0" w:space="0" w:color="auto"/>
        <w:left w:val="none" w:sz="0" w:space="0" w:color="auto"/>
        <w:bottom w:val="none" w:sz="0" w:space="0" w:color="auto"/>
        <w:right w:val="none" w:sz="0" w:space="0" w:color="auto"/>
      </w:divBdr>
    </w:div>
    <w:div w:id="1474560447">
      <w:bodyDiv w:val="1"/>
      <w:marLeft w:val="0"/>
      <w:marRight w:val="0"/>
      <w:marTop w:val="0"/>
      <w:marBottom w:val="0"/>
      <w:divBdr>
        <w:top w:val="none" w:sz="0" w:space="0" w:color="auto"/>
        <w:left w:val="none" w:sz="0" w:space="0" w:color="auto"/>
        <w:bottom w:val="none" w:sz="0" w:space="0" w:color="auto"/>
        <w:right w:val="none" w:sz="0" w:space="0" w:color="auto"/>
      </w:divBdr>
    </w:div>
    <w:div w:id="1485854141">
      <w:bodyDiv w:val="1"/>
      <w:marLeft w:val="0"/>
      <w:marRight w:val="0"/>
      <w:marTop w:val="0"/>
      <w:marBottom w:val="0"/>
      <w:divBdr>
        <w:top w:val="none" w:sz="0" w:space="0" w:color="auto"/>
        <w:left w:val="none" w:sz="0" w:space="0" w:color="auto"/>
        <w:bottom w:val="none" w:sz="0" w:space="0" w:color="auto"/>
        <w:right w:val="none" w:sz="0" w:space="0" w:color="auto"/>
      </w:divBdr>
    </w:div>
    <w:div w:id="1489830070">
      <w:bodyDiv w:val="1"/>
      <w:marLeft w:val="0"/>
      <w:marRight w:val="0"/>
      <w:marTop w:val="0"/>
      <w:marBottom w:val="0"/>
      <w:divBdr>
        <w:top w:val="none" w:sz="0" w:space="0" w:color="auto"/>
        <w:left w:val="none" w:sz="0" w:space="0" w:color="auto"/>
        <w:bottom w:val="none" w:sz="0" w:space="0" w:color="auto"/>
        <w:right w:val="none" w:sz="0" w:space="0" w:color="auto"/>
      </w:divBdr>
    </w:div>
    <w:div w:id="1495534082">
      <w:bodyDiv w:val="1"/>
      <w:marLeft w:val="0"/>
      <w:marRight w:val="0"/>
      <w:marTop w:val="0"/>
      <w:marBottom w:val="0"/>
      <w:divBdr>
        <w:top w:val="none" w:sz="0" w:space="0" w:color="auto"/>
        <w:left w:val="none" w:sz="0" w:space="0" w:color="auto"/>
        <w:bottom w:val="none" w:sz="0" w:space="0" w:color="auto"/>
        <w:right w:val="none" w:sz="0" w:space="0" w:color="auto"/>
      </w:divBdr>
    </w:div>
    <w:div w:id="1497460240">
      <w:bodyDiv w:val="1"/>
      <w:marLeft w:val="0"/>
      <w:marRight w:val="0"/>
      <w:marTop w:val="0"/>
      <w:marBottom w:val="0"/>
      <w:divBdr>
        <w:top w:val="none" w:sz="0" w:space="0" w:color="auto"/>
        <w:left w:val="none" w:sz="0" w:space="0" w:color="auto"/>
        <w:bottom w:val="none" w:sz="0" w:space="0" w:color="auto"/>
        <w:right w:val="none" w:sz="0" w:space="0" w:color="auto"/>
      </w:divBdr>
    </w:div>
    <w:div w:id="1595943680">
      <w:bodyDiv w:val="1"/>
      <w:marLeft w:val="0"/>
      <w:marRight w:val="0"/>
      <w:marTop w:val="0"/>
      <w:marBottom w:val="0"/>
      <w:divBdr>
        <w:top w:val="none" w:sz="0" w:space="0" w:color="auto"/>
        <w:left w:val="none" w:sz="0" w:space="0" w:color="auto"/>
        <w:bottom w:val="none" w:sz="0" w:space="0" w:color="auto"/>
        <w:right w:val="none" w:sz="0" w:space="0" w:color="auto"/>
      </w:divBdr>
    </w:div>
    <w:div w:id="1693536386">
      <w:bodyDiv w:val="1"/>
      <w:marLeft w:val="0"/>
      <w:marRight w:val="0"/>
      <w:marTop w:val="0"/>
      <w:marBottom w:val="0"/>
      <w:divBdr>
        <w:top w:val="none" w:sz="0" w:space="0" w:color="auto"/>
        <w:left w:val="none" w:sz="0" w:space="0" w:color="auto"/>
        <w:bottom w:val="none" w:sz="0" w:space="0" w:color="auto"/>
        <w:right w:val="none" w:sz="0" w:space="0" w:color="auto"/>
      </w:divBdr>
    </w:div>
    <w:div w:id="1708990136">
      <w:bodyDiv w:val="1"/>
      <w:marLeft w:val="0"/>
      <w:marRight w:val="0"/>
      <w:marTop w:val="0"/>
      <w:marBottom w:val="0"/>
      <w:divBdr>
        <w:top w:val="none" w:sz="0" w:space="0" w:color="auto"/>
        <w:left w:val="none" w:sz="0" w:space="0" w:color="auto"/>
        <w:bottom w:val="none" w:sz="0" w:space="0" w:color="auto"/>
        <w:right w:val="none" w:sz="0" w:space="0" w:color="auto"/>
      </w:divBdr>
    </w:div>
    <w:div w:id="1768187935">
      <w:bodyDiv w:val="1"/>
      <w:marLeft w:val="0"/>
      <w:marRight w:val="0"/>
      <w:marTop w:val="0"/>
      <w:marBottom w:val="0"/>
      <w:divBdr>
        <w:top w:val="none" w:sz="0" w:space="0" w:color="auto"/>
        <w:left w:val="none" w:sz="0" w:space="0" w:color="auto"/>
        <w:bottom w:val="none" w:sz="0" w:space="0" w:color="auto"/>
        <w:right w:val="none" w:sz="0" w:space="0" w:color="auto"/>
      </w:divBdr>
      <w:divsChild>
        <w:div w:id="1478692908">
          <w:marLeft w:val="0"/>
          <w:marRight w:val="0"/>
          <w:marTop w:val="0"/>
          <w:marBottom w:val="0"/>
          <w:divBdr>
            <w:top w:val="none" w:sz="0" w:space="0" w:color="auto"/>
            <w:left w:val="none" w:sz="0" w:space="0" w:color="auto"/>
            <w:bottom w:val="none" w:sz="0" w:space="0" w:color="auto"/>
            <w:right w:val="none" w:sz="0" w:space="0" w:color="auto"/>
          </w:divBdr>
          <w:divsChild>
            <w:div w:id="970598872">
              <w:marLeft w:val="0"/>
              <w:marRight w:val="0"/>
              <w:marTop w:val="0"/>
              <w:marBottom w:val="0"/>
              <w:divBdr>
                <w:top w:val="none" w:sz="0" w:space="0" w:color="auto"/>
                <w:left w:val="none" w:sz="0" w:space="0" w:color="auto"/>
                <w:bottom w:val="none" w:sz="0" w:space="0" w:color="auto"/>
                <w:right w:val="none" w:sz="0" w:space="0" w:color="auto"/>
              </w:divBdr>
              <w:divsChild>
                <w:div w:id="20499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92650">
      <w:bodyDiv w:val="1"/>
      <w:marLeft w:val="0"/>
      <w:marRight w:val="0"/>
      <w:marTop w:val="0"/>
      <w:marBottom w:val="0"/>
      <w:divBdr>
        <w:top w:val="none" w:sz="0" w:space="0" w:color="auto"/>
        <w:left w:val="none" w:sz="0" w:space="0" w:color="auto"/>
        <w:bottom w:val="none" w:sz="0" w:space="0" w:color="auto"/>
        <w:right w:val="none" w:sz="0" w:space="0" w:color="auto"/>
      </w:divBdr>
    </w:div>
    <w:div w:id="1894995819">
      <w:bodyDiv w:val="1"/>
      <w:marLeft w:val="0"/>
      <w:marRight w:val="0"/>
      <w:marTop w:val="0"/>
      <w:marBottom w:val="0"/>
      <w:divBdr>
        <w:top w:val="none" w:sz="0" w:space="0" w:color="auto"/>
        <w:left w:val="none" w:sz="0" w:space="0" w:color="auto"/>
        <w:bottom w:val="none" w:sz="0" w:space="0" w:color="auto"/>
        <w:right w:val="none" w:sz="0" w:space="0" w:color="auto"/>
      </w:divBdr>
      <w:divsChild>
        <w:div w:id="2093237869">
          <w:marLeft w:val="0"/>
          <w:marRight w:val="0"/>
          <w:marTop w:val="0"/>
          <w:marBottom w:val="0"/>
          <w:divBdr>
            <w:top w:val="none" w:sz="0" w:space="0" w:color="auto"/>
            <w:left w:val="none" w:sz="0" w:space="0" w:color="auto"/>
            <w:bottom w:val="none" w:sz="0" w:space="0" w:color="auto"/>
            <w:right w:val="none" w:sz="0" w:space="0" w:color="auto"/>
          </w:divBdr>
          <w:divsChild>
            <w:div w:id="543248473">
              <w:marLeft w:val="0"/>
              <w:marRight w:val="0"/>
              <w:marTop w:val="0"/>
              <w:marBottom w:val="0"/>
              <w:divBdr>
                <w:top w:val="none" w:sz="0" w:space="0" w:color="auto"/>
                <w:left w:val="none" w:sz="0" w:space="0" w:color="auto"/>
                <w:bottom w:val="none" w:sz="0" w:space="0" w:color="auto"/>
                <w:right w:val="none" w:sz="0" w:space="0" w:color="auto"/>
              </w:divBdr>
              <w:divsChild>
                <w:div w:id="1140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2733">
      <w:bodyDiv w:val="1"/>
      <w:marLeft w:val="0"/>
      <w:marRight w:val="0"/>
      <w:marTop w:val="0"/>
      <w:marBottom w:val="0"/>
      <w:divBdr>
        <w:top w:val="none" w:sz="0" w:space="0" w:color="auto"/>
        <w:left w:val="none" w:sz="0" w:space="0" w:color="auto"/>
        <w:bottom w:val="none" w:sz="0" w:space="0" w:color="auto"/>
        <w:right w:val="none" w:sz="0" w:space="0" w:color="auto"/>
      </w:divBdr>
      <w:divsChild>
        <w:div w:id="1645545489">
          <w:marLeft w:val="0"/>
          <w:marRight w:val="0"/>
          <w:marTop w:val="0"/>
          <w:marBottom w:val="0"/>
          <w:divBdr>
            <w:top w:val="none" w:sz="0" w:space="0" w:color="auto"/>
            <w:left w:val="none" w:sz="0" w:space="0" w:color="auto"/>
            <w:bottom w:val="none" w:sz="0" w:space="0" w:color="auto"/>
            <w:right w:val="none" w:sz="0" w:space="0" w:color="auto"/>
          </w:divBdr>
        </w:div>
      </w:divsChild>
    </w:div>
    <w:div w:id="1962608816">
      <w:bodyDiv w:val="1"/>
      <w:marLeft w:val="0"/>
      <w:marRight w:val="0"/>
      <w:marTop w:val="0"/>
      <w:marBottom w:val="0"/>
      <w:divBdr>
        <w:top w:val="none" w:sz="0" w:space="0" w:color="auto"/>
        <w:left w:val="none" w:sz="0" w:space="0" w:color="auto"/>
        <w:bottom w:val="none" w:sz="0" w:space="0" w:color="auto"/>
        <w:right w:val="none" w:sz="0" w:space="0" w:color="auto"/>
      </w:divBdr>
      <w:divsChild>
        <w:div w:id="390930661">
          <w:marLeft w:val="0"/>
          <w:marRight w:val="0"/>
          <w:marTop w:val="0"/>
          <w:marBottom w:val="0"/>
          <w:divBdr>
            <w:top w:val="none" w:sz="0" w:space="0" w:color="auto"/>
            <w:left w:val="none" w:sz="0" w:space="0" w:color="auto"/>
            <w:bottom w:val="none" w:sz="0" w:space="0" w:color="auto"/>
            <w:right w:val="none" w:sz="0" w:space="0" w:color="auto"/>
          </w:divBdr>
          <w:divsChild>
            <w:div w:id="759255820">
              <w:marLeft w:val="0"/>
              <w:marRight w:val="0"/>
              <w:marTop w:val="0"/>
              <w:marBottom w:val="0"/>
              <w:divBdr>
                <w:top w:val="none" w:sz="0" w:space="0" w:color="auto"/>
                <w:left w:val="none" w:sz="0" w:space="0" w:color="auto"/>
                <w:bottom w:val="none" w:sz="0" w:space="0" w:color="auto"/>
                <w:right w:val="none" w:sz="0" w:space="0" w:color="auto"/>
              </w:divBdr>
              <w:divsChild>
                <w:div w:id="843934932">
                  <w:marLeft w:val="0"/>
                  <w:marRight w:val="0"/>
                  <w:marTop w:val="0"/>
                  <w:marBottom w:val="0"/>
                  <w:divBdr>
                    <w:top w:val="none" w:sz="0" w:space="0" w:color="auto"/>
                    <w:left w:val="none" w:sz="0" w:space="0" w:color="auto"/>
                    <w:bottom w:val="none" w:sz="0" w:space="0" w:color="auto"/>
                    <w:right w:val="none" w:sz="0" w:space="0" w:color="auto"/>
                  </w:divBdr>
                  <w:divsChild>
                    <w:div w:id="2022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42696">
      <w:bodyDiv w:val="1"/>
      <w:marLeft w:val="0"/>
      <w:marRight w:val="0"/>
      <w:marTop w:val="0"/>
      <w:marBottom w:val="0"/>
      <w:divBdr>
        <w:top w:val="none" w:sz="0" w:space="0" w:color="auto"/>
        <w:left w:val="none" w:sz="0" w:space="0" w:color="auto"/>
        <w:bottom w:val="none" w:sz="0" w:space="0" w:color="auto"/>
        <w:right w:val="none" w:sz="0" w:space="0" w:color="auto"/>
      </w:divBdr>
      <w:divsChild>
        <w:div w:id="1425417322">
          <w:marLeft w:val="0"/>
          <w:marRight w:val="0"/>
          <w:marTop w:val="0"/>
          <w:marBottom w:val="0"/>
          <w:divBdr>
            <w:top w:val="none" w:sz="0" w:space="0" w:color="auto"/>
            <w:left w:val="none" w:sz="0" w:space="0" w:color="auto"/>
            <w:bottom w:val="none" w:sz="0" w:space="0" w:color="auto"/>
            <w:right w:val="none" w:sz="0" w:space="0" w:color="auto"/>
          </w:divBdr>
          <w:divsChild>
            <w:div w:id="1219972350">
              <w:marLeft w:val="0"/>
              <w:marRight w:val="0"/>
              <w:marTop w:val="0"/>
              <w:marBottom w:val="0"/>
              <w:divBdr>
                <w:top w:val="none" w:sz="0" w:space="0" w:color="auto"/>
                <w:left w:val="none" w:sz="0" w:space="0" w:color="auto"/>
                <w:bottom w:val="none" w:sz="0" w:space="0" w:color="auto"/>
                <w:right w:val="none" w:sz="0" w:space="0" w:color="auto"/>
              </w:divBdr>
              <w:divsChild>
                <w:div w:id="285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4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92B4C-5261-2442-84F9-DEF10D38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1</Pages>
  <Words>3568</Words>
  <Characters>20340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Lombardo</dc:creator>
  <cp:keywords/>
  <dc:description/>
  <cp:lastModifiedBy>Davide Lombardo</cp:lastModifiedBy>
  <cp:revision>1095</cp:revision>
  <cp:lastPrinted>2018-06-29T10:33:00Z</cp:lastPrinted>
  <dcterms:created xsi:type="dcterms:W3CDTF">2018-06-02T16:18:00Z</dcterms:created>
  <dcterms:modified xsi:type="dcterms:W3CDTF">2024-09-12T15:58:00Z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11b617c2-d964-3dd6-bbbf-04bc682b5a4f</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zotero-version="6.0.37"&gt;&lt;session id="3IdCCTzF"/&gt;&lt;style id="http://www.zotero.org/styles/american-medical-association" hasBibliography="1" bibliographyStyleHasBeenSet="1"/&gt;&lt;prefs&gt;&lt;pref name="fieldType" value="Field"/&gt;&lt;pref name="auto</vt:lpwstr>
  </property>
  <property fmtid="{D5CDD505-2E9C-101B-9397-08002B2CF9AE}" pid="26" name="ZOTERO_PREF_2">
    <vt:lpwstr>maticJournalAbbreviations" value="true"/&gt;&lt;/prefs&gt;&lt;/data&gt;</vt:lpwstr>
  </property>
</Properties>
</file>