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计算机网络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</w:t>
      </w:r>
      <w:r>
        <w:rPr>
          <w:rFonts w:hint="eastAsia" w:ascii="黑体" w:eastAsia="黑体"/>
          <w:szCs w:val="21"/>
          <w:lang w:val="en-US" w:eastAsia="zh-CN"/>
        </w:rPr>
        <w:t>虚拟局域网（VLAN）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12065" b="952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(1)掌握基本的交换机配置命令。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(2)理解VLAN的作用和基本工作原理。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1.局域网环境；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2.人手一台计算机；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3.PacketTracer网络仿真软件。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1.</w:t>
      </w:r>
      <w:r>
        <w:rPr>
          <w:rFonts w:hint="eastAsia" w:asciiTheme="minorEastAsia" w:hAnsiTheme="minorEastAsia" w:eastAsiaTheme="minorEastAsia"/>
          <w:bCs/>
        </w:rPr>
        <w:t>学习使用PacketTracer软件。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2.</w:t>
      </w:r>
      <w:r>
        <w:rPr>
          <w:rFonts w:hint="eastAsia" w:asciiTheme="minorEastAsia" w:hAnsiTheme="minorEastAsia" w:eastAsiaTheme="minorEastAsia"/>
          <w:bCs/>
        </w:rPr>
        <w:t>学习VLAN配置命令。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3.</w:t>
      </w:r>
      <w:r>
        <w:rPr>
          <w:rFonts w:hint="eastAsia" w:asciiTheme="minorEastAsia" w:hAnsiTheme="minorEastAsia" w:eastAsiaTheme="minorEastAsia"/>
          <w:bCs/>
        </w:rPr>
        <w:t>利用模拟器配置VLAN并验证。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spacing w:before="156" w:beforeLines="50" w:after="156" w:afterLines="5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1.按照如下图连接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803140" cy="2741295"/>
            <wp:effectExtent l="0" t="0" r="1270" b="15875"/>
            <wp:docPr id="9" name="图片 9" descr="image-2023112414205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31124142051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配置IP地址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 0、3、4、6分别为192.168.1.1/2/3/4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1、2、5为172.16.2.1/2/3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Ping测试连通性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编号为0、3、4、6的可以互相通信，但不能和编号为1、2、5的设备通信，同理1、2、5也是。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为交换机改名并创建VLAN</w:t>
      </w:r>
    </w:p>
    <w:p>
      <w:pPr>
        <w:numPr>
          <w:ilvl w:val="0"/>
          <w:numId w:val="2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进入特权模式</w:t>
      </w:r>
    </w:p>
    <w:p>
      <w:pPr>
        <w:numPr>
          <w:numId w:val="0"/>
        </w:num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drawing>
          <wp:inline distT="0" distB="0" distL="114300" distR="114300">
            <wp:extent cx="1771650" cy="710565"/>
            <wp:effectExtent l="0" t="0" r="11430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进入全局配置模式</w:t>
      </w:r>
    </w:p>
    <w:p>
      <w:pPr>
        <w:numPr>
          <w:numId w:val="0"/>
        </w:numPr>
        <w:spacing w:before="156" w:beforeLines="50" w:after="156" w:afterLines="50"/>
      </w:pPr>
      <w:r>
        <w:drawing>
          <wp:inline distT="0" distB="0" distL="114300" distR="114300">
            <wp:extent cx="4972050" cy="596265"/>
            <wp:effectExtent l="0" t="0" r="1397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rPr>
          <w:rFonts w:hint="default" w:eastAsia="仿宋_GB2312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3）创建vlan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drawing>
          <wp:inline distT="0" distB="0" distL="114300" distR="114300">
            <wp:extent cx="2609850" cy="1047750"/>
            <wp:effectExtent l="0" t="0" r="15240" b="8890"/>
            <wp:docPr id="10" name="图片 10" descr="image-2023112414495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311241449577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为接口进行配置vlan</w:t>
      </w:r>
    </w:p>
    <w:p>
      <w:pPr>
        <w:numPr>
          <w:numId w:val="0"/>
        </w:numPr>
        <w:spacing w:before="156" w:beforeLines="50" w:after="156" w:afterLines="50"/>
        <w:ind w:leftChars="0"/>
      </w:pPr>
      <w:r>
        <w:drawing>
          <wp:inline distT="0" distB="0" distL="114300" distR="114300">
            <wp:extent cx="2834005" cy="1862455"/>
            <wp:effectExtent l="0" t="0" r="5715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8845" cy="1476375"/>
            <wp:effectExtent l="0" t="0" r="825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虚拟网络配置之后从192.168.1.1 ping 192.168.1.4 不通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535295" cy="3592195"/>
            <wp:effectExtent l="0" t="0" r="12065" b="698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/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03726"/>
    <w:multiLevelType w:val="singleLevel"/>
    <w:tmpl w:val="0050372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5F768C"/>
    <w:multiLevelType w:val="singleLevel"/>
    <w:tmpl w:val="055F768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48FF5FD6"/>
    <w:rsid w:val="1DD71A40"/>
    <w:rsid w:val="48FF5FD6"/>
    <w:rsid w:val="5FF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2023-12-08T08:46:00Z</dcterms:created>
  <dc:creator>一杯冰美式</dc:creator>
  <cp:lastModifiedBy>一杯冰美式</cp:lastModifiedBy>
  <dcterms:modified xsi:type="dcterms:W3CDTF">2023-12-08T09:08:32Z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54B024BEA7054CA4AACD706833A5B887_13</vt:lpwstr>
  </property>
</Properties>
</file>