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9E0B"/>
          <w:sz w:val="22"/>
        </w:rPr>
        <w:t>BLASTYBIZ</w:t>
      </w:r>
    </w:p>
    <w:p>
      <w:pPr>
        <w:pStyle w:val="Title"/>
        <w:jc w:val="center"/>
      </w:pPr>
      <w:r>
        <w:t>Blasty Floating Assistant Pass</w:t>
      </w:r>
    </w:p>
    <w:p>
      <w:pPr>
        <w:jc w:val="center"/>
      </w:pPr>
      <w:r>
        <w:rPr>
          <w:color w:val="4D585E"/>
          <w:sz w:val="24"/>
        </w:rPr>
        <w:t>Mobile-first product concept, interaction model, content system, rollout plan, and acceptance criteria</w:t>
      </w:r>
    </w:p>
    <w:p>
      <w:pPr>
        <w:jc w:val="center"/>
      </w:pPr>
      <w:r>
        <w:rPr>
          <w:b/>
          <w:color w:val="915300"/>
          <w:sz w:val="18"/>
        </w:rPr>
        <w:t>Prepared as a product and UX handoff — not a claim that the feature is already built</w:t>
      </w:r>
    </w:p>
    <w:p>
      <w:pPr>
        <w:pStyle w:val="Heading1"/>
      </w:pPr>
      <w:r>
        <w:t>1. Executive Decision</w:t>
      </w:r>
    </w:p>
    <w:p>
      <w:r>
        <w:rPr>
          <w:b/>
        </w:rPr>
        <w:t xml:space="preserve">Blasty should become a permanent, small, semi-transparent floating mascot in the lower-right corner of the customer experience. </w:t>
      </w:r>
      <w:r>
        <w:t>He should be easy to reach with one thumb, never block important controls, and expand into a compact speech bubble rather than a full-screen modal. The first job is introduction and education. Later, the same shell can become contextual help, guided onboarding, and eventually a true assistant.</w:t>
      </w:r>
    </w:p>
    <w:p>
      <w:pPr>
        <w:pStyle w:val="Callout"/>
      </w:pPr>
      <w:r>
        <w:rPr>
          <w:b/>
        </w:rPr>
        <w:t xml:space="preserve">Core principle: </w:t>
      </w:r>
      <w:r>
        <w:t>Blasty is not merely a help icon. He is the recognizable face of the product and the bridge between “I do not understand marketing” and “I know what to do next.”</w:t>
      </w:r>
    </w:p>
    <w:p>
      <w:pPr>
        <w:pStyle w:val="Heading1"/>
      </w:pPr>
      <w:r>
        <w:t>2. What This Feature Is</w:t>
      </w:r>
    </w:p>
    <w:p>
      <w:pPr>
        <w:pStyle w:val="ListBullet"/>
      </w:pPr>
      <w:r>
        <w:t>A persistent floating mascot available throughout customer-facing pages.</w:t>
      </w:r>
    </w:p>
    <w:p>
      <w:pPr>
        <w:pStyle w:val="ListBullet"/>
      </w:pPr>
      <w:r>
        <w:t>A first-run introduction to BlastyBiz and the idea of a marketing blast.</w:t>
      </w:r>
    </w:p>
    <w:p>
      <w:pPr>
        <w:pStyle w:val="ListBullet"/>
      </w:pPr>
      <w:r>
        <w:t>A compact source of page-specific tips, short factoids, and next-step guidance.</w:t>
      </w:r>
    </w:p>
    <w:p>
      <w:pPr>
        <w:pStyle w:val="ListBullet"/>
      </w:pPr>
      <w:r>
        <w:t>A reusable shell that can later hold chat, AI assistance, support, or guided actions.</w:t>
      </w:r>
    </w:p>
    <w:p>
      <w:pPr>
        <w:pStyle w:val="ListBullet"/>
      </w:pPr>
      <w:r>
        <w:t>A mobile-first interaction designed around thumb reach, limited screen space, and safe-area constraints.</w:t>
      </w:r>
    </w:p>
    <w:p>
      <w:pPr>
        <w:pStyle w:val="Heading1"/>
      </w:pPr>
      <w:r>
        <w:t>3. What It Is Not</w:t>
      </w:r>
    </w:p>
    <w:p>
      <w:pPr>
        <w:pStyle w:val="ListBullet"/>
      </w:pPr>
      <w:r>
        <w:t>Not a giant modal that interrupts every visitor.</w:t>
      </w:r>
    </w:p>
    <w:p>
      <w:pPr>
        <w:pStyle w:val="ListBullet"/>
      </w:pPr>
      <w:r>
        <w:t>Not an automatic talking mascot that becomes annoying.</w:t>
      </w:r>
    </w:p>
    <w:p>
      <w:pPr>
        <w:pStyle w:val="ListBullet"/>
      </w:pPr>
      <w:r>
        <w:t>Not dependent on artificial intelligence for the first release.</w:t>
      </w:r>
    </w:p>
    <w:p>
      <w:pPr>
        <w:pStyle w:val="ListBullet"/>
      </w:pPr>
      <w:r>
        <w:t>Not a substitute for clear page design or normal navigation.</w:t>
      </w:r>
    </w:p>
    <w:p>
      <w:pPr>
        <w:pStyle w:val="ListBullet"/>
      </w:pPr>
      <w:r>
        <w:t>Not a claim that unfinished features already exist.</w:t>
      </w:r>
    </w:p>
    <w:p>
      <w:pPr>
        <w:pStyle w:val="Heading1"/>
      </w:pPr>
      <w:r>
        <w:t>4. Mobile-First Placement and Size</w:t>
      </w:r>
    </w:p>
    <w:p>
      <w:r>
        <w:t>The visible Blasty mascot should appear in the lower-right corner, but the invisible touch target should be slightly larger than the artwork. This preserves the “small floating character” look without creating a frustrating tap target.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F445E"/>
          </w:tcPr>
          <w:p>
            <w:r/>
            <w:r>
              <w:rPr>
                <w:b/>
                <w:color w:val="FFFFFF"/>
                <w:sz w:val="18"/>
              </w:rPr>
              <w:t>Element</w:t>
            </w:r>
          </w:p>
        </w:tc>
        <w:tc>
          <w:tcPr>
            <w:tcW w:type="dxa" w:w="3456"/>
            <w:vAlign w:val="center"/>
            <w:shd w:fill="0F445E"/>
          </w:tcPr>
          <w:p>
            <w:r/>
            <w:r>
              <w:rPr>
                <w:b/>
                <w:color w:val="FFFFFF"/>
                <w:sz w:val="18"/>
              </w:rPr>
              <w:t>Recommended behavior</w:t>
            </w:r>
          </w:p>
        </w:tc>
        <w:tc>
          <w:tcPr>
            <w:tcW w:type="dxa" w:w="3456"/>
            <w:vAlign w:val="center"/>
            <w:shd w:fill="0F445E"/>
          </w:tcPr>
          <w:p>
            <w:r/>
            <w:r>
              <w:rPr>
                <w:b/>
                <w:color w:val="FFFFFF"/>
                <w:sz w:val="18"/>
              </w:rPr>
              <w:t>Reason</w:t>
            </w:r>
          </w:p>
        </w:tc>
      </w:tr>
      <w:tr>
        <w:tc>
          <w:tcPr>
            <w:tcW w:type="dxa" w:w="3456"/>
            <w:vAlign w:val="center"/>
          </w:tcPr>
          <w:p>
            <w:r/>
            <w:r>
              <w:rPr>
                <w:b/>
                <w:sz w:val="17"/>
              </w:rPr>
              <w:t>Visible mascot</w:t>
            </w:r>
          </w:p>
        </w:tc>
        <w:tc>
          <w:tcPr>
            <w:tcW w:type="dxa" w:w="3456"/>
            <w:vAlign w:val="center"/>
          </w:tcPr>
          <w:p>
            <w:r/>
            <w:r>
              <w:rPr>
                <w:b w:val="0"/>
                <w:sz w:val="17"/>
              </w:rPr>
              <w:t>About 42–52 px on common phones</w:t>
            </w:r>
          </w:p>
        </w:tc>
        <w:tc>
          <w:tcPr>
            <w:tcW w:type="dxa" w:w="3456"/>
            <w:vAlign w:val="center"/>
          </w:tcPr>
          <w:p>
            <w:r/>
            <w:r>
              <w:rPr>
                <w:b w:val="0"/>
                <w:sz w:val="17"/>
              </w:rPr>
              <w:t>Feels present without covering the interface</w:t>
            </w:r>
          </w:p>
        </w:tc>
      </w:tr>
      <w:tr>
        <w:tc>
          <w:tcPr>
            <w:tcW w:type="dxa" w:w="3456"/>
            <w:vAlign w:val="center"/>
          </w:tcPr>
          <w:p>
            <w:r/>
            <w:r>
              <w:rPr>
                <w:b/>
                <w:sz w:val="17"/>
              </w:rPr>
              <w:t>Touch target</w:t>
            </w:r>
          </w:p>
        </w:tc>
        <w:tc>
          <w:tcPr>
            <w:tcW w:type="dxa" w:w="3456"/>
            <w:vAlign w:val="center"/>
          </w:tcPr>
          <w:p>
            <w:r/>
            <w:r>
              <w:rPr>
                <w:b w:val="0"/>
                <w:sz w:val="17"/>
              </w:rPr>
              <w:t>At least 56–64 px</w:t>
            </w:r>
          </w:p>
        </w:tc>
        <w:tc>
          <w:tcPr>
            <w:tcW w:type="dxa" w:w="3456"/>
            <w:vAlign w:val="center"/>
          </w:tcPr>
          <w:p>
            <w:r/>
            <w:r>
              <w:rPr>
                <w:b w:val="0"/>
                <w:sz w:val="17"/>
              </w:rPr>
              <w:t>Reliable thumb access and accessibility</w:t>
            </w:r>
          </w:p>
        </w:tc>
      </w:tr>
      <w:tr>
        <w:tc>
          <w:tcPr>
            <w:tcW w:type="dxa" w:w="3456"/>
            <w:vAlign w:val="center"/>
          </w:tcPr>
          <w:p>
            <w:r/>
            <w:r>
              <w:rPr>
                <w:b/>
                <w:sz w:val="17"/>
              </w:rPr>
              <w:t>Right offset</w:t>
            </w:r>
          </w:p>
        </w:tc>
        <w:tc>
          <w:tcPr>
            <w:tcW w:type="dxa" w:w="3456"/>
            <w:vAlign w:val="center"/>
          </w:tcPr>
          <w:p>
            <w:r/>
            <w:r>
              <w:rPr>
                <w:b w:val="0"/>
                <w:sz w:val="17"/>
              </w:rPr>
              <w:t>12–16 px plus safe-area inset</w:t>
            </w:r>
          </w:p>
        </w:tc>
        <w:tc>
          <w:tcPr>
            <w:tcW w:type="dxa" w:w="3456"/>
            <w:vAlign w:val="center"/>
          </w:tcPr>
          <w:p>
            <w:r/>
            <w:r>
              <w:rPr>
                <w:b w:val="0"/>
                <w:sz w:val="17"/>
              </w:rPr>
              <w:t>Avoids screen edges and curved displays</w:t>
            </w:r>
          </w:p>
        </w:tc>
      </w:tr>
      <w:tr>
        <w:tc>
          <w:tcPr>
            <w:tcW w:type="dxa" w:w="3456"/>
            <w:vAlign w:val="center"/>
          </w:tcPr>
          <w:p>
            <w:r/>
            <w:r>
              <w:rPr>
                <w:b/>
                <w:sz w:val="17"/>
              </w:rPr>
              <w:t>Bottom offset</w:t>
            </w:r>
          </w:p>
        </w:tc>
        <w:tc>
          <w:tcPr>
            <w:tcW w:type="dxa" w:w="3456"/>
            <w:vAlign w:val="center"/>
          </w:tcPr>
          <w:p>
            <w:r/>
            <w:r>
              <w:rPr>
                <w:b w:val="0"/>
                <w:sz w:val="17"/>
              </w:rPr>
              <w:t>16–24 px above browser/app controls</w:t>
            </w:r>
          </w:p>
        </w:tc>
        <w:tc>
          <w:tcPr>
            <w:tcW w:type="dxa" w:w="3456"/>
            <w:vAlign w:val="center"/>
          </w:tcPr>
          <w:p>
            <w:r/>
            <w:r>
              <w:rPr>
                <w:b w:val="0"/>
                <w:sz w:val="17"/>
              </w:rPr>
              <w:t>Prevents overlap with system navigation</w:t>
            </w:r>
          </w:p>
        </w:tc>
      </w:tr>
      <w:tr>
        <w:tc>
          <w:tcPr>
            <w:tcW w:type="dxa" w:w="3456"/>
            <w:vAlign w:val="center"/>
          </w:tcPr>
          <w:p>
            <w:r/>
            <w:r>
              <w:rPr>
                <w:b/>
                <w:sz w:val="17"/>
              </w:rPr>
              <w:t>Idle opacity</w:t>
            </w:r>
          </w:p>
        </w:tc>
        <w:tc>
          <w:tcPr>
            <w:tcW w:type="dxa" w:w="3456"/>
            <w:vAlign w:val="center"/>
          </w:tcPr>
          <w:p>
            <w:r/>
            <w:r>
              <w:rPr>
                <w:b w:val="0"/>
                <w:sz w:val="17"/>
              </w:rPr>
              <w:t>Roughly 55–70%</w:t>
            </w:r>
          </w:p>
        </w:tc>
        <w:tc>
          <w:tcPr>
            <w:tcW w:type="dxa" w:w="3456"/>
            <w:vAlign w:val="center"/>
          </w:tcPr>
          <w:p>
            <w:r/>
            <w:r>
              <w:rPr>
                <w:b w:val="0"/>
                <w:sz w:val="17"/>
              </w:rPr>
              <w:t>Visible but not visually dominant</w:t>
            </w:r>
          </w:p>
        </w:tc>
      </w:tr>
      <w:tr>
        <w:tc>
          <w:tcPr>
            <w:tcW w:type="dxa" w:w="3456"/>
            <w:vAlign w:val="center"/>
          </w:tcPr>
          <w:p>
            <w:r/>
            <w:r>
              <w:rPr>
                <w:b/>
                <w:sz w:val="17"/>
              </w:rPr>
              <w:t>Active opacity</w:t>
            </w:r>
          </w:p>
        </w:tc>
        <w:tc>
          <w:tcPr>
            <w:tcW w:type="dxa" w:w="3456"/>
            <w:vAlign w:val="center"/>
          </w:tcPr>
          <w:p>
            <w:r/>
            <w:r>
              <w:rPr>
                <w:b w:val="0"/>
                <w:sz w:val="17"/>
              </w:rPr>
              <w:t>100% while touched or open</w:t>
            </w:r>
          </w:p>
        </w:tc>
        <w:tc>
          <w:tcPr>
            <w:tcW w:type="dxa" w:w="3456"/>
            <w:vAlign w:val="center"/>
          </w:tcPr>
          <w:p>
            <w:r/>
            <w:r>
              <w:rPr>
                <w:b w:val="0"/>
                <w:sz w:val="17"/>
              </w:rPr>
              <w:t>Signals interaction and focus</w:t>
            </w:r>
          </w:p>
        </w:tc>
      </w:tr>
      <w:tr>
        <w:tc>
          <w:tcPr>
            <w:tcW w:type="dxa" w:w="3456"/>
            <w:vAlign w:val="center"/>
          </w:tcPr>
          <w:p>
            <w:r/>
            <w:r>
              <w:rPr>
                <w:b/>
                <w:sz w:val="17"/>
              </w:rPr>
              <w:t>Layering</w:t>
            </w:r>
          </w:p>
        </w:tc>
        <w:tc>
          <w:tcPr>
            <w:tcW w:type="dxa" w:w="3456"/>
            <w:vAlign w:val="center"/>
          </w:tcPr>
          <w:p>
            <w:r/>
            <w:r>
              <w:rPr>
                <w:b w:val="0"/>
                <w:sz w:val="17"/>
              </w:rPr>
              <w:t>Above page content, below critical emergency/system overlays</w:t>
            </w:r>
          </w:p>
        </w:tc>
        <w:tc>
          <w:tcPr>
            <w:tcW w:type="dxa" w:w="3456"/>
            <w:vAlign w:val="center"/>
          </w:tcPr>
          <w:p>
            <w:r/>
            <w:r>
              <w:rPr>
                <w:b w:val="0"/>
                <w:sz w:val="17"/>
              </w:rPr>
              <w:t>Persistent without breaking important UI</w:t>
            </w:r>
          </w:p>
        </w:tc>
      </w:tr>
    </w:tbl>
    <w:p>
      <w:pPr>
        <w:pStyle w:val="Heading1"/>
      </w:pPr>
      <w:r>
        <w:t>5. Idle, Active, and Expanded States</w:t>
      </w:r>
    </w:p>
    <w:p>
      <w:r>
        <w:rPr>
          <w:b/>
        </w:rPr>
        <w:t xml:space="preserve">Idle state: </w:t>
      </w:r>
      <w:r>
        <w:t>Blasty is partly transparent, still, and quiet. A subtle glow or tiny breathing motion may occur occasionally, but continuous movement should be avoided on mobile.</w:t>
      </w:r>
    </w:p>
    <w:p>
      <w:r>
        <w:rPr>
          <w:b/>
        </w:rPr>
        <w:t xml:space="preserve">Attention state: </w:t>
      </w:r>
      <w:r>
        <w:t>Blasty may briefly become fully opaque, tilt, glow, or release a tiny puff once when there is genuinely useful information. The animation should stop automatically.</w:t>
      </w:r>
    </w:p>
    <w:p>
      <w:r>
        <w:rPr>
          <w:b/>
        </w:rPr>
        <w:t xml:space="preserve">Expanded state: </w:t>
      </w:r>
      <w:r>
        <w:t>A compact speech bubble opens above and slightly left of the mascot. The bubble should fit within the phone viewport and should never extend underneath browser controls.</w:t>
      </w:r>
    </w:p>
    <w:p>
      <w:r>
        <w:rPr>
          <w:b/>
        </w:rPr>
        <w:t xml:space="preserve">Dismissed state: </w:t>
      </w:r>
      <w:r>
        <w:t>The bubble closes, but Blasty remains available. Dismissing a message should not remove the assistant permanently unless the user explicitly turns him off in settings.</w:t>
      </w:r>
    </w:p>
    <w:p>
      <w:r>
        <w:rPr>
          <w:b/>
        </w:rPr>
        <w:t xml:space="preserve">Hidden state: </w:t>
      </w:r>
      <w:r>
        <w:t>For full-screen tasks, payment dialogs, legal consent screens, or camera/file pickers, Blasty may temporarily hide to avoid interference.</w:t>
      </w:r>
    </w:p>
    <w:p>
      <w:pPr>
        <w:pStyle w:val="Heading1"/>
      </w:pPr>
      <w:r>
        <w:t>6. First-Time Introduction</w:t>
      </w:r>
    </w:p>
    <w:p>
      <w:r>
        <w:t>The first interaction should be short enough to read on a phone without scrolling. The initial message should explain the product in plain language and avoid making “shotgun marketing” sound careless or spammy.</w:t>
      </w:r>
    </w:p>
    <w:p>
      <w:pPr>
        <w:pStyle w:val="Callout"/>
      </w:pPr>
      <w:r>
        <w:t>Recommended opening copy</w:t>
      </w:r>
    </w:p>
    <w:tbl>
      <w:tblPr>
        <w:tblStyle w:val="TableGrid"/>
        <w:tblW w:type="auto" w:w="0"/>
        <w:jc w:val="center"/>
        <w:tblLook w:firstColumn="1" w:firstRow="1" w:lastColumn="0" w:lastRow="0" w:noHBand="0" w:noVBand="1" w:val="04A0"/>
      </w:tblPr>
      <w:tblGrid>
        <w:gridCol w:w="10368"/>
      </w:tblGrid>
      <w:tr>
        <w:tc>
          <w:tcPr>
            <w:tcW w:type="dxa" w:w="10368"/>
            <w:shd w:fill="F3F7F8"/>
            <w:vAlign w:val="center"/>
          </w:tcPr>
          <w:p>
            <w:r/>
            <w:r>
              <w:rPr>
                <w:b w:val="0"/>
                <w:sz w:val="20"/>
              </w:rPr>
              <w:t>Hi! I’m Blasty.</w:t>
              <w:br/>
              <w:br/>
              <w:t>A marketing blast is how businesses take one strong message and spread it across several places where customers may see it. Big companies have done this for years. Some people call it shotgun marketing because the message reaches a wide area.</w:t>
              <w:br/>
              <w:br/>
              <w:t>BlastyBiz helps a small business do the same thing — while adapting the message for each platform instead of blindly posting the exact same thing everywhere.</w:t>
            </w:r>
          </w:p>
        </w:tc>
      </w:tr>
    </w:tbl>
    <w:p>
      <w:r>
        <w:rPr>
          <w:b/>
        </w:rPr>
        <w:t xml:space="preserve">Primary action: </w:t>
      </w:r>
      <w:r>
        <w:t>Show me how</w:t>
      </w:r>
    </w:p>
    <w:p>
      <w:r>
        <w:rPr>
          <w:b/>
        </w:rPr>
        <w:t xml:space="preserve">Secondary action: </w:t>
      </w:r>
      <w:r>
        <w:t>Maybe later</w:t>
      </w:r>
    </w:p>
    <w:p>
      <w:r>
        <w:rPr>
          <w:b/>
        </w:rPr>
        <w:t xml:space="preserve">Optional tertiary link: </w:t>
      </w:r>
      <w:r>
        <w:t>Do not show this introduction again</w:t>
      </w:r>
    </w:p>
    <w:p>
      <w:pPr>
        <w:pStyle w:val="Heading1"/>
      </w:pPr>
      <w:r>
        <w:t>7. Why the Wording Matters</w:t>
      </w:r>
    </w:p>
    <w:p>
      <w:r>
        <w:t>“Shotgun marketing” is useful as a factoid, but the product should immediately distinguish intelligent multi-platform distribution from spam. BlastyBiz is not simply firing the same message everywhere. Its value is that one core campaign can be reshaped for the audience, format, length, and tone of each platform.</w:t>
      </w:r>
    </w:p>
    <w:p>
      <w:pPr>
        <w:pStyle w:val="Callout"/>
      </w:pPr>
      <w:r>
        <w:rPr>
          <w:b/>
        </w:rPr>
        <w:t xml:space="preserve">Positioning line: </w:t>
      </w:r>
      <w:r>
        <w:t>One message. Many destinations. Each version shaped for where it lands.</w:t>
      </w:r>
    </w:p>
    <w:p>
      <w:pPr>
        <w:pStyle w:val="Heading1"/>
      </w:pPr>
      <w:r>
        <w:t>8. The Blasty Content System</w:t>
      </w:r>
    </w:p>
    <w:p>
      <w:r>
        <w:t>The first release can be completely deterministic. A small content library can select messages by page, user state, or recent action. This is safer, cheaper, and easier to test than beginning with open-ended AI chat.</w:t>
      </w:r>
    </w:p>
    <w:p>
      <w:pPr>
        <w:pStyle w:val="Heading2"/>
      </w:pPr>
      <w:r>
        <w:t>8.1 Content types</w:t>
      </w:r>
    </w:p>
    <w:p>
      <w:pPr>
        <w:pStyle w:val="ListBullet"/>
      </w:pPr>
      <w:r>
        <w:t>Introduction</w:t>
      </w:r>
    </w:p>
    <w:p>
      <w:pPr>
        <w:pStyle w:val="ListBullet"/>
      </w:pPr>
      <w:r>
        <w:t>Marketing factoid</w:t>
      </w:r>
    </w:p>
    <w:p>
      <w:pPr>
        <w:pStyle w:val="ListBullet"/>
      </w:pPr>
      <w:r>
        <w:t>Page-specific tip</w:t>
      </w:r>
    </w:p>
    <w:p>
      <w:pPr>
        <w:pStyle w:val="ListBullet"/>
      </w:pPr>
      <w:r>
        <w:t>Next-step prompt</w:t>
      </w:r>
    </w:p>
    <w:p>
      <w:pPr>
        <w:pStyle w:val="ListBullet"/>
      </w:pPr>
      <w:r>
        <w:t>Empty-state guidance</w:t>
      </w:r>
    </w:p>
    <w:p>
      <w:pPr>
        <w:pStyle w:val="ListBullet"/>
      </w:pPr>
      <w:r>
        <w:t>Success celebration</w:t>
      </w:r>
    </w:p>
    <w:p>
      <w:pPr>
        <w:pStyle w:val="ListBullet"/>
      </w:pPr>
      <w:r>
        <w:t>Gentle warning</w:t>
      </w:r>
    </w:p>
    <w:p>
      <w:pPr>
        <w:pStyle w:val="ListBullet"/>
      </w:pPr>
      <w:r>
        <w:t>Feature explanation</w:t>
      </w:r>
    </w:p>
    <w:p>
      <w:pPr>
        <w:pStyle w:val="ListBullet"/>
      </w:pPr>
      <w:r>
        <w:t>Link to How It Works</w:t>
      </w:r>
    </w:p>
    <w:p>
      <w:pPr>
        <w:pStyle w:val="ListBullet"/>
      </w:pPr>
      <w:r>
        <w:t>Support handoff</w:t>
      </w:r>
    </w:p>
    <w:p>
      <w:pPr>
        <w:pStyle w:val="Heading2"/>
      </w:pPr>
      <w:r>
        <w:t>8.2 Message rules</w:t>
      </w:r>
    </w:p>
    <w:p>
      <w:pPr>
        <w:pStyle w:val="ListBullet"/>
      </w:pPr>
      <w:r>
        <w:t>Show only one idea at a time.</w:t>
      </w:r>
    </w:p>
    <w:p>
      <w:pPr>
        <w:pStyle w:val="ListBullet"/>
      </w:pPr>
      <w:r>
        <w:t>Keep the first view under roughly 55–75 words on a phone.</w:t>
      </w:r>
    </w:p>
    <w:p>
      <w:pPr>
        <w:pStyle w:val="ListBullet"/>
      </w:pPr>
      <w:r>
        <w:t>Use an optional “More” action for longer explanations.</w:t>
      </w:r>
    </w:p>
    <w:p>
      <w:pPr>
        <w:pStyle w:val="ListBullet"/>
      </w:pPr>
      <w:r>
        <w:t>Never show the same tip repeatedly in the same session.</w:t>
      </w:r>
    </w:p>
    <w:p>
      <w:pPr>
        <w:pStyle w:val="ListBullet"/>
      </w:pPr>
      <w:r>
        <w:t>Do not interrupt a user who is typing, paying, uploading, or confirming publication.</w:t>
      </w:r>
    </w:p>
    <w:p>
      <w:pPr>
        <w:pStyle w:val="ListBullet"/>
      </w:pPr>
      <w:r>
        <w:t>Prefer useful guidance over motivational filler.</w:t>
      </w:r>
    </w:p>
    <w:p>
      <w:pPr>
        <w:pStyle w:val="ListBullet"/>
      </w:pPr>
      <w:r>
        <w:t>Do not imply an action succeeded unless the application confirms it.</w:t>
      </w:r>
    </w:p>
    <w:p>
      <w:pPr>
        <w:pStyle w:val="Heading1"/>
      </w:pPr>
      <w:r>
        <w:t>9. Page-Specific Blasty Guidance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F445E"/>
          </w:tcPr>
          <w:p>
            <w:r/>
            <w:r>
              <w:rPr>
                <w:b/>
                <w:color w:val="FFFFFF"/>
                <w:sz w:val="18"/>
              </w:rPr>
              <w:t>Page or state</w:t>
            </w:r>
          </w:p>
        </w:tc>
        <w:tc>
          <w:tcPr>
            <w:tcW w:type="dxa" w:w="3456"/>
            <w:vAlign w:val="center"/>
            <w:shd w:fill="0F445E"/>
          </w:tcPr>
          <w:p>
            <w:r/>
            <w:r>
              <w:rPr>
                <w:b/>
                <w:color w:val="FFFFFF"/>
                <w:sz w:val="18"/>
              </w:rPr>
              <w:t>Blasty’s job</w:t>
            </w:r>
          </w:p>
        </w:tc>
        <w:tc>
          <w:tcPr>
            <w:tcW w:type="dxa" w:w="3456"/>
            <w:vAlign w:val="center"/>
            <w:shd w:fill="0F445E"/>
          </w:tcPr>
          <w:p>
            <w:r/>
            <w:r>
              <w:rPr>
                <w:b/>
                <w:color w:val="FFFFFF"/>
                <w:sz w:val="18"/>
              </w:rPr>
              <w:t>Example</w:t>
            </w:r>
          </w:p>
        </w:tc>
      </w:tr>
      <w:tr>
        <w:tc>
          <w:tcPr>
            <w:tcW w:type="dxa" w:w="3456"/>
            <w:vAlign w:val="center"/>
          </w:tcPr>
          <w:p>
            <w:r/>
            <w:r>
              <w:rPr>
                <w:b/>
                <w:sz w:val="16"/>
              </w:rPr>
              <w:t>Home</w:t>
            </w:r>
          </w:p>
        </w:tc>
        <w:tc>
          <w:tcPr>
            <w:tcW w:type="dxa" w:w="3456"/>
            <w:vAlign w:val="center"/>
          </w:tcPr>
          <w:p>
            <w:r/>
            <w:r>
              <w:rPr>
                <w:b w:val="0"/>
                <w:sz w:val="16"/>
              </w:rPr>
              <w:t>Introduce the idea and invite exploration</w:t>
            </w:r>
          </w:p>
        </w:tc>
        <w:tc>
          <w:tcPr>
            <w:tcW w:type="dxa" w:w="3456"/>
            <w:vAlign w:val="center"/>
          </w:tcPr>
          <w:p>
            <w:r/>
            <w:r>
              <w:rPr>
                <w:b w:val="0"/>
                <w:sz w:val="16"/>
              </w:rPr>
              <w:t>“Big brands spread one campaign across many channels. BlastyBiz helps a small business do that without a full marketing department.”</w:t>
            </w:r>
          </w:p>
        </w:tc>
      </w:tr>
      <w:tr>
        <w:tc>
          <w:tcPr>
            <w:tcW w:type="dxa" w:w="3456"/>
            <w:vAlign w:val="center"/>
          </w:tcPr>
          <w:p>
            <w:r/>
            <w:r>
              <w:rPr>
                <w:b/>
                <w:sz w:val="16"/>
              </w:rPr>
              <w:t>Profile</w:t>
            </w:r>
          </w:p>
        </w:tc>
        <w:tc>
          <w:tcPr>
            <w:tcW w:type="dxa" w:w="3456"/>
            <w:vAlign w:val="center"/>
          </w:tcPr>
          <w:p>
            <w:r/>
            <w:r>
              <w:rPr>
                <w:b w:val="0"/>
                <w:sz w:val="16"/>
              </w:rPr>
              <w:t>Explain why business details matter</w:t>
            </w:r>
          </w:p>
        </w:tc>
        <w:tc>
          <w:tcPr>
            <w:tcW w:type="dxa" w:w="3456"/>
            <w:vAlign w:val="center"/>
          </w:tcPr>
          <w:p>
            <w:r/>
            <w:r>
              <w:rPr>
                <w:b w:val="0"/>
                <w:sz w:val="16"/>
              </w:rPr>
              <w:t>“The clearer your business profile is, the less you will need to repeat yourself when creating campaigns.”</w:t>
            </w:r>
          </w:p>
        </w:tc>
      </w:tr>
      <w:tr>
        <w:tc>
          <w:tcPr>
            <w:tcW w:type="dxa" w:w="3456"/>
            <w:vAlign w:val="center"/>
          </w:tcPr>
          <w:p>
            <w:r/>
            <w:r>
              <w:rPr>
                <w:b/>
                <w:sz w:val="16"/>
              </w:rPr>
              <w:t>Story</w:t>
            </w:r>
          </w:p>
        </w:tc>
        <w:tc>
          <w:tcPr>
            <w:tcW w:type="dxa" w:w="3456"/>
            <w:vAlign w:val="center"/>
          </w:tcPr>
          <w:p>
            <w:r/>
            <w:r>
              <w:rPr>
                <w:b w:val="0"/>
                <w:sz w:val="16"/>
              </w:rPr>
              <w:t>Encourage useful brand context</w:t>
            </w:r>
          </w:p>
        </w:tc>
        <w:tc>
          <w:tcPr>
            <w:tcW w:type="dxa" w:w="3456"/>
            <w:vAlign w:val="center"/>
          </w:tcPr>
          <w:p>
            <w:r/>
            <w:r>
              <w:rPr>
                <w:b w:val="0"/>
                <w:sz w:val="16"/>
              </w:rPr>
              <w:t>“Customers remember why a business exists. Give me the details that make yours different.”</w:t>
            </w:r>
          </w:p>
        </w:tc>
      </w:tr>
      <w:tr>
        <w:tc>
          <w:tcPr>
            <w:tcW w:type="dxa" w:w="3456"/>
            <w:vAlign w:val="center"/>
          </w:tcPr>
          <w:p>
            <w:r/>
            <w:r>
              <w:rPr>
                <w:b/>
                <w:sz w:val="16"/>
              </w:rPr>
              <w:t>Create</w:t>
            </w:r>
          </w:p>
        </w:tc>
        <w:tc>
          <w:tcPr>
            <w:tcW w:type="dxa" w:w="3456"/>
            <w:vAlign w:val="center"/>
          </w:tcPr>
          <w:p>
            <w:r/>
            <w:r>
              <w:rPr>
                <w:b w:val="0"/>
                <w:sz w:val="16"/>
              </w:rPr>
              <w:t>Focus the campaign</w:t>
            </w:r>
          </w:p>
        </w:tc>
        <w:tc>
          <w:tcPr>
            <w:tcW w:type="dxa" w:w="3456"/>
            <w:vAlign w:val="center"/>
          </w:tcPr>
          <w:p>
            <w:r/>
            <w:r>
              <w:rPr>
                <w:b w:val="0"/>
                <w:sz w:val="16"/>
              </w:rPr>
              <w:t>“Start with one result: call, book, visit, buy, or learn more. A campaign works better when the next step is obvious.”</w:t>
            </w:r>
          </w:p>
        </w:tc>
      </w:tr>
      <w:tr>
        <w:tc>
          <w:tcPr>
            <w:tcW w:type="dxa" w:w="3456"/>
            <w:vAlign w:val="center"/>
          </w:tcPr>
          <w:p>
            <w:r/>
            <w:r>
              <w:rPr>
                <w:b/>
                <w:sz w:val="16"/>
              </w:rPr>
              <w:t>Platforms</w:t>
            </w:r>
          </w:p>
        </w:tc>
        <w:tc>
          <w:tcPr>
            <w:tcW w:type="dxa" w:w="3456"/>
            <w:vAlign w:val="center"/>
          </w:tcPr>
          <w:p>
            <w:r/>
            <w:r>
              <w:rPr>
                <w:b w:val="0"/>
                <w:sz w:val="16"/>
              </w:rPr>
              <w:t>Explain adaptation</w:t>
            </w:r>
          </w:p>
        </w:tc>
        <w:tc>
          <w:tcPr>
            <w:tcW w:type="dxa" w:w="3456"/>
            <w:vAlign w:val="center"/>
          </w:tcPr>
          <w:p>
            <w:r/>
            <w:r>
              <w:rPr>
                <w:b w:val="0"/>
                <w:sz w:val="16"/>
              </w:rPr>
              <w:t>“The idea stays the same, but the wording should change for the place where it appears.”</w:t>
            </w:r>
          </w:p>
        </w:tc>
      </w:tr>
      <w:tr>
        <w:tc>
          <w:tcPr>
            <w:tcW w:type="dxa" w:w="3456"/>
            <w:vAlign w:val="center"/>
          </w:tcPr>
          <w:p>
            <w:r/>
            <w:r>
              <w:rPr>
                <w:b/>
                <w:sz w:val="16"/>
              </w:rPr>
              <w:t>Schedule</w:t>
            </w:r>
          </w:p>
        </w:tc>
        <w:tc>
          <w:tcPr>
            <w:tcW w:type="dxa" w:w="3456"/>
            <w:vAlign w:val="center"/>
          </w:tcPr>
          <w:p>
            <w:r/>
            <w:r>
              <w:rPr>
                <w:b w:val="0"/>
                <w:sz w:val="16"/>
              </w:rPr>
              <w:t>Promote consistency</w:t>
            </w:r>
          </w:p>
        </w:tc>
        <w:tc>
          <w:tcPr>
            <w:tcW w:type="dxa" w:w="3456"/>
            <w:vAlign w:val="center"/>
          </w:tcPr>
          <w:p>
            <w:r/>
            <w:r>
              <w:rPr>
                <w:b w:val="0"/>
                <w:sz w:val="16"/>
              </w:rPr>
              <w:t>“A steady rhythm often works better than sending everything at once.”</w:t>
            </w:r>
          </w:p>
        </w:tc>
      </w:tr>
      <w:tr>
        <w:tc>
          <w:tcPr>
            <w:tcW w:type="dxa" w:w="3456"/>
            <w:vAlign w:val="center"/>
          </w:tcPr>
          <w:p>
            <w:r/>
            <w:r>
              <w:rPr>
                <w:b/>
                <w:sz w:val="16"/>
              </w:rPr>
              <w:t>History</w:t>
            </w:r>
          </w:p>
        </w:tc>
        <w:tc>
          <w:tcPr>
            <w:tcW w:type="dxa" w:w="3456"/>
            <w:vAlign w:val="center"/>
          </w:tcPr>
          <w:p>
            <w:r/>
            <w:r>
              <w:rPr>
                <w:b w:val="0"/>
                <w:sz w:val="16"/>
              </w:rPr>
              <w:t>Teach reuse</w:t>
            </w:r>
          </w:p>
        </w:tc>
        <w:tc>
          <w:tcPr>
            <w:tcW w:type="dxa" w:w="3456"/>
            <w:vAlign w:val="center"/>
          </w:tcPr>
          <w:p>
            <w:r/>
            <w:r>
              <w:rPr>
                <w:b w:val="0"/>
                <w:sz w:val="16"/>
              </w:rPr>
              <w:t>“A strong past campaign can become a new seasonal offer, reminder, or follow-up.”</w:t>
            </w:r>
          </w:p>
        </w:tc>
      </w:tr>
      <w:tr>
        <w:tc>
          <w:tcPr>
            <w:tcW w:type="dxa" w:w="3456"/>
            <w:vAlign w:val="center"/>
          </w:tcPr>
          <w:p>
            <w:r/>
            <w:r>
              <w:rPr>
                <w:b/>
                <w:sz w:val="16"/>
              </w:rPr>
              <w:t>Empty state</w:t>
            </w:r>
          </w:p>
        </w:tc>
        <w:tc>
          <w:tcPr>
            <w:tcW w:type="dxa" w:w="3456"/>
            <w:vAlign w:val="center"/>
          </w:tcPr>
          <w:p>
            <w:r/>
            <w:r>
              <w:rPr>
                <w:b w:val="0"/>
                <w:sz w:val="16"/>
              </w:rPr>
              <w:t>Reduce uncertainty</w:t>
            </w:r>
          </w:p>
        </w:tc>
        <w:tc>
          <w:tcPr>
            <w:tcW w:type="dxa" w:w="3456"/>
            <w:vAlign w:val="center"/>
          </w:tcPr>
          <w:p>
            <w:r/>
            <w:r>
              <w:rPr>
                <w:b w:val="0"/>
                <w:sz w:val="16"/>
              </w:rPr>
              <w:t>“Nothing is wrong. You simply have not created your first campaign yet.”</w:t>
            </w:r>
          </w:p>
        </w:tc>
      </w:tr>
      <w:tr>
        <w:tc>
          <w:tcPr>
            <w:tcW w:type="dxa" w:w="3456"/>
            <w:vAlign w:val="center"/>
          </w:tcPr>
          <w:p>
            <w:r/>
            <w:r>
              <w:rPr>
                <w:b/>
                <w:sz w:val="16"/>
              </w:rPr>
              <w:t>Success</w:t>
            </w:r>
          </w:p>
        </w:tc>
        <w:tc>
          <w:tcPr>
            <w:tcW w:type="dxa" w:w="3456"/>
            <w:vAlign w:val="center"/>
          </w:tcPr>
          <w:p>
            <w:r/>
            <w:r>
              <w:rPr>
                <w:b w:val="0"/>
                <w:sz w:val="16"/>
              </w:rPr>
              <w:t>Celebrate without blocking</w:t>
            </w:r>
          </w:p>
        </w:tc>
        <w:tc>
          <w:tcPr>
            <w:tcW w:type="dxa" w:w="3456"/>
            <w:vAlign w:val="center"/>
          </w:tcPr>
          <w:p>
            <w:r/>
            <w:r>
              <w:rPr>
                <w:b w:val="0"/>
                <w:sz w:val="16"/>
              </w:rPr>
              <w:t>“Blast complete. Your message is ready for the places you selected.”</w:t>
            </w:r>
          </w:p>
        </w:tc>
      </w:tr>
      <w:tr>
        <w:tc>
          <w:tcPr>
            <w:tcW w:type="dxa" w:w="3456"/>
            <w:vAlign w:val="center"/>
          </w:tcPr>
          <w:p>
            <w:r/>
            <w:r>
              <w:rPr>
                <w:b/>
                <w:sz w:val="16"/>
              </w:rPr>
              <w:t>Error</w:t>
            </w:r>
          </w:p>
        </w:tc>
        <w:tc>
          <w:tcPr>
            <w:tcW w:type="dxa" w:w="3456"/>
            <w:vAlign w:val="center"/>
          </w:tcPr>
          <w:p>
            <w:r/>
            <w:r>
              <w:rPr>
                <w:b w:val="0"/>
                <w:sz w:val="16"/>
              </w:rPr>
              <w:t>Explain recovery</w:t>
            </w:r>
          </w:p>
        </w:tc>
        <w:tc>
          <w:tcPr>
            <w:tcW w:type="dxa" w:w="3456"/>
            <w:vAlign w:val="center"/>
          </w:tcPr>
          <w:p>
            <w:r/>
            <w:r>
              <w:rPr>
                <w:b w:val="0"/>
                <w:sz w:val="16"/>
              </w:rPr>
              <w:t>“That action did not finish. Your work is still here. Try again or review the affected platform.”</w:t>
            </w:r>
          </w:p>
        </w:tc>
      </w:tr>
    </w:tbl>
    <w:p>
      <w:pPr>
        <w:pStyle w:val="Heading1"/>
      </w:pPr>
      <w:r>
        <w:t>10. Factoid Library: Recommended Starting Set</w:t>
      </w:r>
    </w:p>
    <w:p>
      <w:pPr>
        <w:pStyle w:val="ListNumber"/>
      </w:pPr>
      <w:r>
        <w:t>Big companies rarely depend on one advertisement. They repeat a campaign across several channels so the message has more chances to be seen.</w:t>
      </w:r>
    </w:p>
    <w:p>
      <w:pPr>
        <w:pStyle w:val="ListNumber"/>
      </w:pPr>
      <w:r>
        <w:t>A marketing blast does not have to mean spam. A good blast is targeted, relevant, and adapted to each destination.</w:t>
      </w:r>
    </w:p>
    <w:p>
      <w:pPr>
        <w:pStyle w:val="ListNumber"/>
      </w:pPr>
      <w:r>
        <w:t>People often need to encounter a business more than once before they remember it or take action.</w:t>
      </w:r>
    </w:p>
    <w:p>
      <w:pPr>
        <w:pStyle w:val="ListNumber"/>
      </w:pPr>
      <w:r>
        <w:t>Consistency usually matters more than producing a perfect post once and then disappearing.</w:t>
      </w:r>
    </w:p>
    <w:p>
      <w:pPr>
        <w:pStyle w:val="ListNumber"/>
      </w:pPr>
      <w:r>
        <w:t>A clear call to action tells the customer what to do next: call, book, visit, buy, or learn more.</w:t>
      </w:r>
    </w:p>
    <w:p>
      <w:pPr>
        <w:pStyle w:val="ListNumber"/>
      </w:pPr>
      <w:r>
        <w:t>One campaign idea can become a social post, a business listing update, a short ad, an email, or a marketplace description.</w:t>
      </w:r>
    </w:p>
    <w:p>
      <w:pPr>
        <w:pStyle w:val="ListNumber"/>
      </w:pPr>
      <w:r>
        <w:t>Different platforms reward different lengths, tones, and formats. Copying and pasting the exact same text everywhere can weaken the result.</w:t>
      </w:r>
    </w:p>
    <w:p>
      <w:pPr>
        <w:pStyle w:val="ListNumber"/>
      </w:pPr>
      <w:r>
        <w:t>Local businesses often have useful material already: finished jobs, customer questions, before-and-after photos, seasonal reminders, and service tips.</w:t>
      </w:r>
    </w:p>
    <w:p>
      <w:pPr>
        <w:pStyle w:val="ListNumber"/>
      </w:pPr>
      <w:r>
        <w:t>A useful campaign speaks to a customer problem before it talks about the company.</w:t>
      </w:r>
    </w:p>
    <w:p>
      <w:pPr>
        <w:pStyle w:val="ListNumber"/>
      </w:pPr>
      <w:r>
        <w:t>Reusing a strong idea is not laziness. Repetition is how a message becomes recognizable.</w:t>
      </w:r>
    </w:p>
    <w:p>
      <w:pPr>
        <w:pStyle w:val="Heading1"/>
      </w:pPr>
      <w:r>
        <w:t>11. Interaction Details</w:t>
      </w:r>
    </w:p>
    <w:p>
      <w:r>
        <w:rPr>
          <w:b/>
        </w:rPr>
        <w:t xml:space="preserve">Tap once: </w:t>
      </w:r>
      <w:r>
        <w:t>Open the current message bubble.</w:t>
      </w:r>
    </w:p>
    <w:p>
      <w:r>
        <w:rPr>
          <w:b/>
        </w:rPr>
        <w:t xml:space="preserve">Tap outside: </w:t>
      </w:r>
      <w:r>
        <w:t>Close the bubble without changing the user’s progress.</w:t>
      </w:r>
    </w:p>
    <w:p>
      <w:r>
        <w:rPr>
          <w:b/>
        </w:rPr>
        <w:t xml:space="preserve">Swipe or next: </w:t>
      </w:r>
      <w:r>
        <w:t>Move to another tip only when multiple tips are available.</w:t>
      </w:r>
    </w:p>
    <w:p>
      <w:r>
        <w:rPr>
          <w:b/>
        </w:rPr>
        <w:t xml:space="preserve">Long press: </w:t>
      </w:r>
      <w:r>
        <w:t>Not recommended for the first release because it is less discoverable.</w:t>
      </w:r>
    </w:p>
    <w:p>
      <w:r>
        <w:rPr>
          <w:b/>
        </w:rPr>
        <w:t xml:space="preserve">Drag: </w:t>
      </w:r>
      <w:r>
        <w:t>Avoid initially. A draggable mascot can accidentally move during scrolling and creates extra persistence logic.</w:t>
      </w:r>
    </w:p>
    <w:p>
      <w:r>
        <w:rPr>
          <w:b/>
        </w:rPr>
        <w:t xml:space="preserve">Keyboard: </w:t>
      </w:r>
      <w:r>
        <w:t>When a software keyboard opens, move Blasty above it or hide him temporarily.</w:t>
      </w:r>
    </w:p>
    <w:p>
      <w:r>
        <w:rPr>
          <w:b/>
        </w:rPr>
        <w:t xml:space="preserve">Back button: </w:t>
      </w:r>
      <w:r>
        <w:t>On Android, the first back action should close the bubble before navigating away.</w:t>
      </w:r>
    </w:p>
    <w:p>
      <w:r>
        <w:rPr>
          <w:b/>
        </w:rPr>
        <w:t xml:space="preserve">Orientation change: </w:t>
      </w:r>
      <w:r>
        <w:t>Recalculate placement so Blasty remains on-screen in landscape mode.</w:t>
      </w:r>
    </w:p>
    <w:p>
      <w:pPr>
        <w:pStyle w:val="Heading1"/>
      </w:pPr>
      <w:r>
        <w:t>12. Visual Personality</w:t>
      </w:r>
    </w:p>
    <w:p>
      <w:r>
        <w:t>Blasty should feel energetic, friendly, and competent — not childish, frantic, or overly cartoonish. The mascot can have a small set of controlled states rather than dozens of complicated animations.</w:t>
      </w:r>
    </w:p>
    <w:p>
      <w:pPr>
        <w:pStyle w:val="ListBullet"/>
      </w:pPr>
      <w:r>
        <w:t>Idle: faint opacity and very occasional breathing glow.</w:t>
      </w:r>
    </w:p>
    <w:p>
      <w:pPr>
        <w:pStyle w:val="ListBullet"/>
      </w:pPr>
      <w:r>
        <w:t>Greeting: small rise or tilt.</w:t>
      </w:r>
    </w:p>
    <w:p>
      <w:pPr>
        <w:pStyle w:val="ListBullet"/>
      </w:pPr>
      <w:r>
        <w:t>Thinking: soft pulse, not an endless spinner.</w:t>
      </w:r>
    </w:p>
    <w:p>
      <w:pPr>
        <w:pStyle w:val="ListBullet"/>
      </w:pPr>
      <w:r>
        <w:t>Success: tiny upward movement with a controlled flame or glow.</w:t>
      </w:r>
    </w:p>
    <w:p>
      <w:pPr>
        <w:pStyle w:val="ListBullet"/>
      </w:pPr>
      <w:r>
        <w:t>Tip: small speech-bubble pop.</w:t>
      </w:r>
    </w:p>
    <w:p>
      <w:pPr>
        <w:pStyle w:val="ListBullet"/>
      </w:pPr>
      <w:r>
        <w:t>Warning: amber glow rather than aggressive shaking.</w:t>
      </w:r>
    </w:p>
    <w:p>
      <w:pPr>
        <w:pStyle w:val="ListBullet"/>
      </w:pPr>
      <w:r>
        <w:t>Error: brief dim or concerned tilt, followed by a useful recovery message.</w:t>
      </w:r>
    </w:p>
    <w:p>
      <w:pPr>
        <w:pStyle w:val="Heading1"/>
      </w:pPr>
      <w:r>
        <w:t>13. Accessibility and Comfort</w:t>
      </w:r>
    </w:p>
    <w:p>
      <w:pPr>
        <w:pStyle w:val="ListBullet"/>
      </w:pPr>
      <w:r>
        <w:t>The button needs an accessible name such as “Open Blasty assistant.”</w:t>
      </w:r>
    </w:p>
    <w:p>
      <w:pPr>
        <w:pStyle w:val="ListBullet"/>
      </w:pPr>
      <w:r>
        <w:t>The expanded bubble must be reachable and dismissible by keyboard.</w:t>
      </w:r>
    </w:p>
    <w:p>
      <w:pPr>
        <w:pStyle w:val="ListBullet"/>
      </w:pPr>
      <w:r>
        <w:t>Focus should move into the bubble when opened and return to the mascot when closed.</w:t>
      </w:r>
    </w:p>
    <w:p>
      <w:pPr>
        <w:pStyle w:val="ListBullet"/>
      </w:pPr>
      <w:r>
        <w:t>Do not rely on transparency alone to indicate state.</w:t>
      </w:r>
    </w:p>
    <w:p>
      <w:pPr>
        <w:pStyle w:val="ListBullet"/>
      </w:pPr>
      <w:r>
        <w:t>Respect reduced-motion preferences by disabling nonessential animation.</w:t>
      </w:r>
    </w:p>
    <w:p>
      <w:pPr>
        <w:pStyle w:val="ListBullet"/>
      </w:pPr>
      <w:r>
        <w:t>Text must maintain readable contrast even over varied page backgrounds.</w:t>
      </w:r>
    </w:p>
    <w:p>
      <w:pPr>
        <w:pStyle w:val="ListBullet"/>
      </w:pPr>
      <w:r>
        <w:t>The close control must be large enough to tap easily.</w:t>
      </w:r>
    </w:p>
    <w:p>
      <w:pPr>
        <w:pStyle w:val="ListBullet"/>
      </w:pPr>
      <w:r>
        <w:t>Screen readers should not announce rotating idle tips unless the user opens the assistant.</w:t>
      </w:r>
    </w:p>
    <w:p>
      <w:pPr>
        <w:pStyle w:val="Heading1"/>
      </w:pPr>
      <w:r>
        <w:t>14. Persistence and User Memory</w:t>
      </w:r>
    </w:p>
    <w:p>
      <w:r>
        <w:t>The feature should remember enough to avoid becoming repetitive, but it should not create a complicated data system in the first release.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F445E"/>
          </w:tcPr>
          <w:p>
            <w:r/>
            <w:r>
              <w:rPr>
                <w:b/>
                <w:color w:val="FFFFFF"/>
                <w:sz w:val="18"/>
              </w:rPr>
              <w:t>Remember</w:t>
            </w:r>
          </w:p>
        </w:tc>
        <w:tc>
          <w:tcPr>
            <w:tcW w:type="dxa" w:w="5184"/>
            <w:vAlign w:val="center"/>
            <w:shd w:fill="0F445E"/>
          </w:tcPr>
          <w:p>
            <w:r/>
            <w:r>
              <w:rPr>
                <w:b/>
                <w:color w:val="FFFFFF"/>
                <w:sz w:val="18"/>
              </w:rPr>
              <w:t>Purpose</w:t>
            </w:r>
          </w:p>
        </w:tc>
      </w:tr>
      <w:tr>
        <w:tc>
          <w:tcPr>
            <w:tcW w:type="dxa" w:w="5184"/>
            <w:vAlign w:val="center"/>
          </w:tcPr>
          <w:p>
            <w:r/>
            <w:r>
              <w:rPr>
                <w:b/>
                <w:sz w:val="17"/>
              </w:rPr>
              <w:t>Introduction seen</w:t>
            </w:r>
          </w:p>
        </w:tc>
        <w:tc>
          <w:tcPr>
            <w:tcW w:type="dxa" w:w="5184"/>
            <w:vAlign w:val="center"/>
          </w:tcPr>
          <w:p>
            <w:r/>
            <w:r>
              <w:rPr>
                <w:b w:val="0"/>
                <w:sz w:val="17"/>
              </w:rPr>
              <w:t>Do not repeat the full introduction every visit</w:t>
            </w:r>
          </w:p>
        </w:tc>
      </w:tr>
      <w:tr>
        <w:tc>
          <w:tcPr>
            <w:tcW w:type="dxa" w:w="5184"/>
            <w:vAlign w:val="center"/>
          </w:tcPr>
          <w:p>
            <w:r/>
            <w:r>
              <w:rPr>
                <w:b/>
                <w:sz w:val="17"/>
              </w:rPr>
              <w:t>Tips recently shown</w:t>
            </w:r>
          </w:p>
        </w:tc>
        <w:tc>
          <w:tcPr>
            <w:tcW w:type="dxa" w:w="5184"/>
            <w:vAlign w:val="center"/>
          </w:tcPr>
          <w:p>
            <w:r/>
            <w:r>
              <w:rPr>
                <w:b w:val="0"/>
                <w:sz w:val="17"/>
              </w:rPr>
              <w:t>Reduce repetition</w:t>
            </w:r>
          </w:p>
        </w:tc>
      </w:tr>
      <w:tr>
        <w:tc>
          <w:tcPr>
            <w:tcW w:type="dxa" w:w="5184"/>
            <w:vAlign w:val="center"/>
          </w:tcPr>
          <w:p>
            <w:r/>
            <w:r>
              <w:rPr>
                <w:b/>
                <w:sz w:val="17"/>
              </w:rPr>
              <w:t>Assistant muted</w:t>
            </w:r>
          </w:p>
        </w:tc>
        <w:tc>
          <w:tcPr>
            <w:tcW w:type="dxa" w:w="5184"/>
            <w:vAlign w:val="center"/>
          </w:tcPr>
          <w:p>
            <w:r/>
            <w:r>
              <w:rPr>
                <w:b w:val="0"/>
                <w:sz w:val="17"/>
              </w:rPr>
              <w:t>Honor the user’s preference</w:t>
            </w:r>
          </w:p>
        </w:tc>
      </w:tr>
      <w:tr>
        <w:tc>
          <w:tcPr>
            <w:tcW w:type="dxa" w:w="5184"/>
            <w:vAlign w:val="center"/>
          </w:tcPr>
          <w:p>
            <w:r/>
            <w:r>
              <w:rPr>
                <w:b/>
                <w:sz w:val="17"/>
              </w:rPr>
              <w:t>Last open/closed state</w:t>
            </w:r>
          </w:p>
        </w:tc>
        <w:tc>
          <w:tcPr>
            <w:tcW w:type="dxa" w:w="5184"/>
            <w:vAlign w:val="center"/>
          </w:tcPr>
          <w:p>
            <w:r/>
            <w:r>
              <w:rPr>
                <w:b w:val="0"/>
                <w:sz w:val="17"/>
              </w:rPr>
              <w:t>Optional; normally start closed</w:t>
            </w:r>
          </w:p>
        </w:tc>
      </w:tr>
      <w:tr>
        <w:tc>
          <w:tcPr>
            <w:tcW w:type="dxa" w:w="5184"/>
            <w:vAlign w:val="center"/>
          </w:tcPr>
          <w:p>
            <w:r/>
            <w:r>
              <w:rPr>
                <w:b/>
                <w:sz w:val="17"/>
              </w:rPr>
              <w:t>Current page context</w:t>
            </w:r>
          </w:p>
        </w:tc>
        <w:tc>
          <w:tcPr>
            <w:tcW w:type="dxa" w:w="5184"/>
            <w:vAlign w:val="center"/>
          </w:tcPr>
          <w:p>
            <w:r/>
            <w:r>
              <w:rPr>
                <w:b w:val="0"/>
                <w:sz w:val="17"/>
              </w:rPr>
              <w:t>Choose the relevant message</w:t>
            </w:r>
          </w:p>
        </w:tc>
      </w:tr>
      <w:tr>
        <w:tc>
          <w:tcPr>
            <w:tcW w:type="dxa" w:w="5184"/>
            <w:vAlign w:val="center"/>
          </w:tcPr>
          <w:p>
            <w:r/>
            <w:r>
              <w:rPr>
                <w:b/>
                <w:sz w:val="17"/>
              </w:rPr>
              <w:t>Signed-in user ID</w:t>
            </w:r>
          </w:p>
        </w:tc>
        <w:tc>
          <w:tcPr>
            <w:tcW w:type="dxa" w:w="5184"/>
            <w:vAlign w:val="center"/>
          </w:tcPr>
          <w:p>
            <w:r/>
            <w:r>
              <w:rPr>
                <w:b w:val="0"/>
                <w:sz w:val="17"/>
              </w:rPr>
              <w:t>Allow preferences to follow the user across devices later</w:t>
            </w:r>
          </w:p>
        </w:tc>
      </w:tr>
    </w:tbl>
    <w:p>
      <w:pPr>
        <w:pStyle w:val="Heading1"/>
      </w:pPr>
      <w:r>
        <w:t>15. Where Blasty Should Appear</w:t>
      </w:r>
    </w:p>
    <w:p>
      <w:r>
        <w:rPr>
          <w:b/>
        </w:rPr>
        <w:t xml:space="preserve">Public home page: </w:t>
      </w:r>
      <w:r>
        <w:t>Yes. This is the main introduction point.</w:t>
      </w:r>
    </w:p>
    <w:p>
      <w:r>
        <w:rPr>
          <w:b/>
        </w:rPr>
        <w:t xml:space="preserve">How It Works and Pricing: </w:t>
      </w:r>
      <w:r>
        <w:t>Yes, but start closed and offer page-specific explanations.</w:t>
      </w:r>
    </w:p>
    <w:p>
      <w:r>
        <w:rPr>
          <w:b/>
        </w:rPr>
        <w:t xml:space="preserve">Login and signup: </w:t>
      </w:r>
      <w:r>
        <w:t>Usually yes, but keep messages limited to reassurance and assistance.</w:t>
      </w:r>
    </w:p>
    <w:p>
      <w:r>
        <w:rPr>
          <w:b/>
        </w:rPr>
        <w:t xml:space="preserve">Authenticated workflow: </w:t>
      </w:r>
      <w:r>
        <w:t>Yes. This is where contextual guidance becomes most valuable.</w:t>
      </w:r>
    </w:p>
    <w:p>
      <w:r>
        <w:rPr>
          <w:b/>
        </w:rPr>
        <w:t xml:space="preserve">Payment confirmation: </w:t>
      </w:r>
      <w:r>
        <w:t>Temporarily hide during sensitive confirmation steps.</w:t>
      </w:r>
    </w:p>
    <w:p>
      <w:r>
        <w:rPr>
          <w:b/>
        </w:rPr>
        <w:t xml:space="preserve">Admin pages: </w:t>
      </w:r>
      <w:r>
        <w:t>No by default. The user-facing mascot should not clutter private administration.</w:t>
      </w:r>
    </w:p>
    <w:p>
      <w:r>
        <w:rPr>
          <w:b/>
        </w:rPr>
        <w:t xml:space="preserve">Legal pages: </w:t>
      </w:r>
      <w:r>
        <w:t>Optional, but normally hidden to keep the page calm and formal.</w:t>
      </w:r>
    </w:p>
    <w:p>
      <w:pPr>
        <w:pStyle w:val="Heading1"/>
      </w:pPr>
      <w:r>
        <w:t>16. Rollout Plan</w:t>
      </w:r>
    </w:p>
    <w:p>
      <w:r>
        <w:rPr>
          <w:b/>
        </w:rPr>
        <w:t>Phase 1 — Mascot shell</w:t>
      </w:r>
      <w:r>
        <w:br/>
        <w:t>Floating button, idle/active states, compact bubble, close behavior, safe-area positioning, reduced-motion support.</w:t>
      </w:r>
    </w:p>
    <w:p>
      <w:r>
        <w:rPr>
          <w:b/>
        </w:rPr>
        <w:t>Phase 2 — Introduction and tips</w:t>
      </w:r>
      <w:r>
        <w:br/>
        <w:t>First-run introduction, 10–20 factoids, page-specific messages, local persistence, “Maybe later,” and mute controls.</w:t>
      </w:r>
    </w:p>
    <w:p>
      <w:r>
        <w:rPr>
          <w:b/>
        </w:rPr>
        <w:t>Phase 3 — Guided actions</w:t>
      </w:r>
      <w:r>
        <w:br/>
        <w:t>Buttons that take the user to Profile, Create, Platforms, Schedule, History, or How It Works.</w:t>
      </w:r>
    </w:p>
    <w:p>
      <w:r>
        <w:rPr>
          <w:b/>
        </w:rPr>
        <w:t>Phase 4 — Context awareness</w:t>
      </w:r>
      <w:r>
        <w:br/>
        <w:t>Use actual application state to explain empty states, incomplete setup, successful saves, and recoverable failures.</w:t>
      </w:r>
    </w:p>
    <w:p>
      <w:r>
        <w:rPr>
          <w:b/>
        </w:rPr>
        <w:t>Phase 5 — Conversational assistant</w:t>
      </w:r>
      <w:r>
        <w:br/>
        <w:t>Only after the shell is stable: optional AI chat, grounded in the user’s business and campaign state, with clear limits and safe actions.</w:t>
      </w:r>
    </w:p>
    <w:p>
      <w:pPr>
        <w:pStyle w:val="Heading1"/>
      </w:pPr>
      <w:r>
        <w:t>17. Recommended Controls</w:t>
      </w:r>
    </w:p>
    <w:p>
      <w:pPr>
        <w:pStyle w:val="ListBullet"/>
      </w:pPr>
      <w:r>
        <w:t>Close bubble</w:t>
      </w:r>
    </w:p>
    <w:p>
      <w:pPr>
        <w:pStyle w:val="ListBullet"/>
      </w:pPr>
      <w:r>
        <w:t>Show another tip</w:t>
      </w:r>
    </w:p>
    <w:p>
      <w:pPr>
        <w:pStyle w:val="ListBullet"/>
      </w:pPr>
      <w:r>
        <w:t>Show me how</w:t>
      </w:r>
    </w:p>
    <w:p>
      <w:pPr>
        <w:pStyle w:val="ListBullet"/>
      </w:pPr>
      <w:r>
        <w:t>Take me there</w:t>
      </w:r>
    </w:p>
    <w:p>
      <w:pPr>
        <w:pStyle w:val="ListBullet"/>
      </w:pPr>
      <w:r>
        <w:t>Maybe later</w:t>
      </w:r>
    </w:p>
    <w:p>
      <w:pPr>
        <w:pStyle w:val="ListBullet"/>
      </w:pPr>
      <w:r>
        <w:t>Mute tips</w:t>
      </w:r>
    </w:p>
    <w:p>
      <w:pPr>
        <w:pStyle w:val="ListBullet"/>
      </w:pPr>
      <w:r>
        <w:t>Turn animations off</w:t>
      </w:r>
    </w:p>
    <w:p>
      <w:pPr>
        <w:pStyle w:val="ListBullet"/>
      </w:pPr>
      <w:r>
        <w:t>Open How It Works</w:t>
      </w:r>
    </w:p>
    <w:p>
      <w:pPr>
        <w:pStyle w:val="ListBullet"/>
      </w:pPr>
      <w:r>
        <w:t>Contact support</w:t>
      </w:r>
    </w:p>
    <w:p>
      <w:pPr>
        <w:pStyle w:val="Heading1"/>
      </w:pPr>
      <w:r>
        <w:t>18. Product Guardrails</w:t>
      </w:r>
    </w:p>
    <w:p>
      <w:pPr>
        <w:pStyle w:val="ListBullet"/>
      </w:pPr>
      <w:r>
        <w:t>Do not open automatically on every page load.</w:t>
      </w:r>
    </w:p>
    <w:p>
      <w:pPr>
        <w:pStyle w:val="ListBullet"/>
      </w:pPr>
      <w:r>
        <w:t>Do not cover primary buttons, checkout controls, form fields, or toast notifications.</w:t>
      </w:r>
    </w:p>
    <w:p>
      <w:pPr>
        <w:pStyle w:val="ListBullet"/>
      </w:pPr>
      <w:r>
        <w:t>Do not praise an action before the application confirms success.</w:t>
      </w:r>
    </w:p>
    <w:p>
      <w:pPr>
        <w:pStyle w:val="ListBullet"/>
      </w:pPr>
      <w:r>
        <w:t>Do not display invented marketing statistics as factoids.</w:t>
      </w:r>
    </w:p>
    <w:p>
      <w:pPr>
        <w:pStyle w:val="ListBullet"/>
      </w:pPr>
      <w:r>
        <w:t>Do not send users into unfinished or stubbed features.</w:t>
      </w:r>
    </w:p>
    <w:p>
      <w:pPr>
        <w:pStyle w:val="ListBullet"/>
      </w:pPr>
      <w:r>
        <w:t>Do not let the mascot become visually louder than the campaign itself.</w:t>
      </w:r>
    </w:p>
    <w:p>
      <w:pPr>
        <w:pStyle w:val="ListBullet"/>
      </w:pPr>
      <w:r>
        <w:t>Do not make dismissal permanent unless the user explicitly chooses that setting.</w:t>
      </w:r>
    </w:p>
    <w:p>
      <w:pPr>
        <w:pStyle w:val="ListBullet"/>
      </w:pPr>
      <w:r>
        <w:t>Do not add AI until the deterministic experience is already useful.</w:t>
      </w:r>
    </w:p>
    <w:p>
      <w:pPr>
        <w:pStyle w:val="Heading1"/>
      </w:pPr>
      <w:r>
        <w:t>19. Acceptance Criteria for the First Release</w:t>
      </w:r>
    </w:p>
    <w:p>
      <w:pPr>
        <w:pStyle w:val="ListBullet"/>
      </w:pPr>
      <w:r>
        <w:rPr>
          <w:b/>
        </w:rPr>
        <w:t xml:space="preserve">☐ </w:t>
      </w:r>
      <w:r>
        <w:t>Blasty is visible on approved mobile and desktop pages without covering primary content.</w:t>
      </w:r>
    </w:p>
    <w:p>
      <w:pPr>
        <w:pStyle w:val="ListBullet"/>
      </w:pPr>
      <w:r>
        <w:rPr>
          <w:b/>
        </w:rPr>
        <w:t xml:space="preserve">☐ </w:t>
      </w:r>
      <w:r>
        <w:t>The touch target is at least 56 px even when the visible artwork is smaller.</w:t>
      </w:r>
    </w:p>
    <w:p>
      <w:pPr>
        <w:pStyle w:val="ListBullet"/>
      </w:pPr>
      <w:r>
        <w:rPr>
          <w:b/>
        </w:rPr>
        <w:t xml:space="preserve">☐ </w:t>
      </w:r>
      <w:r>
        <w:t>The assistant respects bottom and right safe-area insets.</w:t>
      </w:r>
    </w:p>
    <w:p>
      <w:pPr>
        <w:pStyle w:val="ListBullet"/>
      </w:pPr>
      <w:r>
        <w:rPr>
          <w:b/>
        </w:rPr>
        <w:t xml:space="preserve">☐ </w:t>
      </w:r>
      <w:r>
        <w:t>Tapping Blasty opens one compact bubble fully inside the viewport.</w:t>
      </w:r>
    </w:p>
    <w:p>
      <w:pPr>
        <w:pStyle w:val="ListBullet"/>
      </w:pPr>
      <w:r>
        <w:rPr>
          <w:b/>
        </w:rPr>
        <w:t xml:space="preserve">☐ </w:t>
      </w:r>
      <w:r>
        <w:t>Tapping outside, using the close button, or pressing Android Back closes the bubble.</w:t>
      </w:r>
    </w:p>
    <w:p>
      <w:pPr>
        <w:pStyle w:val="ListBullet"/>
      </w:pPr>
      <w:r>
        <w:rPr>
          <w:b/>
        </w:rPr>
        <w:t xml:space="preserve">☐ </w:t>
      </w:r>
      <w:r>
        <w:t>The first-run introduction appears only according to the chosen trigger and is remembered after dismissal.</w:t>
      </w:r>
    </w:p>
    <w:p>
      <w:pPr>
        <w:pStyle w:val="ListBullet"/>
      </w:pPr>
      <w:r>
        <w:rPr>
          <w:b/>
        </w:rPr>
        <w:t xml:space="preserve">☐ </w:t>
      </w:r>
      <w:r>
        <w:t>Users can reopen Blasty at any time after dismissing the message.</w:t>
      </w:r>
    </w:p>
    <w:p>
      <w:pPr>
        <w:pStyle w:val="ListBullet"/>
      </w:pPr>
      <w:r>
        <w:rPr>
          <w:b/>
        </w:rPr>
        <w:t xml:space="preserve">☐ </w:t>
      </w:r>
      <w:r>
        <w:t>Page-specific messages are selected deterministically and do not repeat excessively.</w:t>
      </w:r>
    </w:p>
    <w:p>
      <w:pPr>
        <w:pStyle w:val="ListBullet"/>
      </w:pPr>
      <w:r>
        <w:rPr>
          <w:b/>
        </w:rPr>
        <w:t xml:space="preserve">☐ </w:t>
      </w:r>
      <w:r>
        <w:t>Reduced-motion users receive no unnecessary animation.</w:t>
      </w:r>
    </w:p>
    <w:p>
      <w:pPr>
        <w:pStyle w:val="ListBullet"/>
      </w:pPr>
      <w:r>
        <w:rPr>
          <w:b/>
        </w:rPr>
        <w:t xml:space="preserve">☐ </w:t>
      </w:r>
      <w:r>
        <w:t>Blasty moves above or hides for the software keyboard and critical fixed controls.</w:t>
      </w:r>
    </w:p>
    <w:p>
      <w:pPr>
        <w:pStyle w:val="ListBullet"/>
      </w:pPr>
      <w:r>
        <w:rPr>
          <w:b/>
        </w:rPr>
        <w:t xml:space="preserve">☐ </w:t>
      </w:r>
      <w:r>
        <w:t>No message claims success, publication, connection, or completion without verified application state.</w:t>
      </w:r>
    </w:p>
    <w:p>
      <w:pPr>
        <w:pStyle w:val="ListBullet"/>
      </w:pPr>
      <w:r>
        <w:rPr>
          <w:b/>
        </w:rPr>
        <w:t xml:space="preserve">☐ </w:t>
      </w:r>
      <w:r>
        <w:t>The entire feature remains useful without an AI service.</w:t>
      </w:r>
    </w:p>
    <w:p>
      <w:pPr>
        <w:pStyle w:val="Heading1"/>
      </w:pPr>
      <w:r>
        <w:t>20. Final Recommendation</w:t>
      </w:r>
    </w:p>
    <w:p>
      <w:r>
        <w:rPr>
          <w:b/>
        </w:rPr>
        <w:t xml:space="preserve">Build Blasty first as a polished interaction system, not as an AI chatbot. </w:t>
      </w:r>
      <w:r>
        <w:t>The mascot, compact mobile bubble, introduction, deterministic tips, and page-aware guidance will already give BlastyBiz personality and reduce user uncertainty. Once users recognize and trust the character, more advanced assistance can be added behind the same familiar control without redesigning the product.</w:t>
      </w:r>
    </w:p>
    <w:p>
      <w:pPr>
        <w:pStyle w:val="Callout"/>
      </w:pPr>
      <w:r>
        <w:rPr>
          <w:b/>
        </w:rPr>
        <w:t xml:space="preserve">Best one-line definition: </w:t>
      </w:r>
      <w:r>
        <w:t>Blasty is the small business marketing guide who is always nearby, never in the way, and ready to explain the next move.</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7"/>
        <w:sz w:val="16"/>
      </w:rPr>
      <w:t>BlastyBiz — Blasty Floating Assistant Pass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F445E"/>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6782"/>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C96E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317" w:right="317"/>
    </w:pPr>
    <w:rPr>
      <w:rFonts w:ascii="Aptos" w:hAnsi="Aptos"/>
      <w:i/>
      <w:color w:val="323C4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