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BlastyBiz — Style System Consolidation Handoff</w:t>
      </w:r>
    </w:p>
    <w:p>
      <w:pPr>
        <w:spacing w:after="100"/>
      </w:pPr>
      <w:r>
        <w:rPr>
          <w:color w:val="555555"/>
          <w:sz w:val="24"/>
          <w:szCs w:val="24"/>
        </w:rPr>
        <w:t xml:space="preserve">Ghost's Pass 3 (Layout / Page Architecture), Claude-Verified</w:t>
      </w:r>
    </w:p>
    <w:p>
      <w:pPr>
        <w:spacing w:after="300"/>
      </w:pPr>
      <w:r>
        <w:rPr>
          <w:i/>
          <w:iCs/>
          <w:color w:val="777777"/>
          <w:sz w:val="18"/>
          <w:szCs w:val="18"/>
        </w:rPr>
        <w:t xml:space="preserve">Prepared for: Rep  |  Source: BlastyBiz_Site.zip  |  Workflow: Ghost analyzed first, Claude verified every checkable claim against the actual file before finalizing</w:t>
      </w:r>
    </w:p>
    <w:p>
      <w:pPr>
        <w:pStyle w:val="Heading1"/>
      </w:pPr>
      <w:r>
        <w:t xml:space="preserve">How This Document Was Built</w:t>
      </w:r>
    </w:p>
    <w:p>
      <w:pPr>
        <w:spacing w:after="160"/>
      </w:pPr>
      <w:r>
        <w:t xml:space="preserve">Ghost's Pass 3 is more proposal-heavy than Passes 1 and 2 — less "here's a confirmed bug" and more "here's a layout system worth building." Verification here means two things: confirming the factual claims (page counts, selector existence, line numbers) are accurate, and checking whether the proposed system is built on a foundation that already partially exists or is starting from nothing. Both were checked. Ghost's architecture and recommended migration order are confirmed sound and is what Rep should follow. Two corrections are detailed below: one makes a recommendation lower-risk than stated (the app-page shell), one makes a cleanup target larger than stated (breakpoints).</w:t>
      </w:r>
    </w:p>
    <w:p>
      <w:pPr>
        <w:pStyle w:val="Heading1"/>
      </w:pPr>
      <w:r>
        <w:t xml:space="preserve">1. Confirmed Accurate — Page Counts and Shell Architecture</w:t>
      </w:r>
    </w:p>
    <w:p>
      <w:pPr>
        <w:spacing w:after="160"/>
      </w:pPr>
      <w:r>
        <w:t xml:space="preserve">Directly verified: 21 pages use main/main-inner classes (exact match to Ghost's count), and 8 pages carry body.admin-page (exact match). Both numbers in Ghost's architecture table are precise.</w:t>
      </w:r>
    </w:p>
    <w:p>
      <w:pPr>
        <w:pStyle w:val="Heading1"/>
      </w:pPr>
      <w:r>
        <w:t xml:space="preserve">2. Correction — The body.app-page Shell Already Exists and Is Already Partially Used</w:t>
      </w:r>
    </w:p>
    <w:p>
      <w:pPr>
        <w:spacing w:after="160"/>
      </w:pPr>
      <w:r>
        <w:t xml:space="preserve">Ghost's table describes Connect, Connected, Publishing, BizContext, and Listing Preview as candidates to globalize under a shared workflow shell, calling it body.app-page in the architecture table. Verification confirms this isn't a proposed name — it's already real, already in the HTML, and already has working CSS behind it.</w:t>
      </w:r>
    </w:p>
    <w:p>
      <w:pPr>
        <w:spacing w:after="160"/>
      </w:pPr>
      <w:r>
        <w:rPr>
          <w:b/>
          <w:bCs/>
        </w:rPr>
        <w:t xml:space="preserve">All 5 pages already carry body class="app-page [page-specific-class]" in their markup (confirmed directly: app-page connect-page, app-page connected-page, app-page publishing-page, app-page (bare) for BizContext, and app-page listing-preview-page). global-style.css already has 3 rules targeting body.app-page directly (lines 1375, 1377, 1378) — shared padding-top and page-title sizing across all 5 pages.</w:t>
      </w:r>
    </w:p>
    <w:p>
      <w:pPr>
        <w:spacing w:after="200" w:before="100"/>
      </w:pPr>
      <w:r>
        <w:rPr>
          <w:b/>
          <w:bCs/>
          <w:sz w:val="21"/>
          <w:szCs w:val="21"/>
        </w:rPr>
        <w:t xml:space="preserve">This changes the risk framing for the better: this is not new shell construction, it's extending a 3-rule pattern that's already working in production across all 5 pages. ACTION FOR REP: treat the app-page shell consolidation as the safest, most ready-to-execute item in this entire pass — the hook already exists and is already proven, so this should likely move ahead of the grid/split consolidation in actual execution order, even though Ghost's plan sequences it after admin pages.</w:t>
      </w:r>
    </w:p>
    <w:p>
      <w:pPr>
        <w:pStyle w:val="Heading1"/>
      </w:pPr>
      <w:r>
        <w:t xml:space="preserve">3. Confirmed Real — Grid/Split Naming Sprawl, With an Important Addition</w:t>
      </w:r>
    </w:p>
    <w:p>
      <w:pPr>
        <w:spacing w:after="160"/>
      </w:pPr>
      <w:r>
        <w:t xml:space="preserve">Ghost's claim that .layout__split*, .two-col, .three-col, .split, .split-wide all solve the same column-layout job is confirmed: every selector exists exactly as described, with line numbers verified.</w:t>
      </w:r>
    </w:p>
    <w:p>
      <w:pPr>
        <w:spacing w:after="160"/>
      </w:pPr>
      <w:r>
        <w:rPr>
          <w:b/>
          <w:bCs/>
        </w:rPr>
        <w:t xml:space="preserve">What Ghost's table doesn't make explicit, and what changes the migration approach: this isn't just many names for one job — it's two independently-built, near-parallel systems. One token-based (.layout__split / .layout__split-3 / .layout__split-4 / .layout__split-wide at lines 429-435, using var(--gap-lg)/var(--gap-md)), one hardcoded-pixel-based (.split-4 / .split-wide / .two-col / .three-col at lines 2200-2208, using raw 16px/12px values, located in the admin section of the file).</w:t>
      </w:r>
    </w:p>
    <w:p>
      <w:pPr>
        <w:spacing w:after="160"/>
      </w:pPr>
      <w:r>
        <w:rPr>
          <w:b/>
          <w:bCs/>
          <w:i/>
          <w:iCs/>
        </w:rPr>
        <w:t xml:space="preserve">This is the THIRD confirmed instance across this style audit of the same drift pattern: a token-based version of a component existing alongside a hardcoded-pixel version built later, usually in or near the admin section. The first two were .stat (Pass 1: flat hex vs var(--panel)) and .platform-row/.list-item (Pass 2: same hex-vs-token split). Three independent confirmations of the same habit is no longer a coincidence — it strongly suggests admin-page CSS was written separately from the rest of the system at some point, without consistently reusing the token layer.</w:t>
      </w:r>
    </w:p>
    <w:p>
      <w:pPr>
        <w:spacing w:after="200" w:before="100"/>
      </w:pPr>
      <w:r>
        <w:rPr>
          <w:b/>
          <w:bCs/>
          <w:sz w:val="21"/>
          <w:szCs w:val="21"/>
        </w:rPr>
        <w:t xml:space="preserve">ACTION FOR REP: When building the canonical .layout-grid family, standardize on the token-based values (var(--gap-lg)/var(--gap-md)) from the original system, not the hardcoded pixels from the admin-section duplicate — consistent with the same call made for .stat and .platform-row in earlier passes. Beyond this specific fix: recommend a final sweep across global-style.css specifically searching for hardcoded pixel values that duplicate an existing token, since three confirmed instances suggests there are likely more not yet caught by a targeted audit.</w:t>
      </w:r>
    </w:p>
    <w:p>
      <w:pPr>
        <w:pStyle w:val="Heading1"/>
      </w:pPr>
      <w:r>
        <w:t xml:space="preserve">4. Correction — Flex Row Consolidation Needs One More Check Before Merging</w:t>
      </w:r>
    </w:p>
    <w:p>
      <w:pPr>
        <w:spacing w:after="160"/>
      </w:pPr>
      <w:r>
        <w:t xml:space="preserve">Ghost recommends picking one canonical name between .row/.row-sb and .flex-row/.flex-between. Verified both pairs exist as described, but found a behavioral difference Ghost's table doesn't surface: .row-sb (line 55) sets justify-content: space-between with no gap property, while .flex-between (line 458) sets the same space-between plus gap: 12px.</w:t>
      </w:r>
    </w:p>
    <w:p>
      <w:pPr>
        <w:spacing w:after="160"/>
      </w:pPr>
      <w:r>
        <w:rPr>
          <w:b/>
          <w:bCs/>
        </w:rPr>
        <w:t xml:space="preserve">These are not interchangeable as-is. Picking one canonical name without checking this would silently change spacing on whichever set of elements uses the 'losing' class.</w:t>
      </w:r>
    </w:p>
    <w:p>
      <w:pPr>
        <w:spacing w:after="200" w:before="100"/>
      </w:pPr>
      <w:r>
        <w:rPr>
          <w:b/>
          <w:bCs/>
          <w:sz w:val="21"/>
          <w:szCs w:val="21"/>
        </w:rPr>
        <w:t xml:space="preserve">ACTION FOR REP: Before merging, check which elements use .row-sb vs .flex-between and confirm whether the gap: 12px difference is visually significant on the .row-sb instances. If it's not, .flex-between is the more complete definition and should become canonical. If .row-sb's tighter spacing is intentional somewhere, that needs to become an explicit modifier rather than being silently lost in the merge.</w:t>
      </w:r>
    </w:p>
    <w:p>
      <w:pPr>
        <w:pStyle w:val="Heading1"/>
      </w:pPr>
      <w:r>
        <w:t xml:space="preserve">5. Correction — Breakpoints Are Messier Than Reported</w:t>
      </w:r>
    </w:p>
    <w:p>
      <w:pPr>
        <w:spacing w:after="160"/>
      </w:pPr>
      <w:r>
        <w:t xml:space="preserve">Ghost's table describes breakpoints as "mostly sane" and proposes documenting ownership around three values: 599 (dense mobile), 767 (shell/header), 900 (dashboard/app/admin grids). Direct extraction of every @media rule in the file found 10 distinct breakpoint values, not a clean three-tier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Breakpoint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Count</w:t>
            </w:r>
          </w:p>
        </w:tc>
        <w:tc>
          <w:tcPr>
            <w:tcW w:type="dxa" w:w="4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min-width: 600px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matches Ghost's general framing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max-width: 599px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matches Ghost's framing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max-width: 900px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matches Ghost's framing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min-width: 768px / max-width: 767px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each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matches Ghost's framing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min-width: 1100px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4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Stray, but low-risk — only adjusts a single design-token variable (--section-v), not structural layout. Confirmed at line 139.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max-width: 850px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436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Stray, structural — doesn't map to the proposed 599/767/900 system. Confirmed at line 1367, a real layout media query.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max-width: 768px (separate from the 767 pair)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436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Stray, structural — confirmed at line 764, a real layout media query using a different value than the established 767 convention.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max-width: 600px (separate from 599)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436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Stray, structural — confirmed at line 1376, a real layout media query off by 1px from the established convention.</w:t>
            </w:r>
          </w:p>
        </w:tc>
      </w:tr>
    </w:tbl>
    <w:p>
      <w:pPr>
        <w:spacing w:after="100" w:before="200"/>
      </w:pPr>
      <w:r>
        <w:rPr>
          <w:b/>
          <w:bCs/>
          <w:sz w:val="21"/>
          <w:szCs w:val="21"/>
        </w:rPr>
        <w:t xml:space="preserve">ACTION FOR REP: Ghost's proposed three-tier breakpoint documentation (599/767/900) is the right target system, but reaching it requires reconciling 3 stray structural breakpoints (850, 768-as-max, 600-as-max) into the established convention, not just documenting what already exists. These off-by-a-few-pixels values are exactly the kind of thing that causes a layout to look right at 766px and wrong at 768px — recommend checking each of these 3 specifically against its neighboring page content before folding it into the standard breakpoints.</w:t>
      </w:r>
    </w:p>
    <w:p>
      <w:pPr>
        <w:pStyle w:val="Heading1"/>
      </w:pPr>
      <w:r>
        <w:t xml:space="preserve">6. Everything Else From Ghost's Audit — Adopt As Written</w:t>
      </w:r>
    </w:p>
    <w:p>
      <w:pPr>
        <w:spacing w:after="160"/>
      </w:pPr>
      <w:r>
        <w:t xml:space="preserve">The remaining sections (canonical layout primitive proposals, the do-not-merge list for Onboarding/Create Listing/Home marketing/Admin mobile nav/Listing Preview approval bar, and the recommended migration order) describe a system to build rather than specific existing claims to check line-by-line, and nothing found during this verification contradicts them. The do-not-merge list in particular is consistent with this audit's standing finding that BEM marketing blocks and JS-heavy workflow pages should stay scoped — recommend Rep treat this list as firm guidance.</w:t>
      </w:r>
    </w:p>
    <w:p>
      <w:pPr>
        <w:pStyle w:val="Heading1"/>
      </w:pPr>
      <w:r>
        <w:t xml:space="preserve">7. Recommended Order — Confirmed, With Corrections Folded In</w:t>
      </w:r>
    </w:p>
    <w:p>
      <w:pPr>
        <w:pStyle w:val="ListParagraph"/>
        <w:numPr>
          <w:ilvl w:val="0"/>
          <w:numId w:val="2"/>
        </w:numPr>
      </w:pPr>
      <w:r>
        <w:rPr>
          <w:sz w:val="21"/>
          <w:szCs w:val="21"/>
        </w:rPr>
        <w:t xml:space="preserve">1. Add the Layout Primitives section to global-style.css as Ghost specified.</w:t>
      </w:r>
    </w:p>
    <w:p>
      <w:pPr>
        <w:pStyle w:val="ListParagraph"/>
        <w:numPr>
          <w:ilvl w:val="0"/>
          <w:numId w:val="2"/>
        </w:numPr>
      </w:pPr>
      <w:r>
        <w:rPr>
          <w:sz w:val="21"/>
          <w:szCs w:val="21"/>
        </w:rPr>
        <w:t xml:space="preserve">2. Extend the body.app-page shell first, not later in sequence — it's already a proven, working 3-rule pattern across 5 pages, making it the lowest-risk starting point in this entire pass (see Section 2).</w:t>
      </w:r>
    </w:p>
    <w:p>
      <w:pPr>
        <w:pStyle w:val="ListParagraph"/>
        <w:numPr>
          <w:ilvl w:val="0"/>
          <w:numId w:val="2"/>
        </w:numPr>
      </w:pPr>
      <w:r>
        <w:rPr>
          <w:sz w:val="21"/>
          <w:szCs w:val="21"/>
        </w:rPr>
        <w:t xml:space="preserve">3. Build canonical grid utilities standardizing on the token-based values from .layout__split*, not the hardcoded-pixel admin duplicates (see Section 3). Flag this as the third confirmed instance of token-vs-hardcoded drift across this audit, and recommend a dedicated final sweep for more instances.</w:t>
      </w:r>
    </w:p>
    <w:p>
      <w:pPr>
        <w:pStyle w:val="ListParagraph"/>
        <w:numPr>
          <w:ilvl w:val="0"/>
          <w:numId w:val="2"/>
        </w:numPr>
      </w:pPr>
      <w:r>
        <w:rPr>
          <w:sz w:val="21"/>
          <w:szCs w:val="21"/>
        </w:rPr>
        <w:t xml:space="preserve">4. Before merging .row-sb into .flex-between, confirm the gap:12px difference doesn't matter visually, or preserve it as a modifier (see Section 4).</w:t>
      </w:r>
    </w:p>
    <w:p>
      <w:pPr>
        <w:pStyle w:val="ListParagraph"/>
        <w:numPr>
          <w:ilvl w:val="0"/>
          <w:numId w:val="2"/>
        </w:numPr>
      </w:pPr>
      <w:r>
        <w:rPr>
          <w:sz w:val="21"/>
          <w:szCs w:val="21"/>
        </w:rPr>
        <w:t xml:space="preserve">5. Reconcile the 3 stray structural breakpoints (850, 768-max, 600-max) into the 599/767/900 system before considering breakpoint documentation complete (see Section 5).</w:t>
      </w:r>
    </w:p>
    <w:p>
      <w:pPr>
        <w:pStyle w:val="ListParagraph"/>
        <w:numPr>
          <w:ilvl w:val="0"/>
          <w:numId w:val="2"/>
        </w:numPr>
      </w:pPr>
      <w:r>
        <w:rPr>
          <w:sz w:val="21"/>
          <w:szCs w:val="21"/>
        </w:rPr>
        <w:t xml:space="preserve">6. Follow Ghost's migration order for the remaining pages: simple public info pages, then admin, then app-flow, then Dashboard/Listing Preview, with Create Listing and Onboarding last.</w:t>
      </w:r>
    </w:p>
    <w:p>
      <w:pPr>
        <w:pStyle w:val="ListParagraph"/>
        <w:numPr>
          <w:ilvl w:val="0"/>
          <w:numId w:val="2"/>
        </w:numPr>
      </w:pPr>
      <w:r>
        <w:rPr>
          <w:sz w:val="21"/>
          <w:szCs w:val="21"/>
        </w:rPr>
        <w:t xml:space="preserve">7. Remove replaced layout selectors only after all pages are visually confirmed — consistent with the standing rule from Passes 1 and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2026-06-30T07:01:17.808Z</dcterms:created>
  <dcterms:modified xsi:type="dcterms:W3CDTF">2026-06-30T07:01:17.821Z</dcterms:modified>
</cp:coreProperties>
</file>

<file path=docProps/custom.xml><?xml version="1.0" encoding="utf-8"?>
<Properties xmlns="http://schemas.openxmlformats.org/officeDocument/2006/custom-properties" xmlns:vt="http://schemas.openxmlformats.org/officeDocument/2006/docPropsVTypes"/>
</file>