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BlastyBiz – Pass 2 UX &amp; Navigation Handoff (Revised)</w:t>
      </w:r>
    </w:p>
    <w:p>
      <w:pPr>
        <w:pStyle w:val="Heading2"/>
      </w:pPr>
      <w:r>
        <w:t>Additional Recommendation</w:t>
      </w:r>
    </w:p>
    <w:p>
      <w:r>
        <w:t>Add a dedicated Login entry in the public header that authenticates existing users and, after successful authentication, routes them to the appropriate application entry point (Dashboard or last active page). This ensures administrators and existing customers have an obvious way to access Profile, Story, Create, Account, and all authorized admin tools.</w:t>
      </w:r>
    </w:p>
    <w:p>
      <w:pPr>
        <w:pStyle w:val="Heading2"/>
      </w:pPr>
      <w:r>
        <w:t>Public Header</w:t>
      </w:r>
    </w:p>
    <w:p>
      <w:r>
        <w:t>Home | How It Works | Pricing | About | Contact | Log In | Try It Free</w:t>
      </w:r>
    </w:p>
    <w:p>
      <w:pPr>
        <w:pStyle w:val="Heading2"/>
      </w:pPr>
      <w:r>
        <w:t>Post-Login Behavior</w:t>
      </w:r>
    </w:p>
    <w:p>
      <w:pPr>
        <w:pStyle w:val="ListBullet"/>
      </w:pPr>
      <w:r>
        <w:t>Log In is for existing users only.</w:t>
      </w:r>
    </w:p>
    <w:p>
      <w:pPr>
        <w:pStyle w:val="ListBullet"/>
      </w:pPr>
      <w:r>
        <w:t>Try It Free starts the onboarding/trial flow.</w:t>
      </w:r>
    </w:p>
    <w:p>
      <w:pPr>
        <w:pStyle w:val="ListBullet"/>
      </w:pPr>
      <w:r>
        <w:t>After login, show the authenticated workflow bar: Profile → Story → Create → Platforms → Schedule → History → Account.</w:t>
      </w:r>
    </w:p>
    <w:p>
      <w:pPr>
        <w:pStyle w:val="ListBullet"/>
      </w:pPr>
      <w:r>
        <w:t>Users with administrator privileges should also see an Admin entry (or Admin menu) after authentication only.</w:t>
      </w:r>
    </w:p>
    <w:p>
      <w:pPr>
        <w:pStyle w:val="ListBullet"/>
      </w:pPr>
      <w:r>
        <w:t>Never expose admin navigation to unauthenticated visitors.</w:t>
      </w:r>
    </w:p>
    <w:p>
      <w:pPr>
        <w:pStyle w:val="Heading2"/>
      </w:pPr>
      <w:r>
        <w:t>Reason</w:t>
      </w:r>
    </w:p>
    <w:p>
      <w:r>
        <w:t>Separating marketing navigation from authenticated navigation keeps the public experience clean while still giving administrators a direct, reliable path to management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