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Blasty Platform v3.0</w:t>
      </w:r>
    </w:p>
    <w:p>
      <w:pPr>
        <w:jc w:val="center"/>
      </w:pPr>
      <w:r>
        <w:rPr>
          <w:b/>
          <w:color w:val="D97706"/>
        </w:rPr>
        <w:t>Reusable Guidance Framework and BlastyBiz Implementation Specification</w:t>
      </w:r>
    </w:p>
    <w:p>
      <w:r>
        <w:t>Purpose: deliver a practical, reusable guidance system without allowing the project to expand into a separate software company. Version 3.0 supports the two real BlastyBiz journeys, capability-based branching, reusable mission configuration, anchored feature guidance, persistence, and host-application integration.</w:t>
      </w:r>
    </w:p>
    <w:p>
      <w:pPr>
        <w:pStyle w:val="Heading1"/>
      </w:pPr>
      <w:r>
        <w:t>1. Executive Decision</w:t>
      </w:r>
    </w:p>
    <w:p>
      <w:r>
        <w:t>Blasty is the visual implementation of a reusable Guidance Engine. The engine does not know product page names, subscription prices, Firebase collections, or the BlastyBiz brand. The host product supplies context, capabilities, mission packs, actions, targets, and persistence adapters.</w:t>
      </w:r>
    </w:p>
    <w:p>
      <w:r>
        <w:t>Version 3.0 is deliberately bounded. It is a functional framework and integration kit, not a voice assistant, analytics product, no-code mission builder, or autonomous screen-reading agent.</w:t>
      </w:r>
    </w:p>
    <w:p>
      <w:pPr>
        <w:pStyle w:val="Heading1"/>
      </w:pPr>
      <w:r>
        <w:t>2. The Two BlastyBiz Journeys</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tcPr>
          <w:p>
            <w:r>
              <w:t>Journey</w:t>
            </w:r>
          </w:p>
        </w:tc>
        <w:tc>
          <w:tcPr>
            <w:tcW w:type="dxa" w:w="2541"/>
          </w:tcPr>
          <w:p>
            <w:r>
              <w:t>User state</w:t>
            </w:r>
          </w:p>
        </w:tc>
        <w:tc>
          <w:tcPr>
            <w:tcW w:type="dxa" w:w="2541"/>
          </w:tcPr>
          <w:p>
            <w:r>
              <w:t>Purpose</w:t>
            </w:r>
          </w:p>
        </w:tc>
        <w:tc>
          <w:tcPr>
            <w:tcW w:type="dxa" w:w="2541"/>
          </w:tcPr>
          <w:p>
            <w:r>
              <w:t>Completion</w:t>
            </w:r>
          </w:p>
        </w:tc>
      </w:tr>
      <w:tr>
        <w:tc>
          <w:tcPr>
            <w:tcW w:type="dxa" w:w="2541"/>
            <w:vAlign w:val="center"/>
          </w:tcPr>
          <w:p>
            <w:r>
              <w:t>Registration Guide</w:t>
            </w:r>
          </w:p>
        </w:tc>
        <w:tc>
          <w:tcPr>
            <w:tcW w:type="dxa" w:w="2541"/>
            <w:vAlign w:val="center"/>
          </w:tcPr>
          <w:p>
            <w:r>
              <w:t>Anonymous</w:t>
            </w:r>
          </w:p>
        </w:tc>
        <w:tc>
          <w:tcPr>
            <w:tcW w:type="dxa" w:w="2541"/>
            <w:vAlign w:val="center"/>
          </w:tcPr>
          <w:p>
            <w:r>
              <w:t>Welcome, name, email, send authorization link</w:t>
            </w:r>
          </w:p>
        </w:tc>
        <w:tc>
          <w:tcPr>
            <w:tcW w:type="dxa" w:w="2541"/>
            <w:vAlign w:val="center"/>
          </w:tcPr>
          <w:p>
            <w:r>
              <w:t>Authorization link sent</w:t>
            </w:r>
          </w:p>
        </w:tc>
      </w:tr>
      <w:tr>
        <w:tc>
          <w:tcPr>
            <w:tcW w:type="dxa" w:w="2541"/>
            <w:vAlign w:val="center"/>
          </w:tcPr>
          <w:p>
            <w:r>
              <w:t>Workspace Wizard</w:t>
            </w:r>
          </w:p>
        </w:tc>
        <w:tc>
          <w:tcPr>
            <w:tcW w:type="dxa" w:w="2541"/>
            <w:vAlign w:val="center"/>
          </w:tcPr>
          <w:p>
            <w:r>
              <w:t>Authenticated</w:t>
            </w:r>
          </w:p>
        </w:tc>
        <w:tc>
          <w:tcPr>
            <w:tcW w:type="dxa" w:w="2541"/>
            <w:vAlign w:val="center"/>
          </w:tcPr>
          <w:p>
            <w:r>
              <w:t>Configure the workspace according to capabilities</w:t>
            </w:r>
          </w:p>
        </w:tc>
        <w:tc>
          <w:tcPr>
            <w:tcW w:type="dxa" w:w="2541"/>
            <w:vAlign w:val="center"/>
          </w:tcPr>
          <w:p>
            <w:r>
              <w:t>Profile saved and first feature identified</w:t>
            </w:r>
          </w:p>
        </w:tc>
      </w:tr>
    </w:tbl>
    <w:p>
      <w:pPr>
        <w:pStyle w:val="Heading2"/>
      </w:pPr>
      <w:r>
        <w:t>2.1 Registration Guide</w:t>
      </w:r>
    </w:p>
    <w:p>
      <w:pPr>
        <w:pStyle w:val="ListBullet"/>
      </w:pPr>
      <w:r>
        <w:t>Runs before account authorization.</w:t>
      </w:r>
    </w:p>
    <w:p>
      <w:pPr>
        <w:pStyle w:val="ListBullet"/>
      </w:pPr>
      <w:r>
        <w:t>Asks only for name and email.</w:t>
      </w:r>
    </w:p>
    <w:p>
      <w:pPr>
        <w:pStyle w:val="ListBullet"/>
      </w:pPr>
      <w:r>
        <w:t>Calls a host-supplied action to send the secure authorization link.</w:t>
      </w:r>
    </w:p>
    <w:p>
      <w:pPr>
        <w:pStyle w:val="ListBullet"/>
      </w:pPr>
      <w:r>
        <w:t>Persists enough state to recover from refresh, but does not create a full business profile.</w:t>
      </w:r>
    </w:p>
    <w:p>
      <w:pPr>
        <w:pStyle w:val="ListBullet"/>
      </w:pPr>
      <w:r>
        <w:t>Ends by explaining that Blasty will continue inside the authenticated wizard.</w:t>
      </w:r>
    </w:p>
    <w:p>
      <w:pPr>
        <w:pStyle w:val="Heading2"/>
      </w:pPr>
      <w:r>
        <w:t>2.2 Authenticated Workspace Wizard</w:t>
      </w:r>
    </w:p>
    <w:p>
      <w:pPr>
        <w:pStyle w:val="ListBullet"/>
      </w:pPr>
      <w:r>
        <w:t>Begins after the email authorization link returns the user to the application.</w:t>
      </w:r>
    </w:p>
    <w:p>
      <w:pPr>
        <w:pStyle w:val="ListBullet"/>
      </w:pPr>
      <w:r>
        <w:t>Receives authenticated user ID, plan, role, and capabilities from the host application.</w:t>
      </w:r>
    </w:p>
    <w:p>
      <w:pPr>
        <w:pStyle w:val="ListBullet"/>
      </w:pPr>
      <w:r>
        <w:t>Asks shared business questions first.</w:t>
      </w:r>
    </w:p>
    <w:p>
      <w:pPr>
        <w:pStyle w:val="ListBullet"/>
      </w:pPr>
      <w:r>
        <w:t>Adds Pro and Agency questions only when the matching capabilities exist.</w:t>
      </w:r>
    </w:p>
    <w:p>
      <w:pPr>
        <w:pStyle w:val="ListBullet"/>
      </w:pPr>
      <w:r>
        <w:t>Writes through a host action to the canonical workspace/business record.</w:t>
      </w:r>
    </w:p>
    <w:p>
      <w:pPr>
        <w:pStyle w:val="ListBullet"/>
      </w:pPr>
      <w:r>
        <w:t>Finishes by pointing to Create Campaign or falling back to a centered explanation.</w:t>
      </w:r>
    </w:p>
    <w:p>
      <w:pPr>
        <w:pStyle w:val="Heading1"/>
      </w:pPr>
      <w:r>
        <w:t>3. Plans Do Not Drive Mission Logic</w:t>
      </w:r>
    </w:p>
    <w:p>
      <w:r>
        <w:t>Plans are converted once into stable capabilities. Mission steps depend on capabilities, not prices or plan labels. This prevents the guide from breaking when pricing changes, promotional accounts are introduced, or Enterprise receives a custom entitlement set.</w:t>
      </w:r>
    </w:p>
    <w:p>
      <w:pPr>
        <w:pStyle w:val="NoSpacing"/>
        <w:spacing w:after="120"/>
        <w:ind w:left="360"/>
      </w:pPr>
      <w:r>
        <w:rPr>
          <w:rFonts w:ascii="Consolas" w:hAnsi="Consolas"/>
          <w:sz w:val="17"/>
        </w:rPr>
        <w:t>const capabilities = new CapabilityResolver({ plan, role, overrides }).resolve();</w:t>
      </w:r>
    </w:p>
    <w:tbl>
      <w:tblPr>
        <w:tblStyle w:val="LightShading-Accent1"/>
        <w:tblW w:type="auto" w:w="0"/>
        <w:jc w:val="center"/>
        <w:tblLook w:firstColumn="1" w:firstRow="1" w:lastColumn="0" w:lastRow="0" w:noHBand="0" w:noVBand="1" w:val="04A0"/>
      </w:tblPr>
      <w:tblGrid>
        <w:gridCol w:w="2541"/>
        <w:gridCol w:w="2541"/>
        <w:gridCol w:w="2541"/>
        <w:gridCol w:w="2541"/>
      </w:tblGrid>
      <w:tr>
        <w:tc>
          <w:tcPr>
            <w:tcW w:type="dxa" w:w="2541"/>
          </w:tcPr>
          <w:p>
            <w:r>
              <w:t>Capability</w:t>
            </w:r>
          </w:p>
        </w:tc>
        <w:tc>
          <w:tcPr>
            <w:tcW w:type="dxa" w:w="2541"/>
          </w:tcPr>
          <w:p>
            <w:r>
              <w:t>Free</w:t>
            </w:r>
          </w:p>
        </w:tc>
        <w:tc>
          <w:tcPr>
            <w:tcW w:type="dxa" w:w="2541"/>
          </w:tcPr>
          <w:p>
            <w:r>
              <w:t>Pro</w:t>
            </w:r>
          </w:p>
        </w:tc>
        <w:tc>
          <w:tcPr>
            <w:tcW w:type="dxa" w:w="2541"/>
          </w:tcPr>
          <w:p>
            <w:r>
              <w:t>Agency</w:t>
            </w:r>
          </w:p>
        </w:tc>
      </w:tr>
      <w:tr>
        <w:tc>
          <w:tcPr>
            <w:tcW w:type="dxa" w:w="2541"/>
            <w:vAlign w:val="center"/>
          </w:tcPr>
          <w:p>
            <w:r>
              <w:t>canUseAdvancedAI</w:t>
            </w:r>
          </w:p>
        </w:tc>
        <w:tc>
          <w:tcPr>
            <w:tcW w:type="dxa" w:w="2541"/>
            <w:vAlign w:val="center"/>
          </w:tcPr>
          <w:p>
            <w:r>
              <w:t>No</w:t>
            </w:r>
          </w:p>
        </w:tc>
        <w:tc>
          <w:tcPr>
            <w:tcW w:type="dxa" w:w="2541"/>
            <w:vAlign w:val="center"/>
          </w:tcPr>
          <w:p>
            <w:r>
              <w:t>Yes</w:t>
            </w:r>
          </w:p>
        </w:tc>
        <w:tc>
          <w:tcPr>
            <w:tcW w:type="dxa" w:w="2541"/>
            <w:vAlign w:val="center"/>
          </w:tcPr>
          <w:p>
            <w:r>
              <w:t>Yes</w:t>
            </w:r>
          </w:p>
        </w:tc>
      </w:tr>
      <w:tr>
        <w:tc>
          <w:tcPr>
            <w:tcW w:type="dxa" w:w="2541"/>
            <w:vAlign w:val="center"/>
          </w:tcPr>
          <w:p>
            <w:r>
              <w:t>canConnectPlatforms</w:t>
            </w:r>
          </w:p>
        </w:tc>
        <w:tc>
          <w:tcPr>
            <w:tcW w:type="dxa" w:w="2541"/>
            <w:vAlign w:val="center"/>
          </w:tcPr>
          <w:p>
            <w:r>
              <w:t>No</w:t>
            </w:r>
          </w:p>
        </w:tc>
        <w:tc>
          <w:tcPr>
            <w:tcW w:type="dxa" w:w="2541"/>
            <w:vAlign w:val="center"/>
          </w:tcPr>
          <w:p>
            <w:r>
              <w:t>Yes</w:t>
            </w:r>
          </w:p>
        </w:tc>
        <w:tc>
          <w:tcPr>
            <w:tcW w:type="dxa" w:w="2541"/>
            <w:vAlign w:val="center"/>
          </w:tcPr>
          <w:p>
            <w:r>
              <w:t>Yes</w:t>
            </w:r>
          </w:p>
        </w:tc>
      </w:tr>
      <w:tr>
        <w:tc>
          <w:tcPr>
            <w:tcW w:type="dxa" w:w="2541"/>
            <w:vAlign w:val="center"/>
          </w:tcPr>
          <w:p>
            <w:r>
              <w:t>canAutoPublish</w:t>
            </w:r>
          </w:p>
        </w:tc>
        <w:tc>
          <w:tcPr>
            <w:tcW w:type="dxa" w:w="2541"/>
            <w:vAlign w:val="center"/>
          </w:tcPr>
          <w:p>
            <w:r>
              <w:t>No</w:t>
            </w:r>
          </w:p>
        </w:tc>
        <w:tc>
          <w:tcPr>
            <w:tcW w:type="dxa" w:w="2541"/>
            <w:vAlign w:val="center"/>
          </w:tcPr>
          <w:p>
            <w:r>
              <w:t>Yes</w:t>
            </w:r>
          </w:p>
        </w:tc>
        <w:tc>
          <w:tcPr>
            <w:tcW w:type="dxa" w:w="2541"/>
            <w:vAlign w:val="center"/>
          </w:tcPr>
          <w:p>
            <w:r>
              <w:t>Yes</w:t>
            </w:r>
          </w:p>
        </w:tc>
      </w:tr>
      <w:tr>
        <w:tc>
          <w:tcPr>
            <w:tcW w:type="dxa" w:w="2541"/>
            <w:vAlign w:val="center"/>
          </w:tcPr>
          <w:p>
            <w:r>
              <w:t>canManageClients</w:t>
            </w:r>
          </w:p>
        </w:tc>
        <w:tc>
          <w:tcPr>
            <w:tcW w:type="dxa" w:w="2541"/>
            <w:vAlign w:val="center"/>
          </w:tcPr>
          <w:p>
            <w:r>
              <w:t>No</w:t>
            </w:r>
          </w:p>
        </w:tc>
        <w:tc>
          <w:tcPr>
            <w:tcW w:type="dxa" w:w="2541"/>
            <w:vAlign w:val="center"/>
          </w:tcPr>
          <w:p>
            <w:r>
              <w:t>No</w:t>
            </w:r>
          </w:p>
        </w:tc>
        <w:tc>
          <w:tcPr>
            <w:tcW w:type="dxa" w:w="2541"/>
            <w:vAlign w:val="center"/>
          </w:tcPr>
          <w:p>
            <w:r>
              <w:t>Yes</w:t>
            </w:r>
          </w:p>
        </w:tc>
      </w:tr>
      <w:tr>
        <w:tc>
          <w:tcPr>
            <w:tcW w:type="dxa" w:w="2541"/>
            <w:vAlign w:val="center"/>
          </w:tcPr>
          <w:p>
            <w:r>
              <w:t>canManageTeam</w:t>
            </w:r>
          </w:p>
        </w:tc>
        <w:tc>
          <w:tcPr>
            <w:tcW w:type="dxa" w:w="2541"/>
            <w:vAlign w:val="center"/>
          </w:tcPr>
          <w:p>
            <w:r>
              <w:t>No</w:t>
            </w:r>
          </w:p>
        </w:tc>
        <w:tc>
          <w:tcPr>
            <w:tcW w:type="dxa" w:w="2541"/>
            <w:vAlign w:val="center"/>
          </w:tcPr>
          <w:p>
            <w:r>
              <w:t>No</w:t>
            </w:r>
          </w:p>
        </w:tc>
        <w:tc>
          <w:tcPr>
            <w:tcW w:type="dxa" w:w="2541"/>
            <w:vAlign w:val="center"/>
          </w:tcPr>
          <w:p>
            <w:r>
              <w:t>Yes</w:t>
            </w:r>
          </w:p>
        </w:tc>
      </w:tr>
      <w:tr>
        <w:tc>
          <w:tcPr>
            <w:tcW w:type="dxa" w:w="2541"/>
            <w:vAlign w:val="center"/>
          </w:tcPr>
          <w:p>
            <w:r>
              <w:t>canUseApprovals</w:t>
            </w:r>
          </w:p>
        </w:tc>
        <w:tc>
          <w:tcPr>
            <w:tcW w:type="dxa" w:w="2541"/>
            <w:vAlign w:val="center"/>
          </w:tcPr>
          <w:p>
            <w:r>
              <w:t>No</w:t>
            </w:r>
          </w:p>
        </w:tc>
        <w:tc>
          <w:tcPr>
            <w:tcW w:type="dxa" w:w="2541"/>
            <w:vAlign w:val="center"/>
          </w:tcPr>
          <w:p>
            <w:r>
              <w:t>No</w:t>
            </w:r>
          </w:p>
        </w:tc>
        <w:tc>
          <w:tcPr>
            <w:tcW w:type="dxa" w:w="2541"/>
            <w:vAlign w:val="center"/>
          </w:tcPr>
          <w:p>
            <w:r>
              <w:t>Yes</w:t>
            </w:r>
          </w:p>
        </w:tc>
      </w:tr>
      <w:tr>
        <w:tc>
          <w:tcPr>
            <w:tcW w:type="dxa" w:w="2541"/>
            <w:vAlign w:val="center"/>
          </w:tcPr>
          <w:p>
            <w:r>
              <w:t>canWhiteLabel</w:t>
            </w:r>
          </w:p>
        </w:tc>
        <w:tc>
          <w:tcPr>
            <w:tcW w:type="dxa" w:w="2541"/>
            <w:vAlign w:val="center"/>
          </w:tcPr>
          <w:p>
            <w:r>
              <w:t>No</w:t>
            </w:r>
          </w:p>
        </w:tc>
        <w:tc>
          <w:tcPr>
            <w:tcW w:type="dxa" w:w="2541"/>
            <w:vAlign w:val="center"/>
          </w:tcPr>
          <w:p>
            <w:r>
              <w:t>No</w:t>
            </w:r>
          </w:p>
        </w:tc>
        <w:tc>
          <w:tcPr>
            <w:tcW w:type="dxa" w:w="2541"/>
            <w:vAlign w:val="center"/>
          </w:tcPr>
          <w:p>
            <w:r>
              <w:t>Yes</w:t>
            </w:r>
          </w:p>
        </w:tc>
      </w:tr>
    </w:tbl>
    <w:p>
      <w:pPr>
        <w:pStyle w:val="Heading1"/>
      </w:pPr>
      <w:r>
        <w:t>4. Architecture</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t>Layer</w:t>
            </w:r>
          </w:p>
        </w:tc>
        <w:tc>
          <w:tcPr>
            <w:tcW w:type="dxa" w:w="5083"/>
          </w:tcPr>
          <w:p>
            <w:r>
              <w:t>Responsibility</w:t>
            </w:r>
          </w:p>
        </w:tc>
      </w:tr>
      <w:tr>
        <w:tc>
          <w:tcPr>
            <w:tcW w:type="dxa" w:w="5083"/>
            <w:vAlign w:val="center"/>
          </w:tcPr>
          <w:p>
            <w:r>
              <w:t>BlastyController</w:t>
            </w:r>
          </w:p>
        </w:tc>
        <w:tc>
          <w:tcPr>
            <w:tcW w:type="dxa" w:w="5083"/>
            <w:vAlign w:val="center"/>
          </w:tcPr>
          <w:p>
            <w:r>
              <w:t>SVG mounting, animation states, speech, gaze, dragging, garage/park mode</w:t>
            </w:r>
          </w:p>
        </w:tc>
      </w:tr>
      <w:tr>
        <w:tc>
          <w:tcPr>
            <w:tcW w:type="dxa" w:w="5083"/>
            <w:vAlign w:val="center"/>
          </w:tcPr>
          <w:p>
            <w:r>
              <w:t>BlastyPersonality</w:t>
            </w:r>
          </w:p>
        </w:tc>
        <w:tc>
          <w:tcPr>
            <w:tcW w:type="dxa" w:w="5083"/>
            <w:vAlign w:val="center"/>
          </w:tcPr>
          <w:p>
            <w:r>
              <w:t>Reaction style and verbosity</w:t>
            </w:r>
          </w:p>
        </w:tc>
      </w:tr>
      <w:tr>
        <w:tc>
          <w:tcPr>
            <w:tcW w:type="dxa" w:w="5083"/>
            <w:vAlign w:val="center"/>
          </w:tcPr>
          <w:p>
            <w:r>
              <w:t>CapabilityResolver</w:t>
            </w:r>
          </w:p>
        </w:tc>
        <w:tc>
          <w:tcPr>
            <w:tcW w:type="dxa" w:w="5083"/>
            <w:vAlign w:val="center"/>
          </w:tcPr>
          <w:p>
            <w:r>
              <w:t>Translate host account data into stable feature permissions</w:t>
            </w:r>
          </w:p>
        </w:tc>
      </w:tr>
      <w:tr>
        <w:tc>
          <w:tcPr>
            <w:tcW w:type="dxa" w:w="5083"/>
            <w:vAlign w:val="center"/>
          </w:tcPr>
          <w:p>
            <w:r>
              <w:t>MissionRegistry</w:t>
            </w:r>
          </w:p>
        </w:tc>
        <w:tc>
          <w:tcPr>
            <w:tcW w:type="dxa" w:w="5083"/>
            <w:vAlign w:val="center"/>
          </w:tcPr>
          <w:p>
            <w:r>
              <w:t>Register and retrieve reusable mission packs</w:t>
            </w:r>
          </w:p>
        </w:tc>
      </w:tr>
      <w:tr>
        <w:tc>
          <w:tcPr>
            <w:tcW w:type="dxa" w:w="5083"/>
            <w:vAlign w:val="center"/>
          </w:tcPr>
          <w:p>
            <w:r>
              <w:t>GuidanceStore</w:t>
            </w:r>
          </w:p>
        </w:tc>
        <w:tc>
          <w:tcPr>
            <w:tcW w:type="dxa" w:w="5083"/>
            <w:vAlign w:val="center"/>
          </w:tcPr>
          <w:p>
            <w:r>
              <w:t>Local-first state plus optional remote account synchronization</w:t>
            </w:r>
          </w:p>
        </w:tc>
      </w:tr>
      <w:tr>
        <w:tc>
          <w:tcPr>
            <w:tcW w:type="dxa" w:w="5083"/>
            <w:vAlign w:val="center"/>
          </w:tcPr>
          <w:p>
            <w:r>
              <w:t>GuidanceEngine</w:t>
            </w:r>
          </w:p>
        </w:tc>
        <w:tc>
          <w:tcPr>
            <w:tcW w:type="dxa" w:w="5083"/>
            <w:vAlign w:val="center"/>
          </w:tcPr>
          <w:p>
            <w:r>
              <w:t>Execute message, question, target, and action steps</w:t>
            </w:r>
          </w:p>
        </w:tc>
      </w:tr>
      <w:tr>
        <w:tc>
          <w:tcPr>
            <w:tcW w:type="dxa" w:w="5083"/>
            <w:vAlign w:val="center"/>
          </w:tcPr>
          <w:p>
            <w:r>
              <w:t>Mission packs</w:t>
            </w:r>
          </w:p>
        </w:tc>
        <w:tc>
          <w:tcPr>
            <w:tcW w:type="dxa" w:w="5083"/>
            <w:vAlign w:val="center"/>
          </w:tcPr>
          <w:p>
            <w:r>
              <w:t>Product-specific journeys and branching rules</w:t>
            </w:r>
          </w:p>
        </w:tc>
      </w:tr>
      <w:tr>
        <w:tc>
          <w:tcPr>
            <w:tcW w:type="dxa" w:w="5083"/>
            <w:vAlign w:val="center"/>
          </w:tcPr>
          <w:p>
            <w:r>
              <w:t>Host actions</w:t>
            </w:r>
          </w:p>
        </w:tc>
        <w:tc>
          <w:tcPr>
            <w:tcW w:type="dxa" w:w="5083"/>
            <w:vAlign w:val="center"/>
          </w:tcPr>
          <w:p>
            <w:r>
              <w:t>Authentication, Cloud Functions, Firestore writes, publishing, and other product-owned work</w:t>
            </w:r>
          </w:p>
        </w:tc>
      </w:tr>
    </w:tbl>
    <w:p>
      <w:pPr>
        <w:pStyle w:val="Heading1"/>
      </w:pPr>
      <w:r>
        <w:t>5. Mission Model</w:t>
      </w:r>
    </w:p>
    <w:p>
      <w:r>
        <w:t>A mission is a versioned sequence of declarative steps. The engine supports four step types in v3.0: message, question, target, and action.</w:t>
      </w:r>
    </w:p>
    <w:p>
      <w:pPr>
        <w:pStyle w:val="NoSpacing"/>
        <w:spacing w:after="120"/>
        <w:ind w:left="360"/>
      </w:pPr>
      <w:r>
        <w:rPr>
          <w:rFonts w:ascii="Consolas" w:hAnsi="Consolas"/>
          <w:sz w:val="17"/>
        </w:rPr>
        <w:t>{</w:t>
        <w:br/>
        <w:t xml:space="preserve">  id: "targetCustomer",</w:t>
        <w:br/>
        <w:t xml:space="preserve">  type: "question",</w:t>
        <w:br/>
        <w:t xml:space="preserve">  requires: ["canUseAdvancedAI"],</w:t>
        <w:br/>
        <w:t xml:space="preserve">  message: "Who is the ideal customer?",</w:t>
        <w:br/>
        <w:t xml:space="preserve">  required: true</w:t>
        <w:br/>
        <w:t>}</w:t>
      </w:r>
    </w:p>
    <w:p>
      <w:r>
        <w:t>The registry removes steps whose required capabilities are absent. This produces a short Free wizard, a richer Pro wizard, and an Agency setup flow without copying the entire mission three times.</w:t>
      </w:r>
    </w:p>
    <w:p>
      <w:pPr>
        <w:pStyle w:val="Heading1"/>
      </w:pPr>
      <w:r>
        <w:t>6. Anchored Guidance</w:t>
      </w:r>
    </w:p>
    <w:p>
      <w:r>
        <w:t>Targets use stable semantic attributes rather than CSS styling classes. The reusable contract is:</w:t>
      </w:r>
    </w:p>
    <w:p>
      <w:pPr>
        <w:pStyle w:val="NoSpacing"/>
        <w:spacing w:after="120"/>
        <w:ind w:left="360"/>
      </w:pPr>
      <w:r>
        <w:rPr>
          <w:rFonts w:ascii="Consolas" w:hAnsi="Consolas"/>
          <w:sz w:val="17"/>
        </w:rPr>
        <w:t>&lt;button data-guidance-target="create-campaign"&gt;Create Campaign&lt;/button&gt;</w:t>
      </w:r>
    </w:p>
    <w:p>
      <w:r>
        <w:t>The engine scrolls the target into view, highlights it through the existing controller, turns Blasty toward it, and waits for the configured completion behavior. When a target cannot be found, the same step remains usable as a centered message with Continue.</w:t>
      </w:r>
    </w:p>
    <w:p>
      <w:pPr>
        <w:pStyle w:val="Heading1"/>
      </w:pPr>
      <w:r>
        <w:t>7. One-Time and Versioned Behavior</w:t>
      </w:r>
    </w:p>
    <w:p>
      <w:r>
        <w:t>Each mission stores mission ID, version, current step, status, completion timestamp, answers, stage, and updated timestamp. A completed mission does not automatically run again at the same version. A future mission version may run only when the product intentionally increments that mission version.</w:t>
      </w:r>
    </w:p>
    <w:p>
      <w:pPr>
        <w:pStyle w:val="ListBullet"/>
      </w:pPr>
      <w:r>
        <w:t>Registration and workspace setup are separate completion records.</w:t>
      </w:r>
    </w:p>
    <w:p>
      <w:pPr>
        <w:pStyle w:val="ListBullet"/>
      </w:pPr>
      <w:r>
        <w:t>Anonymous registration state uses an anonymous key until the host transfers or merges it after sign-in.</w:t>
      </w:r>
    </w:p>
    <w:p>
      <w:pPr>
        <w:pStyle w:val="ListBullet"/>
      </w:pPr>
      <w:r>
        <w:t>Authenticated wizard state should be mirrored to the user account through the account adapter.</w:t>
      </w:r>
    </w:p>
    <w:p>
      <w:pPr>
        <w:pStyle w:val="ListBullet"/>
      </w:pPr>
      <w:r>
        <w:t>Replay must be an explicit product command using force mode or a dedicated replay control.</w:t>
      </w:r>
    </w:p>
    <w:p>
      <w:pPr>
        <w:pStyle w:val="Heading1"/>
      </w:pPr>
      <w:r>
        <w:t>8. Host Integration Contract</w:t>
      </w:r>
    </w:p>
    <w:p>
      <w:pPr>
        <w:pStyle w:val="Heading2"/>
      </w:pPr>
      <w:r>
        <w:t>8.1 Start-up context</w:t>
      </w:r>
    </w:p>
    <w:p>
      <w:pPr>
        <w:pStyle w:val="NoSpacing"/>
        <w:spacing w:after="120"/>
        <w:ind w:left="360"/>
      </w:pPr>
      <w:r>
        <w:rPr>
          <w:rFonts w:ascii="Consolas" w:hAnsi="Consolas"/>
          <w:sz w:val="17"/>
        </w:rPr>
        <w:t>startBlastyV3({</w:t>
        <w:br/>
        <w:t xml:space="preserve">  stage: user ? "wizard" : "registration",</w:t>
        <w:br/>
        <w:t xml:space="preserve">  authenticated: Boolean(user),</w:t>
        <w:br/>
        <w:t xml:space="preserve">  userId: user?.uid || "anonymous",</w:t>
        <w:br/>
        <w:t xml:space="preserve">  plan: account.plan,</w:t>
        <w:br/>
        <w:t xml:space="preserve">  role: account.role,</w:t>
        <w:br/>
        <w:t xml:space="preserve">  accountAdapter,</w:t>
        <w:br/>
        <w:t xml:space="preserve">  actions</w:t>
        <w:br/>
        <w:t>});</w:t>
      </w:r>
    </w:p>
    <w:p>
      <w:pPr>
        <w:pStyle w:val="Heading2"/>
      </w:pPr>
      <w:r>
        <w:t>8.2 Host actions</w:t>
      </w:r>
    </w:p>
    <w:p>
      <w:r>
        <w:t>The reusable engine never sends login links or writes business records directly. The host supplies named asynchronous actions. Version 3.0 includes examples for sendAuthorizationLink and saveWorkspaceProfile.</w:t>
      </w:r>
    </w:p>
    <w:p>
      <w:pPr>
        <w:pStyle w:val="Heading2"/>
      </w:pPr>
      <w:r>
        <w:t>8.3 Account adapter</w:t>
      </w:r>
    </w:p>
    <w:p>
      <w:r>
        <w:t>The account adapter exposes load(userId), save(userId, state), and reset(userId). A Firestore-shaped example is included, but collection paths remain the responsibility of the current BlastyBiz codebase.</w:t>
      </w:r>
    </w:p>
    <w:p>
      <w:pPr>
        <w:pStyle w:val="Heading1"/>
      </w:pPr>
      <w:r>
        <w:t>9. Included Working Package</w:t>
      </w:r>
    </w:p>
    <w:p>
      <w:pPr>
        <w:pStyle w:val="ListBullet"/>
      </w:pPr>
      <w:r>
        <w:t>Existing layered Blasty SVG and mood animation system.</w:t>
      </w:r>
    </w:p>
    <w:p>
      <w:pPr>
        <w:pStyle w:val="ListBullet"/>
      </w:pPr>
      <w:r>
        <w:t>Existing drag, gaze, confetti, auto-park, and garage behavior.</w:t>
      </w:r>
    </w:p>
    <w:p>
      <w:pPr>
        <w:pStyle w:val="ListBullet"/>
      </w:pPr>
      <w:r>
        <w:t>Capability resolver.</w:t>
      </w:r>
    </w:p>
    <w:p>
      <w:pPr>
        <w:pStyle w:val="ListBullet"/>
      </w:pPr>
      <w:r>
        <w:t>Mission registry.</w:t>
      </w:r>
    </w:p>
    <w:p>
      <w:pPr>
        <w:pStyle w:val="ListBullet"/>
      </w:pPr>
      <w:r>
        <w:t>Local-first guidance store with remote adapter hook.</w:t>
      </w:r>
    </w:p>
    <w:p>
      <w:pPr>
        <w:pStyle w:val="ListBullet"/>
      </w:pPr>
      <w:r>
        <w:t>Mission engine with message, question, target, and action steps.</w:t>
      </w:r>
    </w:p>
    <w:p>
      <w:pPr>
        <w:pStyle w:val="ListBullet"/>
      </w:pPr>
      <w:r>
        <w:t>Registration mission pack.</w:t>
      </w:r>
    </w:p>
    <w:p>
      <w:pPr>
        <w:pStyle w:val="ListBullet"/>
      </w:pPr>
      <w:r>
        <w:t>Workspace mission pack with Free, Pro, and Agency branching.</w:t>
      </w:r>
    </w:p>
    <w:p>
      <w:pPr>
        <w:pStyle w:val="ListBullet"/>
      </w:pPr>
      <w:r>
        <w:t>BlastyBiz action adapter example.</w:t>
      </w:r>
    </w:p>
    <w:p>
      <w:pPr>
        <w:pStyle w:val="ListBullet"/>
      </w:pPr>
      <w:r>
        <w:t>Firebase account adapter example.</w:t>
      </w:r>
    </w:p>
    <w:p>
      <w:pPr>
        <w:pStyle w:val="ListBullet"/>
      </w:pPr>
      <w:r>
        <w:t>v3 bootstrap module.</w:t>
      </w:r>
    </w:p>
    <w:p>
      <w:pPr>
        <w:pStyle w:val="ListBullet"/>
      </w:pPr>
      <w:r>
        <w:t>Working browser demo with stage and plan selectors.</w:t>
      </w:r>
    </w:p>
    <w:p>
      <w:pPr>
        <w:pStyle w:val="Heading1"/>
      </w:pPr>
      <w:r>
        <w:t>10. Production Integration Sequence</w:t>
      </w:r>
    </w:p>
    <w:p>
      <w:r>
        <w:t>1. Add the v3 CSS and Blasty host element to the registration and wizard shells.</w:t>
      </w:r>
    </w:p>
    <w:p>
      <w:r>
        <w:t>2. Wire the real email authorization action to the existing Firebase authentication method.</w:t>
      </w:r>
    </w:p>
    <w:p>
      <w:r>
        <w:t>3. After authorization, resolve the account and pass authenticated context to startBlastyV3.</w:t>
      </w:r>
    </w:p>
    <w:p>
      <w:r>
        <w:t>4. Map current plan records to capabilities; do not duplicate plan checks inside missions.</w:t>
      </w:r>
    </w:p>
    <w:p>
      <w:r>
        <w:t>5. Wire saveWorkspaceProfile to the canonical business/workspace schema.</w:t>
      </w:r>
    </w:p>
    <w:p>
      <w:r>
        <w:t>6. Add stable data-guidance-target attributes to wizard and dashboard controls.</w:t>
      </w:r>
    </w:p>
    <w:p>
      <w:r>
        <w:t>7. Add the remote guidance adapter to the authenticated user record.</w:t>
      </w:r>
    </w:p>
    <w:p>
      <w:r>
        <w:t>8. Run Free, Pro, and Agency acceptance tests on desktop and mobile.</w:t>
      </w:r>
    </w:p>
    <w:p>
      <w:r>
        <w:t>9. Increment mission versions only when an intentional onboarding change should reach completed users.</w:t>
      </w:r>
    </w:p>
    <w:p>
      <w:pPr>
        <w:pStyle w:val="Heading1"/>
      </w:pPr>
      <w:r>
        <w:t>11. Acceptance Criteria</w:t>
      </w:r>
    </w:p>
    <w:p>
      <w:pPr>
        <w:pStyle w:val="ListBullet"/>
      </w:pPr>
      <w:r>
        <w:t>Anonymous users see only the registration mission.</w:t>
      </w:r>
    </w:p>
    <w:p>
      <w:pPr>
        <w:pStyle w:val="ListBullet"/>
      </w:pPr>
      <w:r>
        <w:t>Registration accepts a valid name and email, invokes the authorization action once, and reaches completion.</w:t>
      </w:r>
    </w:p>
    <w:p>
      <w:pPr>
        <w:pStyle w:val="ListBullet"/>
      </w:pPr>
      <w:r>
        <w:t>The authenticated wizard cannot start without the authenticated capability.</w:t>
      </w:r>
    </w:p>
    <w:p>
      <w:pPr>
        <w:pStyle w:val="ListBullet"/>
      </w:pPr>
      <w:r>
        <w:t>Free users never see Pro or Agency questions.</w:t>
      </w:r>
    </w:p>
    <w:p>
      <w:pPr>
        <w:pStyle w:val="ListBullet"/>
      </w:pPr>
      <w:r>
        <w:t>Pro users receive advanced marketing questions but no agency-management questions.</w:t>
      </w:r>
    </w:p>
    <w:p>
      <w:pPr>
        <w:pStyle w:val="ListBullet"/>
      </w:pPr>
      <w:r>
        <w:t>Agency users receive shared, advanced, and agency-management questions.</w:t>
      </w:r>
    </w:p>
    <w:p>
      <w:pPr>
        <w:pStyle w:val="ListBullet"/>
      </w:pPr>
      <w:r>
        <w:t>Refresh resumes the current mission.</w:t>
      </w:r>
    </w:p>
    <w:p>
      <w:pPr>
        <w:pStyle w:val="ListBullet"/>
      </w:pPr>
      <w:r>
        <w:t>Completed missions do not fire again at the same version.</w:t>
      </w:r>
    </w:p>
    <w:p>
      <w:pPr>
        <w:pStyle w:val="ListBullet"/>
      </w:pPr>
      <w:r>
        <w:t>Missing targets fall back without trapping the user.</w:t>
      </w:r>
    </w:p>
    <w:p>
      <w:pPr>
        <w:pStyle w:val="ListBullet"/>
      </w:pPr>
      <w:r>
        <w:t>Keyboard controls and reduced-motion behavior remain functional.</w:t>
      </w:r>
    </w:p>
    <w:p>
      <w:pPr>
        <w:pStyle w:val="ListBullet"/>
      </w:pPr>
      <w:r>
        <w:t>No mission directly imports Firebase or hardcodes a collection path.</w:t>
      </w:r>
    </w:p>
    <w:p>
      <w:pPr>
        <w:pStyle w:val="Heading1"/>
      </w:pPr>
      <w:r>
        <w:t>12. Explicit Non-Goals for v3.0</w:t>
      </w:r>
    </w:p>
    <w:p>
      <w:pPr>
        <w:pStyle w:val="ListBullet"/>
      </w:pPr>
      <w:r>
        <w:t>Voice input or speech synthesis.</w:t>
      </w:r>
    </w:p>
    <w:p>
      <w:pPr>
        <w:pStyle w:val="ListBullet"/>
      </w:pPr>
      <w:r>
        <w:t>A visual mission editor or admin drag-and-drop builder.</w:t>
      </w:r>
    </w:p>
    <w:p>
      <w:pPr>
        <w:pStyle w:val="ListBullet"/>
      </w:pPr>
      <w:r>
        <w:t>Automatic AI inspection of arbitrary pages.</w:t>
      </w:r>
    </w:p>
    <w:p>
      <w:pPr>
        <w:pStyle w:val="ListBullet"/>
      </w:pPr>
      <w:r>
        <w:t>Analytics dashboards and optimization experiments.</w:t>
      </w:r>
    </w:p>
    <w:p>
      <w:pPr>
        <w:pStyle w:val="ListBullet"/>
      </w:pPr>
      <w:r>
        <w:t>General-purpose support chat after onboarding.</w:t>
      </w:r>
    </w:p>
    <w:p>
      <w:pPr>
        <w:pStyle w:val="ListBullet"/>
      </w:pPr>
      <w:r>
        <w:t>Automatic conversion of every existing page into a mission.</w:t>
      </w:r>
    </w:p>
    <w:p>
      <w:pPr>
        <w:pStyle w:val="ListBullet"/>
      </w:pPr>
      <w:r>
        <w:t>A separate package manager or hosted SaaS product.</w:t>
      </w:r>
    </w:p>
    <w:p>
      <w:pPr>
        <w:pStyle w:val="Heading1"/>
      </w:pPr>
      <w:r>
        <w:t>13. Future-Safe Extension Points</w:t>
      </w:r>
    </w:p>
    <w:p>
      <w:r>
        <w:t>Other products can reuse the engine by replacing the mascot/personality pack, registering their own mission packs, providing capabilities, and supplying host actions. No change to GuidanceEngine is required for normal product-specific questions or targets.</w:t>
      </w:r>
    </w:p>
    <w:p>
      <w:r>
        <w:t>Examples: Litigant AI can register a First Courtroom mission; Kingdom Connects can register a Business Listing mission; QR Gear can register a First Product mission. These are future mission configurations, not additional v3.0 scope.</w:t>
      </w:r>
    </w:p>
    <w:p>
      <w:pPr>
        <w:pStyle w:val="Heading1"/>
      </w:pPr>
      <w:r>
        <w:t>14. Final Recommendation</w:t>
      </w:r>
    </w:p>
    <w:p>
      <w:r>
        <w:t>Use v3.0 as the shared foundation, but integrate it first in BlastyBiz registration and the authenticated wizard. Prove those two journeys before creating mission packs for other applications. This captures the reusable value without turning the framework into an uncontrolled side project.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Blasty Platform v3.0 —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3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9770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13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3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