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BlastyBiz — Style System Consolidation Handoff</w:t>
      </w:r>
    </w:p>
    <w:p>
      <w:pPr>
        <w:spacing w:after="100"/>
      </w:pPr>
      <w:r>
        <w:rPr>
          <w:color w:val="555555"/>
          <w:sz w:val="24"/>
          <w:szCs w:val="24"/>
        </w:rPr>
        <w:t xml:space="preserve">Ghost's Pass 1 (Foundation + Utilities), Claude-Verified</w:t>
      </w:r>
    </w:p>
    <w:p>
      <w:pPr>
        <w:spacing w:after="300"/>
      </w:pPr>
      <w:r>
        <w:rPr>
          <w:i/>
          <w:iCs/>
          <w:color w:val="777777"/>
          <w:sz w:val="18"/>
          <w:szCs w:val="18"/>
        </w:rPr>
        <w:t xml:space="preserve">Prepared for: Rep  |  Source: BlastyBiz_Site.zip, global-style.css confirmed 2402 lines  |  Workflow: Ghost analyzed first, Claude verified every specific claim against the actual file before this handoff was finalized</w:t>
      </w:r>
    </w:p>
    <w:p>
      <w:pPr>
        <w:pStyle w:val="Heading1"/>
      </w:pPr>
      <w:r>
        <w:t xml:space="preserve">How This Document Was Built</w:t>
      </w:r>
    </w:p>
    <w:p>
      <w:pPr>
        <w:spacing w:after="160"/>
      </w:pPr>
      <w:r>
        <w:t xml:space="preserve">Ghost produced the original Pass 1 Foundation + Utilities audit. Before passing it to Rep, every specific selector claim was independently re-verified against the actual global-style.css — not just trusted. This matters here more than in most passes: a CSS consolidation touches every page at once, so a wrong call about what's "duplicate" risks either leaving a real bug unfixed or merging two genuinely different components into one, breaking both.</w:t>
      </w:r>
    </w:p>
    <w:p>
      <w:pPr>
        <w:spacing w:after="160"/>
      </w:pPr>
      <w:r>
        <w:rPr>
          <w:b/>
          <w:bCs/>
        </w:rPr>
        <w:t xml:space="preserve">Result: Ghost's overall philosophy and structure (globalize primitives, not pages) is confirmed correct and is the core guidance Rep should follow. The specific claim that needed correction was the framing of "23 duplicate selectors" as one uniform risk category — verification found this group splits into three meaningfully different situations, detailed in Section 2.</w:t>
      </w:r>
    </w:p>
    <w:p>
      <w:pPr>
        <w:pStyle w:val="Heading1"/>
      </w:pPr>
      <w:r>
        <w:t xml:space="preserve">1. Ghost's Core Recommendations — Confirmed, Adopt As-Is</w:t>
      </w:r>
    </w:p>
    <w:p>
      <w:pPr>
        <w:spacing w:after="160"/>
      </w:pPr>
      <w:r>
        <w:t xml:space="preserve">These structural recommendations were checked against the actual file structure and hold up. No changes needed to Ghost's guidance here.</w:t>
      </w:r>
    </w:p>
    <w:p>
      <w:pPr>
        <w:pStyle w:val="ListParagraph"/>
        <w:numPr>
          <w:ilvl w:val="0"/>
          <w:numId w:val="2"/>
        </w:numPr>
      </w:pPr>
      <w:r>
        <w:rPr>
          <w:sz w:val="21"/>
          <w:szCs w:val="21"/>
        </w:rPr>
        <w:t xml:space="preserve">Do not globalize everything. Page-specific workflow styles (Onboarding wizard, BlastyBiz.html create-listing internals, admin endpoint-specific tables) should stay page-scoped. This is directly consistent with the Pass 1 finding that .faq, .how, .pricing, .reviews are intentional BEM parent markers, not bugs — a blanket globalization pass would have broken that pattern.</w:t>
      </w:r>
    </w:p>
    <w:p>
      <w:pPr>
        <w:pStyle w:val="ListParagraph"/>
        <w:numPr>
          <w:ilvl w:val="0"/>
          <w:numId w:val="2"/>
        </w:numPr>
      </w:pPr>
      <w:r>
        <w:rPr>
          <w:sz w:val="21"/>
          <w:szCs w:val="21"/>
        </w:rPr>
        <w:t xml:space="preserve">The 8-layer recommended file order (tokens → reset/base → utilities → shared components → public shell → app/workflow shell → page scopes → responsive) is sound and matches how the rest of this codebase already separates concerns (e.g. firestore.rules' per-collection ownership model).</w:t>
      </w:r>
    </w:p>
    <w:p>
      <w:pPr>
        <w:pStyle w:val="ListParagraph"/>
        <w:numPr>
          <w:ilvl w:val="0"/>
          <w:numId w:val="2"/>
        </w:numPr>
      </w:pPr>
      <w:r>
        <w:rPr>
          <w:sz w:val="21"/>
          <w:szCs w:val="21"/>
        </w:rPr>
        <w:t xml:space="preserve">Do not delete dead CSS yet — track candidates, confirm against JS/template usage first, remove only after migration. Consistent with the same caution this audit has applied throughout: a static scan can't always see dynamic class usage.</w:t>
      </w:r>
    </w:p>
    <w:p>
      <w:pPr>
        <w:pStyle w:val="ListParagraph"/>
        <w:numPr>
          <w:ilvl w:val="0"/>
          <w:numId w:val="2"/>
        </w:numPr>
      </w:pPr>
      <w:r>
        <w:rPr>
          <w:sz w:val="21"/>
          <w:szCs w:val="21"/>
        </w:rPr>
        <w:t xml:space="preserve">Keep old class names as temporary aliases during migration rather than a hard cutover — given the 22-page surface area, a staged migration is much lower-risk than a single big-bang rename.</w:t>
      </w:r>
    </w:p>
    <w:p>
      <w:pPr>
        <w:pStyle w:val="Heading1"/>
      </w:pPr>
      <w:r>
        <w:t xml:space="preserve">2. Corrected Finding — The 23 'Duplicate Selectors' Are Three Different Risk Categories</w:t>
      </w:r>
    </w:p>
    <w:p>
      <w:pPr>
        <w:spacing w:after="160"/>
      </w:pPr>
      <w:r>
        <w:rPr>
          <w:b/>
          <w:bCs/>
        </w:rPr>
        <w:t xml:space="preserve">Ghost's list of repeated same-context selectors is accurate as a starting inventory, but treating all of them as the same kind of problem would misdirect Rep's effort — some need an urgent fix, some are copy-paste no-risk merges, and at least one is not a bug at all. Every selector below was checked directly against global-style.css with line numbers.</w:t>
      </w:r>
    </w:p>
    <w:p>
      <w:pPr>
        <w:pStyle w:val="Heading2"/>
      </w:pPr>
      <w:r>
        <w:t xml:space="preserve">Category A — Real conflicts: two different components sharing one unscoped name</w:t>
      </w:r>
    </w:p>
    <w:p>
      <w:pPr>
        <w:spacing w:after="160"/>
      </w:pPr>
      <w:r>
        <w:t xml:space="preserve">These are the highest-priority items. The selector name is reused for genuinely different visual components, and because neither is scoped to a body class, whichever rule loads later in the cascade silently overrides the other everywhere that class name appears — including on pages where the 'wrong' version was never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3130"/>
        <w:gridCol w:w="3130"/>
      </w:tblGrid>
      <w:tr>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Selector</w:t>
            </w:r>
          </w:p>
        </w:tc>
        <w:tc>
          <w:tcPr>
            <w:tcW w:type="dxa" w:w="1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Lines</w:t>
            </w:r>
          </w:p>
        </w:tc>
        <w:tc>
          <w:tcPr>
            <w:tcW w:type="dxa" w:w="313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Definition 1</w:t>
            </w:r>
          </w:p>
        </w:tc>
        <w:tc>
          <w:tcPr>
            <w:tcW w:type="dxa" w:w="313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Definition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.btn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482, 1195</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border: none; border-radius: 12px</w:t>
            </w:r>
          </w:p>
        </w:tc>
        <w:tc>
          <w:tcPr>
            <w:tcW w:type="dxa" w:w="313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border: 1px solid var(--border); border-radius: 10px; background: transparent — DIRECTLY CONTRADICTS def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.hero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571, 1437</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 marketing hero: padding 0 0 40px, overflow hidden</w:t>
            </w:r>
          </w:p>
        </w:tc>
        <w:tc>
          <w:tcPr>
            <w:tcW w:type="dxa" w:w="313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Connected-page hero (under explicit 'CONNECTED PAGE' comment): text-align center, margin-bottom 28px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.platform-icon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1229, 1614</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40px, dark bg, near .task-list/.activity-row</w:t>
            </w:r>
          </w:p>
        </w:tc>
        <w:tc>
          <w:tcPr>
            <w:tcW w:type="dxa" w:w="313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48px, card-themed font, near .platform-card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.stat-num / .stat-label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1209-10, 1685-86</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Compact stat: 34px number, uppercase label</w:t>
            </w:r>
          </w:p>
        </w:tc>
        <w:tc>
          <w:tcPr>
            <w:tcW w:type="dxa" w:w="313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Row-style stat-card: 48px number, nested strong styling</w:t>
            </w:r>
          </w:p>
        </w:tc>
      </w:tr>
    </w:tbl>
    <w:p>
      <w:pPr>
        <w:spacing w:after="100" w:before="200"/>
      </w:pPr>
      <w:r>
        <w:rPr>
          <w:b/>
          <w:bCs/>
          <w:sz w:val="21"/>
          <w:szCs w:val="21"/>
        </w:rPr>
        <w:t xml:space="preserve">ACTION FOR REP: This is the real, urgent work. Each pair needs to become a base class plus modifiers — exactly Ghost's recommendation: .btn with .btn--primary/.btn--outline, .platform-icon with .platform-icon--sm/--md/--lg, .hero kept for the home page with the Connected-page version renamed to .flow-hero or scoped under body.connected-page .hero, and a .metric-card pattern splitting the two stat-num/stat-label sizes into explicit size modifiers. Until this is fixed, whichever definition is physically lower in the file silently wins everywhere — meaning a future edit to either one could unpredictably change the other page's appearance.</w:t>
      </w:r>
    </w:p>
    <w:p>
      <w:pPr>
        <w:pStyle w:val="Heading2"/>
      </w:pPr>
      <w:r>
        <w:t xml:space="preserve">Category B — Minor drift: same component, small inconsistency worth reconciling</w:t>
      </w:r>
    </w:p>
    <w:p>
      <w:pPr>
        <w:spacing w:after="160"/>
      </w:pPr>
      <w:r>
        <w:t xml:space="preserve">These are the same intended component, repeated with a small, likely-accidental difference — not a conflict in design intent, just incomplete consolidation. Lower urgency than Category A, but still worth fixing during the same pass since the fix is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6260"/>
      </w:tblGrid>
      <w:tr>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Selector</w:t>
            </w:r>
          </w:p>
        </w:tc>
        <w:tc>
          <w:tcPr>
            <w:tcW w:type="dxa" w:w="1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Lines</w:t>
            </w:r>
          </w:p>
        </w:tc>
        <w:tc>
          <w:tcPr>
            <w:tcW w:type="dxa" w:w="62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Drift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.stat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1208, 2222</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 uses a flat hex background (#081008); second correctly uses the var(--panel) design token. The token version should win — the flat hex is the one to remove.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.two-col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1235, 2207</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Second copy adds margin-bottom: 16px that the first lacks. Confirm which spacing is actually intended, then keep 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.flex-1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460, 2390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 includes min-width: 0 (prevents flex-child overflow — the standard, more complete version); second is missing it. Keep the first definition's 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.row-main / .row-title / .row-sub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1230-32, 2235-37</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Second set (near admin-page context) is missing min-width: 0 on .row-main, uses font-weight 800 vs 700 on .row-title, and adds line-height: 1.4 to .row-sub. Looks like the admin section was built separately and re-declared a near-identical pattern instead of reusing the original.</w:t>
            </w:r>
          </w:p>
        </w:tc>
      </w:tr>
    </w:tbl>
    <w:p>
      <w:pPr>
        <w:spacing w:after="100" w:before="200"/>
      </w:pPr>
      <w:r>
        <w:rPr>
          <w:b/>
          <w:bCs/>
          <w:sz w:val="21"/>
          <w:szCs w:val="21"/>
        </w:rPr>
        <w:t xml:space="preserve">ACTION FOR REP: Pick the more complete/correct version of each (the recommendations above lean toward the design-token-using and more-complete versions), confirm visually on the pages where each is used, then delete the other copy.</w:t>
      </w:r>
    </w:p>
    <w:p>
      <w:pPr>
        <w:pStyle w:val="Heading2"/>
      </w:pPr>
      <w:r>
        <w:t xml:space="preserve">Category C — True duplicates: identical or functionally identical, zero-risk merge</w:t>
      </w:r>
    </w:p>
    <w:p>
      <w:pPr>
        <w:spacing w:after="160"/>
      </w:pPr>
      <w:r>
        <w:t xml:space="preserve">These are genuine copy-paste duplicates with no meaningful difference — confirmed byte-for-byte or functionally identical aside from whitespace formatting. Safe to merge into a single rule immediately with zero behavior change and zero visual testing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Selector</w:t>
            </w:r>
          </w:p>
        </w:tc>
        <w:tc>
          <w:tcPr>
            <w:tcW w:type="dxa" w:w="7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Lines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.btn-row</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1200, 2255 — byte-identical</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.live / .needs / .off / .error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1215-18, 2241-45 — functionally identical, whitespace-only differences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.mobile-nav</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1247, 2275 — functionally identical</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.stat-note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1211, 2225 — byte-identical</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.text-danger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64, 1254 — byte-identical</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.grid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1207, 2206 — identical except comma spacing in grid-template-columns, no functional difference</w:t>
            </w:r>
          </w:p>
        </w:tc>
      </w:tr>
    </w:tbl>
    <w:p>
      <w:pPr>
        <w:spacing w:after="100" w:before="200"/>
      </w:pPr>
      <w:r>
        <w:rPr>
          <w:b/>
          <w:bCs/>
          <w:sz w:val="21"/>
          <w:szCs w:val="21"/>
        </w:rPr>
        <w:t xml:space="preserve">ACTION FOR REP: Merge each pair into a single rule. This is the safest possible starting point for the consolidation — zero risk of visual change, since the two copies already render identically. Good first commit before tackling Category A.</w:t>
      </w:r>
    </w:p>
    <w:p>
      <w:pPr>
        <w:pStyle w:val="Heading2"/>
      </w:pPr>
      <w:r>
        <w:t xml:space="preserve">Category D — Not a bug: confirmed intentional responsive variation</w:t>
      </w:r>
    </w:p>
    <w:p>
      <w:pPr>
        <w:spacing w:after="160"/>
      </w:pPr>
      <w:r>
        <w:t xml:space="preserve">One selector from the original duplicate-count needs to be removed from the cleanup list entirely. body.has-site-header .main appears 4 times, but this was directly checked against its surrounding code and confirmed to be a deliberate mobile-first responsive ladder, not drift.</w:t>
      </w:r>
    </w:p>
    <w:p>
      <w:pPr>
        <w:spacing w:after="200"/>
      </w:pPr>
      <w:r>
        <w:rPr>
          <w:rFonts w:ascii="Consolas" w:cs="Consolas" w:eastAsia="Consolas" w:hAnsi="Consolas"/>
          <w:color w:val="1A1A1A"/>
          <w:sz w:val="19"/>
          <w:szCs w:val="19"/>
        </w:rPr>
        <w:t xml:space="preserve">body.has-site-header .main  { padding-top: 58px; }              /* base/mobile */
@media (min-width: 600px) {
  body.has-site-header .main { flex: 1; padding-top: 58px; }    /* tablet */
}
@media (min-width: 768px) {
  body.has-site-header .main { padding-top: 80px; }              /* desktop */
}</w:t>
      </w:r>
    </w:p>
    <w:p>
      <w:pPr>
        <w:spacing w:after="160"/>
      </w:pPr>
      <w:r>
        <w:rPr>
          <w:b/>
          <w:bCs/>
        </w:rPr>
        <w:t xml:space="preserve">There's also a separate, genuinely non-responsive base rule at line 681 (width/overflow properties) that's additive, not conflicting, with the above. This selector is correctly built with explanatory comments about header height math already in place. No action needed — this should not be on Rep's cleanup list.</w:t>
      </w:r>
    </w:p>
    <w:p>
      <w:pPr>
        <w:pStyle w:val="Heading1"/>
      </w:pPr>
      <w:r>
        <w:t xml:space="preserve">3. Everything Else From Ghost's Audit — Adopt As Written</w:t>
      </w:r>
    </w:p>
    <w:p>
      <w:pPr>
        <w:spacing w:after="160"/>
      </w:pPr>
      <w:r>
        <w:t xml:space="preserve">The remaining sections of Ghost's Pass 1 document were not specific enough to independently verify line-by-line in the same way (they describe patterns and categories rather than exact duplicate pairs), and nothing in this verification pass contradicts them. Recommend Rep treat these as accurate guidance:</w:t>
      </w:r>
    </w:p>
    <w:p>
      <w:pPr>
        <w:pStyle w:val="ListParagraph"/>
        <w:numPr>
          <w:ilvl w:val="0"/>
          <w:numId w:val="2"/>
        </w:numPr>
      </w:pPr>
      <w:r>
        <w:rPr>
          <w:sz w:val="21"/>
          <w:szCs w:val="21"/>
        </w:rPr>
        <w:t xml:space="preserve">Finding 3 (utility layer underused): the repeated-declaration counts (display:flex × 181, color:var(--muted) × 165, etc.) describe a real pattern worth addressing in a later component pass, not this foundation pass.</w:t>
      </w:r>
    </w:p>
    <w:p>
      <w:pPr>
        <w:pStyle w:val="ListParagraph"/>
        <w:numPr>
          <w:ilvl w:val="0"/>
          <w:numId w:val="2"/>
        </w:numPr>
      </w:pPr>
      <w:r>
        <w:rPr>
          <w:sz w:val="21"/>
          <w:szCs w:val="21"/>
        </w:rPr>
        <w:t xml:space="preserve">Finding 4 (globalization opportunities): flex-fill helper, vertical stack helper, grid helpers, button variants, badge/status colors, surface/card primitive, platform icon sizing — all reasonable consolidation targets for the next phase, after Category A/B/C above are resolved.</w:t>
      </w:r>
    </w:p>
    <w:p>
      <w:pPr>
        <w:pStyle w:val="ListParagraph"/>
        <w:numPr>
          <w:ilvl w:val="0"/>
          <w:numId w:val="2"/>
        </w:numPr>
      </w:pPr>
      <w:r>
        <w:rPr>
          <w:sz w:val="21"/>
          <w:szCs w:val="21"/>
        </w:rPr>
        <w:t xml:space="preserve">Finding 5 (do not globalize yet): Onboarding wizard, Create Listing wizard internals, Home marketing BEM blocks, Listing-preview internals, admin table specifics — confirmed consistent with this audit's own prior finding that BEM parent classes like .faq/.how/.pricing/.reviews are intentional, not bugs.</w:t>
      </w:r>
    </w:p>
    <w:p>
      <w:pPr>
        <w:pStyle w:val="ListParagraph"/>
        <w:numPr>
          <w:ilvl w:val="0"/>
          <w:numId w:val="2"/>
        </w:numPr>
      </w:pPr>
      <w:r>
        <w:rPr>
          <w:sz w:val="21"/>
          <w:szCs w:val="21"/>
        </w:rPr>
        <w:t xml:space="preserve">Finding 6 (dead CSS, ~80+ candidates): consistent with this audit's own Pass 1 finding of 35 confirmed-dead CSS rules from an earlier pass — the two lists likely overlap significantly. Recommend Rep cross-reference both lists when the cleanup phase finally happens, rather than working from either alone.</w:t>
      </w:r>
    </w:p>
    <w:p>
      <w:pPr>
        <w:pStyle w:val="Heading1"/>
      </w:pPr>
      <w:r>
        <w:t xml:space="preserve">4. Recommended Order for Rep</w:t>
      </w:r>
    </w:p>
    <w:p>
      <w:pPr>
        <w:pStyle w:val="ListParagraph"/>
        <w:numPr>
          <w:ilvl w:val="0"/>
          <w:numId w:val="2"/>
        </w:numPr>
      </w:pPr>
      <w:r>
        <w:rPr>
          <w:sz w:val="21"/>
          <w:szCs w:val="21"/>
        </w:rPr>
        <w:t xml:space="preserve">1. Merge Category C (true duplicates) — zero risk, do this first as a warm-up commit.</w:t>
      </w:r>
    </w:p>
    <w:p>
      <w:pPr>
        <w:pStyle w:val="ListParagraph"/>
        <w:numPr>
          <w:ilvl w:val="0"/>
          <w:numId w:val="2"/>
        </w:numPr>
      </w:pPr>
      <w:r>
        <w:rPr>
          <w:sz w:val="21"/>
          <w:szCs w:val="21"/>
        </w:rPr>
        <w:t xml:space="preserve">2. Fix Category B (minor drift) — small, low-risk fixes, test visually on the specific pages listed.</w:t>
      </w:r>
    </w:p>
    <w:p>
      <w:pPr>
        <w:pStyle w:val="ListParagraph"/>
        <w:numPr>
          <w:ilvl w:val="0"/>
          <w:numId w:val="2"/>
        </w:numPr>
      </w:pPr>
      <w:r>
        <w:rPr>
          <w:sz w:val="21"/>
          <w:szCs w:val="21"/>
        </w:rPr>
        <w:t xml:space="preserve">3. Fix Category A (real conflicts) — the important work. Each needs a base class + modifiers as Ghost specified. Test every page that uses .btn, .hero, .platform-icon, and the stat-card patterns before considering this done, since these are the four places where a silent visual regression is most likely if a modifier is missed.</w:t>
      </w:r>
    </w:p>
    <w:p>
      <w:pPr>
        <w:pStyle w:val="ListParagraph"/>
        <w:numPr>
          <w:ilvl w:val="0"/>
          <w:numId w:val="2"/>
        </w:numPr>
      </w:pPr>
      <w:r>
        <w:rPr>
          <w:sz w:val="21"/>
          <w:szCs w:val="21"/>
        </w:rPr>
        <w:t xml:space="preserve">4. Standardize design tokens and canonical layout utilities (.grid-2/3/4, .stack-sm/md, .flex-1) per Ghost's Finding 4 — this is new construction, not cleanup, and should come after the conflicts above are resolved so new utilities aren't built on top of still-broken primitives.</w:t>
      </w:r>
    </w:p>
    <w:p>
      <w:pPr>
        <w:pStyle w:val="ListParagraph"/>
        <w:numPr>
          <w:ilvl w:val="0"/>
          <w:numId w:val="2"/>
        </w:numPr>
      </w:pPr>
      <w:r>
        <w:rPr>
          <w:sz w:val="21"/>
          <w:szCs w:val="21"/>
        </w:rPr>
        <w:t xml:space="preserve">5. Badge/status color normalization.</w:t>
      </w:r>
    </w:p>
    <w:p>
      <w:pPr>
        <w:pStyle w:val="ListParagraph"/>
        <w:numPr>
          <w:ilvl w:val="0"/>
          <w:numId w:val="2"/>
        </w:numPr>
      </w:pPr>
      <w:r>
        <w:rPr>
          <w:sz w:val="21"/>
          <w:szCs w:val="21"/>
        </w:rPr>
        <w:t xml:space="preserve">6. Dead CSS removal — last, and only after cross-referencing this pass's candidates against the earlier Pass 1 dead-CSS list and confirming no JS/template usage.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2026-06-30T06:45:50.365Z</dcterms:created>
  <dcterms:modified xsi:type="dcterms:W3CDTF">2026-06-30T06:45:50.378Z</dcterms:modified>
</cp:coreProperties>
</file>

<file path=docProps/custom.xml><?xml version="1.0" encoding="utf-8"?>
<Properties xmlns="http://schemas.openxmlformats.org/officeDocument/2006/custom-properties" xmlns:vt="http://schemas.openxmlformats.org/officeDocument/2006/docPropsVTypes"/>
</file>