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36"/>
          <w:szCs w:val="36"/>
        </w:rPr>
        <w:t xml:space="preserve">BlastyBiz — Style System Consolidation Handoff</w:t>
      </w:r>
    </w:p>
    <w:p>
      <w:pPr>
        <w:spacing w:after="100"/>
      </w:pPr>
      <w:r>
        <w:rPr>
          <w:color w:val="555555"/>
          <w:sz w:val="24"/>
          <w:szCs w:val="24"/>
        </w:rPr>
        <w:t xml:space="preserve">Ghost's Pass 2 (Components: Cards, Buttons, Badges, Forms, Tables, Modals), Claude-Verified</w:t>
      </w:r>
    </w:p>
    <w:p>
      <w:pPr>
        <w:spacing w:after="300"/>
      </w:pPr>
      <w:r>
        <w:rPr>
          <w:i/>
          <w:iCs/>
          <w:color w:val="777777"/>
          <w:sz w:val="18"/>
          <w:szCs w:val="18"/>
        </w:rPr>
        <w:t xml:space="preserve">Prepared for: Rep  |  Source: BlastyBiz_Site.zip  |  Workflow: Ghost analyzed first, Claude verified every checkable claim against the actual file before finalizing</w:t>
      </w:r>
    </w:p>
    <w:p>
      <w:pPr>
        <w:pStyle w:val="Heading1"/>
      </w:pPr>
      <w:r>
        <w:t xml:space="preserve">How This Document Was Built</w:t>
      </w:r>
    </w:p>
    <w:p>
      <w:pPr>
        <w:spacing w:after="160"/>
      </w:pPr>
      <w:r>
        <w:t xml:space="preserve">Ghost produced the Pass 2 Component Consolidation audit covering buttons, cards, badges, rows, forms, modals, progress/loading, and tables. Every specific, checkable claim — line numbers, selector counts, page/usage counts — was independently re-verified against global-style.css and the HTML files before this handoff was finalized. Ghost's overall structure and recommended order (buttons and badges first, marketing BEM and Create Listing workflow last) is confirmed sound and is what Rep should follow. A handful of specific numbers needed correction, detailed below — in every case the correction makes the underlying recommendation more accurate, not less, and in one case (cards) the actual usage count is far higher than reported, which raises the testing bar for that change.</w:t>
      </w:r>
    </w:p>
    <w:p>
      <w:pPr>
        <w:pStyle w:val="Heading1"/>
      </w:pPr>
      <w:r>
        <w:t xml:space="preserve">1. Buttons — Confirmed High Priority, Count Corrected</w:t>
      </w:r>
    </w:p>
    <w:p>
      <w:pPr>
        <w:spacing w:after="160"/>
      </w:pPr>
      <w:r>
        <w:t xml:space="preserve">Ghost's Pass 2 doc states .btn has 3 definitions (public ~482, app ~1195, admin-scoped body.admin-page .btn ~2256). Direct verification found a 4th: body.listing-preview-page .btn at line 1762, using font-weight: 900 — distinct from every other .btn variant in the file (others use 700 or 800).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c>
          <w:tcPr>
            <w:tcW w:type="dxa" w:w="28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tcPr>
          <w:p>
            <w:r>
              <w:rPr>
                <w:b/>
                <w:bCs/>
                <w:color w:val="FFFFFF"/>
                <w:sz w:val="20"/>
                <w:szCs w:val="20"/>
              </w:rPr>
              <w:t xml:space="preserve">Definition</w:t>
            </w:r>
          </w:p>
        </w:tc>
        <w:tc>
          <w:tcPr>
            <w:tcW w:type="dxa" w:w="16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tcPr>
          <w:p>
            <w:r>
              <w:rPr>
                <w:b/>
                <w:bCs/>
                <w:color w:val="FFFFFF"/>
                <w:sz w:val="20"/>
                <w:szCs w:val="20"/>
              </w:rPr>
              <w:t xml:space="preserve">Line</w:t>
            </w:r>
          </w:p>
        </w:tc>
        <w:tc>
          <w:tcPr>
            <w:tcW w:type="dxa" w:w="496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tcPr>
          <w:p>
            <w:r>
              <w:rPr>
                <w:b/>
                <w:bCs/>
                <w:color w:val="FFFFFF"/>
                <w:sz w:val="20"/>
                <w:szCs w:val="20"/>
              </w:rPr>
              <w:t xml:space="preserve">Status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.btn (unscoped base)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482</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border: none; border-radius: 12px</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.btn (unscoped, 2nd)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1195</w:t>
            </w:r>
          </w:p>
        </w:tc>
        <w:tc>
          <w:tcPr>
            <w:tcW w:type="dxa" w:w="4960"/>
            <w:tcBorders>
              <w:top w:val="single" w:color="CCCCCC" w:sz="1"/>
              <w:left w:val="single" w:color="CCCCCC" w:sz="1"/>
              <w:bottom w:val="single" w:color="CCCCCC" w:sz="1"/>
              <w:right w:val="single" w:color="CCCCCC" w:sz="1"/>
            </w:tcBorders>
            <w:shd w:fill="FBE3E3" w:val="clear"/>
            <w:tcMar>
              <w:top w:type="dxa" w:w="80"/>
              <w:left w:type="dxa" w:w="120"/>
              <w:bottom w:type="dxa" w:w="80"/>
              <w:right w:type="dxa" w:w="120"/>
            </w:tcMar>
          </w:tcPr>
          <w:p>
            <w:r>
              <w:rPr>
                <w:sz w:val="20"/>
                <w:szCs w:val="20"/>
              </w:rPr>
              <w:t xml:space="preserve">CONFLICTS with line 482 — border: 1px solid; border-radius: 10px; background: transparent. This is the real bug, confirmed in Pass 1 of this style audit.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body.listing-preview-page .btn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1762</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Correctly body-scoped, not a bug — but font-weight: 900 is inconsistent with every other variant (700/800). Confirm this is intentional before consolidating.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body.admin-page .btn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2256</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Correctly body-scoped, not a bug — legitimate admin-specific sizing override.</w:t>
            </w:r>
          </w:p>
        </w:tc>
      </w:tr>
    </w:tbl>
    <w:p>
      <w:pPr>
        <w:spacing w:after="160"/>
      </w:pPr>
      <w:r>
        <w:rPr>
          <w:b/>
          <w:bCs/>
          <w:i/>
          <w:iCs/>
        </w:rPr>
        <w:t xml:space="preserve">This matters for the migration plan: only the two unscoped definitions (482, 1195) are a real cascade conflict needing the .btn / .btn--primary base-class fix Ghost recommends. The two body-scoped variants are working as intended and should become explicit size/weight modifiers (e.g. .btn--lg-admin, or fold the listing-preview weight into a documented .btn--bold modifier) rather than being treated as bugs to eliminate.</w:t>
      </w:r>
    </w:p>
    <w:p>
      <w:pPr>
        <w:spacing w:after="200" w:before="100"/>
      </w:pPr>
      <w:r>
        <w:rPr>
          <w:b/>
          <w:bCs/>
          <w:sz w:val="21"/>
          <w:szCs w:val="21"/>
        </w:rPr>
        <w:t xml:space="preserve">ACTION FOR REP: Fix the 482/1195 conflict first exactly as Ghost specified. When building the modifier system, explicitly account for the listing-preview page's font-weight: 900 and admin's smaller padding/radius as named modifiers — don't let either get silently dropped during consolidation.</w:t>
      </w:r>
    </w:p>
    <w:p>
      <w:pPr>
        <w:pStyle w:val="Heading1"/>
      </w:pPr>
      <w:r>
        <w:t xml:space="preserve">2. Cards — Confirmed Real, Usage Count Significantly Higher Than Reported</w:t>
      </w:r>
    </w:p>
    <w:p>
      <w:pPr>
        <w:spacing w:after="160"/>
      </w:pPr>
      <w:r>
        <w:t xml:space="preserve">Ghost's Pass 2 doc states .card appears 85 times across 12 pages. Direct count across all HTML files found 219 actual uses across 18 files — meaningfully more than reported in both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tcPr>
          <w:p>
            <w:r>
              <w:rPr>
                <w:b/>
                <w:bCs/>
                <w:color w:val="FFFFFF"/>
                <w:sz w:val="20"/>
                <w:szCs w:val="20"/>
              </w:rPr>
              <w:t xml:space="preserve">Metric</w:t>
            </w:r>
          </w:p>
        </w:tc>
        <w:tc>
          <w:tcPr>
            <w:tcW w:type="dxa" w:w="234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tcPr>
          <w:p>
            <w:r>
              <w:rPr>
                <w:b/>
                <w:bCs/>
                <w:color w:val="FFFFFF"/>
                <w:sz w:val="20"/>
                <w:szCs w:val="20"/>
              </w:rPr>
              <w:t xml:space="preserve">Ghost's count</w:t>
            </w:r>
          </w:p>
        </w:tc>
        <w:tc>
          <w:tcPr>
            <w:tcW w:type="dxa" w:w="234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tcPr>
          <w:p>
            <w:r>
              <w:rPr>
                <w:b/>
                <w:bCs/>
                <w:color w:val="FFFFFF"/>
                <w:sz w:val="20"/>
                <w:szCs w:val="20"/>
              </w:rPr>
              <w:t xml:space="preserve">Verified count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.card usages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85</w:t>
            </w:r>
          </w:p>
        </w:tc>
        <w:tc>
          <w:tcPr>
            <w:tcW w:type="dxa" w:w="23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sz w:val="20"/>
                <w:szCs w:val="20"/>
              </w:rPr>
              <w:t xml:space="preserve">219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Pages using .card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12</w:t>
            </w:r>
          </w:p>
        </w:tc>
        <w:tc>
          <w:tcPr>
            <w:tcW w:type="dxa" w:w="23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sz w:val="20"/>
                <w:szCs w:val="20"/>
              </w:rPr>
              <w:t xml:space="preserve">18</w:t>
            </w:r>
          </w:p>
        </w:tc>
      </w:tr>
    </w:tbl>
    <w:p>
      <w:pPr>
        <w:spacing w:after="160"/>
      </w:pPr>
      <w:r>
        <w:rPr>
          <w:i/>
          <w:iCs/>
        </w:rPr>
        <w:t xml:space="preserve">Most of the difference comes from one file: BlastyBiz-Admin-Operate.html alone accounts for 75 of the 219 uses — this is the static function-reference page audited in an earlier backend pass, which lists every Cloud Function inside card-formatted blocks.</w:t>
      </w:r>
    </w:p>
    <w:p>
      <w:pPr>
        <w:spacing w:after="200" w:before="100"/>
      </w:pPr>
      <w:r>
        <w:rPr>
          <w:b/>
          <w:bCs/>
          <w:sz w:val="21"/>
          <w:szCs w:val="21"/>
        </w:rPr>
        <w:t xml:space="preserve">This does not change Ghost's recommendation — .card is clearly a legitimate, heavily-used global component and should be kept global with modifiers exactly as proposed. But it does raise the bar on testing: any change to the base .card rule touches roughly 2.5x more elements than originally estimated. Recommend Rep specifically verify BlastyBiz-Admin-Operate.html visually after any .card change, since it's by far the single heaviest consumer and a regression there would be the most likely place for something to slip through.</w:t>
      </w:r>
    </w:p>
    <w:p>
      <w:pPr>
        <w:pStyle w:val="Heading2"/>
      </w:pPr>
      <w:r>
        <w:t xml:space="preserve">2a. .card-title size difference — confirmed, but it's an intentional scoped override, not a bug</w:t>
      </w:r>
    </w:p>
    <w:p>
      <w:pPr>
        <w:spacing w:after="160"/>
      </w:pPr>
      <w:r>
        <w:rPr>
          <w:i/>
          <w:iCs/>
        </w:rPr>
        <w:t xml:space="preserve">Ghost flagged a 21px vs 22px drift on .card-title. Confirmed exact: line 1190 (unscoped, 21px) and line 2213 (body.admin-page .card-title, 22px). The admin version is correctly body-scoped — this is the same intentional-override pattern as the listing-preview and admin .btn variants above, not an unscoped collision. There's no bug to fix here, just a design decision about whether admin headings should be visually distinct from the base app.</w:t>
      </w:r>
    </w:p>
    <w:p>
      <w:pPr>
        <w:spacing w:after="200" w:before="100"/>
      </w:pPr>
      <w:r>
        <w:rPr>
          <w:b/>
          <w:bCs/>
          <w:sz w:val="21"/>
          <w:szCs w:val="21"/>
        </w:rPr>
        <w:t xml:space="preserve">ACTION FOR REP: Confirm with Dave whether the 1px admin difference is intentional design or an accident before changing it. Lower priority than the .btn conflict above since this one isn't actually broken.</w:t>
      </w:r>
    </w:p>
    <w:p>
      <w:pPr>
        <w:pStyle w:val="Heading1"/>
      </w:pPr>
      <w:r>
        <w:t xml:space="preserve">3. Badges — Confirmed Fragmented, One Sub-System Larger Than Reported</w:t>
      </w:r>
    </w:p>
    <w:p>
      <w:pPr>
        <w:spacing w:after="160"/>
      </w:pPr>
      <w:r>
        <w:t xml:space="preserve">Ghost's claim that badge/status styling is split across multiple naming families is confirmed accurate. Verified all seven named families exist as real, separate CSS definitions: status-badge (2), status-pill (2), platform-status (1), section-badge (3), ig-pill (7), ig-badge-warn (1), badge-danger-soft (1).</w:t>
      </w:r>
    </w:p>
    <w:p>
      <w:pPr>
        <w:spacing w:after="160"/>
      </w:pPr>
      <w:r>
        <w:rPr>
          <w:b/>
          <w:bCs/>
          <w:i/>
          <w:iCs/>
        </w:rPr>
        <w:t xml:space="preserve">.ig-pill having 7 related definitions is notably more than the single-line treatment it got in Ghost's table suggests — this looks like a full Instagram-specific status mini-system (likely covering connected/warning/error states specific to IG's OAuth quirks), not just one alternate badge name. Recommend Rep inspect all 7 .ig-pill variants individually before folding any of them into the generic .badge family, since IG-specific behavior may be intentionally separate.</w:t>
      </w:r>
    </w:p>
    <w:p>
      <w:pPr>
        <w:spacing w:after="200" w:before="100"/>
      </w:pPr>
      <w:r>
        <w:rPr>
          <w:b/>
          <w:bCs/>
          <w:sz w:val="21"/>
          <w:szCs w:val="21"/>
        </w:rPr>
        <w:t xml:space="preserve">ACTION FOR REP: Proceed with Ghost's badge consolidation plan as written, but treat .ig-pill as a special case requiring individual review rather than a simple rename/alias like the other smaller families.</w:t>
      </w:r>
    </w:p>
    <w:p>
      <w:pPr>
        <w:pStyle w:val="Heading1"/>
      </w:pPr>
      <w:r>
        <w:t xml:space="preserve">4. Rows/Lists — Confirmed, and the Token-vs-Hex Drift Pattern Recurs</w:t>
      </w:r>
    </w:p>
    <w:p>
      <w:pPr>
        <w:spacing w:after="160"/>
      </w:pPr>
      <w:r>
        <w:t xml:space="preserve">Ghost's claim about .platform-row/.activity-row/.task-row (lines 1226-1228) and admin's separate .list-item (line ~2233) is confirmed precise, including line numbers.</w:t>
      </w:r>
    </w:p>
    <w:p>
      <w:pPr>
        <w:spacing w:after="160"/>
      </w:pPr>
      <w:r>
        <w:rPr>
          <w:b/>
          <w:bCs/>
          <w:i/>
          <w:iCs/>
        </w:rPr>
        <w:t xml:space="preserve">Notable addition: the two patterns aren't just separately named, they also repeat the exact same color-token drift flagged in Pass 1 for .stat — .platform-row/.activity-row/.task-row use a flat hex background (#081008), while admin's .list-item uses the design token (var(--panel)). This is the second confirmed instance of this exact pattern (flat hex in the original/app version, token in the admin-built version), which suggests it's a recurring habit in how admin pages get built rather than a one-off mistake — worth Rep watching for the same drift elsewhere during the row/list consolidation, not just fixing these two instances.</w:t>
      </w:r>
    </w:p>
    <w:p>
      <w:pPr>
        <w:spacing w:after="200" w:before="100"/>
      </w:pPr>
      <w:r>
        <w:rPr>
          <w:b/>
          <w:bCs/>
          <w:sz w:val="21"/>
          <w:szCs w:val="21"/>
        </w:rPr>
        <w:t xml:space="preserve">ACTION FOR REP: Proceed with Ghost's .list-row consolidation plan. When merging, standardize on the var(--panel) token version (the more correct, token-based one) rather than the flat hex — consistent with the Pass 1 recommendation for the analogous .stat conflict.</w:t>
      </w:r>
    </w:p>
    <w:p>
      <w:pPr>
        <w:pStyle w:val="Heading1"/>
      </w:pPr>
      <w:r>
        <w:t xml:space="preserve">5. Modals, Toast, and Remaining Sections — Confirmed Accurate, No Corrections Needed</w:t>
      </w:r>
    </w:p>
    <w:p>
      <w:pPr>
        <w:spacing w:after="160"/>
      </w:pPr>
      <w:r>
        <w:t xml:space="preserve">Checked the modal/overlay selector family counts (modal-overlay, modal-sheet, modal-panel, delete-overlay, delete-modal, biz-sheet, biz-sheet-overlay) — all confirmed to exist as separate, real selectors matching Ghost's description of three distinct overlay concepts needing a shared shell.</w:t>
      </w:r>
    </w:p>
    <w:p>
      <w:pPr>
        <w:spacing w:after="160"/>
      </w:pPr>
      <w:r>
        <w:rPr>
          <w:i/>
          <w:iCs/>
        </w:rPr>
        <w:t xml:space="preserve">.toast was checked specifically and is in better shape than the table implies: it already has working state modifiers in place (.toast.error-toast, .toast.show), so adding success/warn siblings is a small, low-risk extension of an existing pattern rather than new construction.</w:t>
      </w:r>
    </w:p>
    <w:p>
      <w:pPr>
        <w:spacing w:after="160"/>
      </w:pPr>
      <w:r>
        <w:t xml:space="preserve">Forms, tables, and progress/loading sections in Ghost's doc describe patterns and categories rather than exact line-checkable claims, and nothing found during this verification contradicts them. Recommend Rep treat those sections as accurate guidance as written.</w:t>
      </w:r>
    </w:p>
    <w:p>
      <w:pPr>
        <w:pStyle w:val="Heading1"/>
      </w:pPr>
      <w:r>
        <w:t xml:space="preserve">6. Recommended Order — Confirmed, With the Corrections Above Folded In</w:t>
      </w:r>
    </w:p>
    <w:p>
      <w:pPr>
        <w:pStyle w:val="ListParagraph"/>
        <w:numPr>
          <w:ilvl w:val="0"/>
          <w:numId w:val="2"/>
        </w:numPr>
      </w:pPr>
      <w:r>
        <w:rPr>
          <w:sz w:val="21"/>
          <w:szCs w:val="21"/>
        </w:rPr>
        <w:t xml:space="preserve">1. Buttons: fix the real conflict (lines 482 + 1195) first. Build the modifier system accounting for the listing-preview font-weight: 900 and admin's sizing as explicit named modifiers, not casualties of the merge.</w:t>
      </w:r>
    </w:p>
    <w:p>
      <w:pPr>
        <w:pStyle w:val="ListParagraph"/>
        <w:numPr>
          <w:ilvl w:val="0"/>
          <w:numId w:val="2"/>
        </w:numPr>
      </w:pPr>
      <w:r>
        <w:rPr>
          <w:sz w:val="21"/>
          <w:szCs w:val="21"/>
        </w:rPr>
        <w:t xml:space="preserve">2. Badges: proceed as Ghost specified, but pull .ig-pill out for individual review rather than a blanket alias — it's a 7-variant sub-system, not a simple rename.</w:t>
      </w:r>
    </w:p>
    <w:p>
      <w:pPr>
        <w:pStyle w:val="ListParagraph"/>
        <w:numPr>
          <w:ilvl w:val="0"/>
          <w:numId w:val="2"/>
        </w:numPr>
      </w:pPr>
      <w:r>
        <w:rPr>
          <w:sz w:val="21"/>
          <w:szCs w:val="21"/>
        </w:rPr>
        <w:t xml:space="preserve">3. Cards: proceed as Ghost specified. Budget more visual-testing time than originally estimated given the verified 219-use, 18-page footprint — check BlastyBiz-Admin-Operate.html specifically, since it alone is over a third of all usage.</w:t>
      </w:r>
    </w:p>
    <w:p>
      <w:pPr>
        <w:pStyle w:val="ListParagraph"/>
        <w:numPr>
          <w:ilvl w:val="0"/>
          <w:numId w:val="2"/>
        </w:numPr>
      </w:pPr>
      <w:r>
        <w:rPr>
          <w:sz w:val="21"/>
          <w:szCs w:val="21"/>
        </w:rPr>
        <w:t xml:space="preserve">4. Rows/lists: proceed as Ghost specified, standardizing on the var(--panel) token version when merging .platform-row/.activity-row/.task-row with admin's .list-item.</w:t>
      </w:r>
    </w:p>
    <w:p>
      <w:pPr>
        <w:pStyle w:val="ListParagraph"/>
        <w:numPr>
          <w:ilvl w:val="0"/>
          <w:numId w:val="2"/>
        </w:numPr>
      </w:pPr>
      <w:r>
        <w:rPr>
          <w:sz w:val="21"/>
          <w:szCs w:val="21"/>
        </w:rPr>
        <w:t xml:space="preserve">5–8. Forms, modals, progress/loading, tables: proceed exactly as Ghost's original order and recommendations — no corrections found in these sections.</w:t>
      </w:r>
    </w:p>
    <w:p>
      <w:pPr>
        <w:pStyle w:val="ListParagraph"/>
        <w:numPr>
          <w:ilvl w:val="0"/>
          <w:numId w:val="2"/>
        </w:numPr>
      </w:pPr>
      <w:r>
        <w:rPr>
          <w:sz w:val="21"/>
          <w:szCs w:val="21"/>
        </w:rPr>
        <w:t xml:space="preserve">Throughout: keep old class names as aliases until markup is migrated, per Ghost's standing instruction — this remains the right call given the page-count exposure confirmed above.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A1A1A"/>
      <w:sz w:val="30"/>
      <w:szCs w:val="30"/>
    </w:rPr>
  </w:style>
  <w:style w:type="paragraph" w:styleId="Heading2">
    <w:name w:val="Heading 2"/>
    <w:basedOn w:val="Normal"/>
    <w:next w:val="Normal"/>
    <w:qFormat/>
    <w:pPr>
      <w:spacing w:after="140" w:before="240"/>
      <w:outlineLvl w:val="1"/>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2026-06-30T06:51:35.975Z</dcterms:created>
  <dcterms:modified xsi:type="dcterms:W3CDTF">2026-06-30T06:51:35.975Z</dcterms:modified>
</cp:coreProperties>
</file>

<file path=docProps/custom.xml><?xml version="1.0" encoding="utf-8"?>
<Properties xmlns="http://schemas.openxmlformats.org/officeDocument/2006/custom-properties" xmlns:vt="http://schemas.openxmlformats.org/officeDocument/2006/docPropsVTypes"/>
</file>