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912A33" w14:paraId="1326A82C" w14:textId="77777777">
        <w:tc>
          <w:tcPr>
            <w:tcW w:w="7000" w:type="dxa"/>
            <w:tcBorders>
              <w:top w:val="nil"/>
              <w:left w:val="nil"/>
              <w:bottom w:val="nil"/>
              <w:right w:val="nil"/>
            </w:tcBorders>
            <w:shd w:val="clear" w:color="auto" w:fill="7B1A1A"/>
            <w:tcMar>
              <w:top w:w="200" w:type="dxa"/>
              <w:left w:w="300" w:type="dxa"/>
              <w:bottom w:w="200" w:type="dxa"/>
              <w:right w:w="200" w:type="dxa"/>
            </w:tcMar>
          </w:tcPr>
          <w:p w14:paraId="3EB14EAD" w14:textId="77777777" w:rsidR="00912A33" w:rsidRDefault="00912A33">
            <w:pPr>
              <w:spacing w:before="40" w:after="20"/>
              <w:rPr>
                <w:rFonts w:ascii="Times New Roman" w:hAnsi="Times New Roman" w:cs="Times New Roman"/>
                <w:sz w:val="24"/>
                <w:szCs w:val="24"/>
              </w:rPr>
            </w:pPr>
          </w:p>
        </w:tc>
        <w:tc>
          <w:tcPr>
            <w:tcW w:w="2360" w:type="dxa"/>
            <w:tcBorders>
              <w:top w:val="nil"/>
              <w:left w:val="nil"/>
              <w:bottom w:val="nil"/>
              <w:right w:val="nil"/>
            </w:tcBorders>
            <w:shd w:val="clear" w:color="auto" w:fill="5A1010"/>
            <w:tcMar>
              <w:top w:w="200" w:type="dxa"/>
              <w:left w:w="200" w:type="dxa"/>
              <w:bottom w:w="200" w:type="dxa"/>
              <w:right w:w="240" w:type="dxa"/>
            </w:tcMar>
          </w:tcPr>
          <w:p w14:paraId="60AE9817" w14:textId="77777777" w:rsidR="00912A33" w:rsidRDefault="00C27D9D">
            <w:pPr>
              <w:spacing w:before="20" w:after="10"/>
              <w:jc w:val="center"/>
              <w:rPr>
                <w:rFonts w:ascii="Times New Roman" w:hAnsi="Times New Roman" w:cs="Times New Roman"/>
                <w:sz w:val="24"/>
                <w:szCs w:val="24"/>
              </w:rPr>
            </w:pPr>
            <w:r>
              <w:rPr>
                <w:rFonts w:ascii="Times New Roman" w:hAnsi="Times New Roman" w:cs="Times New Roman"/>
                <w:color w:val="E8AAAA"/>
                <w:sz w:val="24"/>
                <w:szCs w:val="24"/>
              </w:rPr>
              <w:t>Cardiac Disease</w:t>
            </w:r>
          </w:p>
          <w:p w14:paraId="10FF7928" w14:textId="77777777" w:rsidR="00912A33" w:rsidRDefault="00C27D9D">
            <w:pPr>
              <w:spacing w:after="10"/>
              <w:jc w:val="center"/>
              <w:rPr>
                <w:rFonts w:ascii="Times New Roman" w:hAnsi="Times New Roman" w:cs="Times New Roman"/>
                <w:sz w:val="24"/>
                <w:szCs w:val="24"/>
              </w:rPr>
            </w:pPr>
            <w:r>
              <w:rPr>
                <w:rFonts w:ascii="Times New Roman" w:hAnsi="Times New Roman" w:cs="Times New Roman"/>
                <w:b/>
                <w:bCs/>
                <w:color w:val="FFFFFF"/>
                <w:sz w:val="24"/>
                <w:szCs w:val="24"/>
              </w:rPr>
              <w:t>RSV</w:t>
            </w:r>
          </w:p>
          <w:p w14:paraId="6B35DE40" w14:textId="77777777" w:rsidR="00912A33" w:rsidRDefault="00C27D9D">
            <w:pPr>
              <w:spacing w:after="20"/>
              <w:jc w:val="center"/>
              <w:rPr>
                <w:rFonts w:ascii="Times New Roman" w:hAnsi="Times New Roman" w:cs="Times New Roman"/>
                <w:sz w:val="24"/>
                <w:szCs w:val="24"/>
              </w:rPr>
            </w:pPr>
            <w:r>
              <w:rPr>
                <w:rFonts w:ascii="Times New Roman" w:hAnsi="Times New Roman" w:cs="Times New Roman"/>
                <w:color w:val="F5D0D0"/>
                <w:sz w:val="24"/>
                <w:szCs w:val="24"/>
              </w:rPr>
              <w:t>Evidence to Impact</w:t>
            </w:r>
          </w:p>
        </w:tc>
      </w:tr>
    </w:tbl>
    <w:p w14:paraId="64331363" w14:textId="77777777" w:rsidR="00912A33" w:rsidRDefault="00912A33">
      <w:pPr>
        <w:spacing w:before="80" w:after="60"/>
        <w:rPr>
          <w:rFonts w:ascii="Times New Roman" w:hAnsi="Times New Roman" w:cs="Times New Roman"/>
          <w:sz w:val="24"/>
          <w:szCs w:val="24"/>
        </w:rPr>
      </w:pPr>
    </w:p>
    <w:p w14:paraId="5E904DAA" w14:textId="77777777" w:rsidR="00912A33" w:rsidRDefault="00C27D9D">
      <w:pPr>
        <w:spacing w:before="60" w:after="30"/>
        <w:jc w:val="center"/>
        <w:rPr>
          <w:rFonts w:ascii="Times New Roman" w:hAnsi="Times New Roman" w:cs="Times New Roman"/>
          <w:sz w:val="24"/>
          <w:szCs w:val="24"/>
        </w:rPr>
      </w:pPr>
      <w:r>
        <w:rPr>
          <w:rFonts w:ascii="Times New Roman" w:hAnsi="Times New Roman" w:cs="Times New Roman"/>
          <w:b/>
          <w:bCs/>
          <w:color w:val="7B1A1A"/>
          <w:sz w:val="24"/>
          <w:szCs w:val="24"/>
        </w:rPr>
        <w:t>RSV in Children with Cardiac Disease Hospitalised with Severe Acute Respiratory Illness in Kenya: Surveillance Evidence to Guide Targeted Rollout of RSV Prevention</w:t>
      </w:r>
    </w:p>
    <w:p w14:paraId="7B376A85" w14:textId="77777777" w:rsidR="00912A33" w:rsidRDefault="00912A33">
      <w:pPr>
        <w:spacing w:after="80"/>
        <w:jc w:val="center"/>
        <w:rPr>
          <w:rFonts w:ascii="Times New Roman" w:hAnsi="Times New Roman" w:cs="Times New Roman"/>
          <w:sz w:val="24"/>
          <w:szCs w:val="24"/>
        </w:rPr>
      </w:pPr>
    </w:p>
    <w:p w14:paraId="7DF720EC" w14:textId="77777777" w:rsidR="00912A33" w:rsidRDefault="00912A33">
      <w:pPr>
        <w:pBdr>
          <w:bottom w:val="single" w:sz="2" w:space="1" w:color="CCCCCC"/>
        </w:pBdr>
        <w:spacing w:before="60" w:after="60"/>
        <w:rPr>
          <w:rFonts w:ascii="Times New Roman" w:hAnsi="Times New Roman" w:cs="Times New Roman"/>
          <w:sz w:val="24"/>
          <w:szCs w:val="24"/>
        </w:rPr>
      </w:pPr>
    </w:p>
    <w:p w14:paraId="6404FE43" w14:textId="77777777" w:rsidR="00912A33" w:rsidRDefault="00912A33">
      <w:pPr>
        <w:spacing w:before="60" w:after="4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12A33" w14:paraId="03C0D386" w14:textId="77777777">
        <w:tc>
          <w:tcPr>
            <w:tcW w:w="2400" w:type="dxa"/>
            <w:tcBorders>
              <w:top w:val="nil"/>
              <w:left w:val="nil"/>
              <w:bottom w:val="nil"/>
              <w:right w:val="nil"/>
            </w:tcBorders>
            <w:shd w:val="clear" w:color="auto" w:fill="DEEAF1"/>
            <w:tcMar>
              <w:top w:w="80" w:type="dxa"/>
              <w:left w:w="160" w:type="dxa"/>
              <w:bottom w:w="80" w:type="dxa"/>
              <w:right w:w="120" w:type="dxa"/>
            </w:tcMar>
          </w:tcPr>
          <w:p w14:paraId="3D9F6318" w14:textId="77777777" w:rsidR="00912A33" w:rsidRDefault="00C27D9D">
            <w:pPr>
              <w:rPr>
                <w:rFonts w:ascii="Times New Roman" w:hAnsi="Times New Roman" w:cs="Times New Roman"/>
                <w:sz w:val="24"/>
                <w:szCs w:val="24"/>
              </w:rPr>
            </w:pPr>
            <w:r>
              <w:rPr>
                <w:rFonts w:ascii="Times New Roman" w:hAnsi="Times New Roman" w:cs="Times New Roman"/>
                <w:b/>
                <w:bCs/>
                <w:color w:val="1F3864"/>
                <w:sz w:val="24"/>
                <w:szCs w:val="24"/>
              </w:rPr>
              <w:t>Presenting Author</w:t>
            </w:r>
          </w:p>
        </w:tc>
        <w:tc>
          <w:tcPr>
            <w:tcW w:w="6960" w:type="dxa"/>
            <w:tcBorders>
              <w:top w:val="nil"/>
              <w:left w:val="nil"/>
              <w:bottom w:val="nil"/>
              <w:right w:val="nil"/>
            </w:tcBorders>
            <w:shd w:val="clear" w:color="auto" w:fill="FAFCFE"/>
            <w:tcMar>
              <w:top w:w="80" w:type="dxa"/>
              <w:left w:w="160" w:type="dxa"/>
              <w:bottom w:w="80" w:type="dxa"/>
              <w:right w:w="120" w:type="dxa"/>
            </w:tcMar>
          </w:tcPr>
          <w:p w14:paraId="44D4206A" w14:textId="1AA6F937" w:rsidR="00912A33" w:rsidRDefault="00FB0161">
            <w:pPr>
              <w:spacing w:before="40" w:after="40" w:line="276" w:lineRule="auto"/>
              <w:rPr>
                <w:rFonts w:ascii="Times New Roman" w:hAnsi="Times New Roman" w:cs="Times New Roman"/>
                <w:sz w:val="24"/>
                <w:szCs w:val="24"/>
              </w:rPr>
            </w:pPr>
            <w:r>
              <w:rPr>
                <w:rFonts w:ascii="Times New Roman" w:hAnsi="Times New Roman" w:cs="Times New Roman"/>
                <w:color w:val="333333"/>
                <w:sz w:val="24"/>
                <w:szCs w:val="24"/>
              </w:rPr>
              <w:t>Steve Charo</w:t>
            </w:r>
            <w:r w:rsidR="00C27D9D">
              <w:rPr>
                <w:rFonts w:ascii="Times New Roman" w:hAnsi="Times New Roman" w:cs="Times New Roman"/>
                <w:color w:val="333333"/>
                <w:sz w:val="24"/>
                <w:szCs w:val="24"/>
              </w:rPr>
              <w:t>—Study Clinician, KEMRI/CGHR, Kenya</w:t>
            </w:r>
          </w:p>
        </w:tc>
      </w:tr>
      <w:tr w:rsidR="00912A33" w14:paraId="69E1106F" w14:textId="77777777">
        <w:tc>
          <w:tcPr>
            <w:tcW w:w="2400" w:type="dxa"/>
            <w:tcBorders>
              <w:top w:val="nil"/>
              <w:left w:val="nil"/>
              <w:bottom w:val="nil"/>
              <w:right w:val="nil"/>
            </w:tcBorders>
            <w:shd w:val="clear" w:color="auto" w:fill="F2F2F2"/>
            <w:tcMar>
              <w:top w:w="80" w:type="dxa"/>
              <w:left w:w="160" w:type="dxa"/>
              <w:bottom w:w="80" w:type="dxa"/>
              <w:right w:w="120" w:type="dxa"/>
            </w:tcMar>
          </w:tcPr>
          <w:p w14:paraId="456D7278" w14:textId="77777777" w:rsidR="00912A33" w:rsidRDefault="00C27D9D">
            <w:pPr>
              <w:rPr>
                <w:rFonts w:ascii="Times New Roman" w:hAnsi="Times New Roman" w:cs="Times New Roman"/>
                <w:sz w:val="24"/>
                <w:szCs w:val="24"/>
              </w:rPr>
            </w:pPr>
            <w:r>
              <w:rPr>
                <w:rFonts w:ascii="Times New Roman" w:hAnsi="Times New Roman" w:cs="Times New Roman"/>
                <w:b/>
                <w:bCs/>
                <w:color w:val="1F3864"/>
                <w:sz w:val="24"/>
                <w:szCs w:val="24"/>
              </w:rPr>
              <w:t>Qualifications</w:t>
            </w:r>
          </w:p>
        </w:tc>
        <w:tc>
          <w:tcPr>
            <w:tcW w:w="6960" w:type="dxa"/>
            <w:tcBorders>
              <w:top w:val="nil"/>
              <w:left w:val="nil"/>
              <w:bottom w:val="nil"/>
              <w:right w:val="nil"/>
            </w:tcBorders>
            <w:shd w:val="clear" w:color="auto" w:fill="FAFCFE"/>
            <w:tcMar>
              <w:top w:w="80" w:type="dxa"/>
              <w:left w:w="160" w:type="dxa"/>
              <w:bottom w:w="80" w:type="dxa"/>
              <w:right w:w="120" w:type="dxa"/>
            </w:tcMar>
          </w:tcPr>
          <w:p w14:paraId="694AEDA1" w14:textId="741FFC9A" w:rsidR="00912A33" w:rsidRDefault="00FB0161">
            <w:pPr>
              <w:spacing w:before="40" w:after="40" w:line="276" w:lineRule="auto"/>
              <w:rPr>
                <w:rFonts w:ascii="Times New Roman" w:hAnsi="Times New Roman" w:cs="Times New Roman"/>
                <w:sz w:val="24"/>
                <w:szCs w:val="24"/>
              </w:rPr>
            </w:pPr>
            <w:r>
              <w:rPr>
                <w:rFonts w:ascii="Times New Roman" w:hAnsi="Times New Roman" w:cs="Times New Roman"/>
                <w:color w:val="333333"/>
                <w:sz w:val="24"/>
                <w:szCs w:val="24"/>
              </w:rPr>
              <w:t>{Major}</w:t>
            </w:r>
            <w:r w:rsidR="00C27D9D">
              <w:rPr>
                <w:rFonts w:ascii="Times New Roman" w:hAnsi="Times New Roman" w:cs="Times New Roman"/>
                <w:color w:val="333333"/>
                <w:sz w:val="24"/>
                <w:szCs w:val="24"/>
              </w:rPr>
              <w:t xml:space="preserve"> Clinical Medicine  </w:t>
            </w:r>
          </w:p>
        </w:tc>
      </w:tr>
      <w:tr w:rsidR="00912A33" w14:paraId="0BA284DB" w14:textId="77777777">
        <w:tc>
          <w:tcPr>
            <w:tcW w:w="2400" w:type="dxa"/>
            <w:tcBorders>
              <w:top w:val="nil"/>
              <w:left w:val="nil"/>
              <w:bottom w:val="nil"/>
              <w:right w:val="nil"/>
            </w:tcBorders>
            <w:shd w:val="clear" w:color="auto" w:fill="DEEAF1"/>
            <w:tcMar>
              <w:top w:w="80" w:type="dxa"/>
              <w:left w:w="160" w:type="dxa"/>
              <w:bottom w:w="80" w:type="dxa"/>
              <w:right w:w="120" w:type="dxa"/>
            </w:tcMar>
          </w:tcPr>
          <w:p w14:paraId="502DEFE0" w14:textId="77777777" w:rsidR="00912A33" w:rsidRDefault="00C27D9D">
            <w:pPr>
              <w:rPr>
                <w:rFonts w:ascii="Times New Roman" w:hAnsi="Times New Roman" w:cs="Times New Roman"/>
                <w:sz w:val="24"/>
                <w:szCs w:val="24"/>
              </w:rPr>
            </w:pPr>
            <w:r>
              <w:rPr>
                <w:rFonts w:ascii="Times New Roman" w:hAnsi="Times New Roman" w:cs="Times New Roman"/>
                <w:b/>
                <w:bCs/>
                <w:color w:val="1F3864"/>
                <w:sz w:val="24"/>
                <w:szCs w:val="24"/>
              </w:rPr>
              <w:t>Institution</w:t>
            </w:r>
          </w:p>
        </w:tc>
        <w:tc>
          <w:tcPr>
            <w:tcW w:w="6960" w:type="dxa"/>
            <w:tcBorders>
              <w:top w:val="nil"/>
              <w:left w:val="nil"/>
              <w:bottom w:val="nil"/>
              <w:right w:val="nil"/>
            </w:tcBorders>
            <w:shd w:val="clear" w:color="auto" w:fill="FAFCFE"/>
            <w:tcMar>
              <w:top w:w="80" w:type="dxa"/>
              <w:left w:w="160" w:type="dxa"/>
              <w:bottom w:w="80" w:type="dxa"/>
              <w:right w:w="120" w:type="dxa"/>
            </w:tcMar>
          </w:tcPr>
          <w:p w14:paraId="2398EA8D" w14:textId="77777777" w:rsidR="00912A33" w:rsidRDefault="00C27D9D">
            <w:pPr>
              <w:spacing w:before="40" w:after="40" w:line="276" w:lineRule="auto"/>
              <w:rPr>
                <w:rFonts w:ascii="Times New Roman" w:hAnsi="Times New Roman" w:cs="Times New Roman"/>
                <w:sz w:val="24"/>
                <w:szCs w:val="24"/>
              </w:rPr>
            </w:pPr>
            <w:r>
              <w:rPr>
                <w:rFonts w:ascii="Times New Roman" w:hAnsi="Times New Roman" w:cs="Times New Roman"/>
                <w:color w:val="333333"/>
                <w:sz w:val="24"/>
                <w:szCs w:val="24"/>
              </w:rPr>
              <w:t>Centre for Global Health Research (CGHR), Kenya Medical Research Institute (KEMRI), Kisumu, Kenya</w:t>
            </w:r>
          </w:p>
        </w:tc>
      </w:tr>
      <w:tr w:rsidR="00912A33" w14:paraId="3E4575AD" w14:textId="77777777">
        <w:tc>
          <w:tcPr>
            <w:tcW w:w="2400" w:type="dxa"/>
            <w:tcBorders>
              <w:top w:val="nil"/>
              <w:left w:val="nil"/>
              <w:bottom w:val="nil"/>
              <w:right w:val="nil"/>
            </w:tcBorders>
            <w:shd w:val="clear" w:color="auto" w:fill="F2F2F2"/>
            <w:tcMar>
              <w:top w:w="80" w:type="dxa"/>
              <w:left w:w="160" w:type="dxa"/>
              <w:bottom w:w="80" w:type="dxa"/>
              <w:right w:w="120" w:type="dxa"/>
            </w:tcMar>
          </w:tcPr>
          <w:p w14:paraId="4942BCFE" w14:textId="77777777" w:rsidR="00912A33" w:rsidRDefault="00C27D9D">
            <w:pPr>
              <w:rPr>
                <w:rFonts w:ascii="Times New Roman" w:hAnsi="Times New Roman" w:cs="Times New Roman"/>
                <w:sz w:val="24"/>
                <w:szCs w:val="24"/>
              </w:rPr>
            </w:pPr>
            <w:r>
              <w:rPr>
                <w:rFonts w:ascii="Times New Roman" w:hAnsi="Times New Roman" w:cs="Times New Roman"/>
                <w:b/>
                <w:bCs/>
                <w:color w:val="1F3864"/>
                <w:sz w:val="24"/>
                <w:szCs w:val="24"/>
              </w:rPr>
              <w:t>Co-Authors</w:t>
            </w:r>
          </w:p>
        </w:tc>
        <w:tc>
          <w:tcPr>
            <w:tcW w:w="6960" w:type="dxa"/>
            <w:tcBorders>
              <w:top w:val="nil"/>
              <w:left w:val="nil"/>
              <w:bottom w:val="nil"/>
              <w:right w:val="nil"/>
            </w:tcBorders>
            <w:shd w:val="clear" w:color="auto" w:fill="FAFCFE"/>
            <w:tcMar>
              <w:top w:w="80" w:type="dxa"/>
              <w:left w:w="160" w:type="dxa"/>
              <w:bottom w:w="80" w:type="dxa"/>
              <w:right w:w="120" w:type="dxa"/>
            </w:tcMar>
          </w:tcPr>
          <w:p w14:paraId="2E5F37D4" w14:textId="77777777" w:rsidR="00912A33" w:rsidRDefault="00912A33">
            <w:pPr>
              <w:spacing w:before="40" w:after="40" w:line="276" w:lineRule="auto"/>
              <w:rPr>
                <w:rFonts w:ascii="Times New Roman" w:hAnsi="Times New Roman" w:cs="Times New Roman"/>
                <w:sz w:val="24"/>
                <w:szCs w:val="24"/>
              </w:rPr>
            </w:pPr>
          </w:p>
        </w:tc>
      </w:tr>
      <w:tr w:rsidR="00912A33" w14:paraId="713594C6" w14:textId="77777777">
        <w:tc>
          <w:tcPr>
            <w:tcW w:w="2400" w:type="dxa"/>
            <w:tcBorders>
              <w:top w:val="nil"/>
              <w:left w:val="nil"/>
              <w:bottom w:val="nil"/>
              <w:right w:val="nil"/>
            </w:tcBorders>
            <w:shd w:val="clear" w:color="auto" w:fill="DEEAF1"/>
            <w:tcMar>
              <w:top w:w="80" w:type="dxa"/>
              <w:left w:w="160" w:type="dxa"/>
              <w:bottom w:w="80" w:type="dxa"/>
              <w:right w:w="120" w:type="dxa"/>
            </w:tcMar>
          </w:tcPr>
          <w:p w14:paraId="1A35A554" w14:textId="77777777" w:rsidR="00912A33" w:rsidRDefault="00C27D9D">
            <w:pPr>
              <w:rPr>
                <w:rFonts w:ascii="Times New Roman" w:hAnsi="Times New Roman" w:cs="Times New Roman"/>
                <w:sz w:val="24"/>
                <w:szCs w:val="24"/>
              </w:rPr>
            </w:pPr>
            <w:r>
              <w:rPr>
                <w:rFonts w:ascii="Times New Roman" w:hAnsi="Times New Roman" w:cs="Times New Roman"/>
                <w:b/>
                <w:bCs/>
                <w:color w:val="1F3864"/>
                <w:sz w:val="24"/>
                <w:szCs w:val="24"/>
              </w:rPr>
              <w:t>Study Population</w:t>
            </w:r>
          </w:p>
        </w:tc>
        <w:tc>
          <w:tcPr>
            <w:tcW w:w="6960" w:type="dxa"/>
            <w:tcBorders>
              <w:top w:val="nil"/>
              <w:left w:val="nil"/>
              <w:bottom w:val="nil"/>
              <w:right w:val="nil"/>
            </w:tcBorders>
            <w:shd w:val="clear" w:color="auto" w:fill="FAFCFE"/>
            <w:tcMar>
              <w:top w:w="80" w:type="dxa"/>
              <w:left w:w="160" w:type="dxa"/>
              <w:bottom w:w="80" w:type="dxa"/>
              <w:right w:w="120" w:type="dxa"/>
            </w:tcMar>
          </w:tcPr>
          <w:p w14:paraId="4246AEF4" w14:textId="77777777" w:rsidR="00912A33" w:rsidRDefault="00C27D9D">
            <w:pPr>
              <w:spacing w:before="40" w:after="40" w:line="276" w:lineRule="auto"/>
              <w:rPr>
                <w:rFonts w:ascii="Times New Roman" w:hAnsi="Times New Roman" w:cs="Times New Roman"/>
                <w:sz w:val="24"/>
                <w:szCs w:val="24"/>
              </w:rPr>
            </w:pPr>
            <w:r>
              <w:rPr>
                <w:rFonts w:ascii="Times New Roman" w:hAnsi="Times New Roman" w:cs="Times New Roman"/>
                <w:color w:val="333333"/>
                <w:sz w:val="24"/>
                <w:szCs w:val="24"/>
              </w:rPr>
              <w:t>Children hospitalised with SARI/ILI who had chronic cardiac disease (congenital or rheumatic heart disease, cardiomyopathy, CCF) and were tested for RSV at four Kenyan sentinel hospitals, 2024–2026</w:t>
            </w:r>
          </w:p>
        </w:tc>
      </w:tr>
      <w:tr w:rsidR="00912A33" w14:paraId="273A626D" w14:textId="77777777">
        <w:trPr>
          <w:trHeight w:val="1039"/>
        </w:trPr>
        <w:tc>
          <w:tcPr>
            <w:tcW w:w="2400" w:type="dxa"/>
            <w:tcBorders>
              <w:top w:val="nil"/>
              <w:left w:val="nil"/>
              <w:bottom w:val="nil"/>
              <w:right w:val="nil"/>
            </w:tcBorders>
            <w:shd w:val="clear" w:color="auto" w:fill="F2F2F2"/>
            <w:tcMar>
              <w:top w:w="80" w:type="dxa"/>
              <w:left w:w="160" w:type="dxa"/>
              <w:bottom w:w="80" w:type="dxa"/>
              <w:right w:w="120" w:type="dxa"/>
            </w:tcMar>
          </w:tcPr>
          <w:p w14:paraId="1A74A777" w14:textId="77777777" w:rsidR="00912A33" w:rsidRDefault="00C27D9D">
            <w:pPr>
              <w:rPr>
                <w:rFonts w:ascii="Times New Roman" w:hAnsi="Times New Roman" w:cs="Times New Roman"/>
                <w:sz w:val="24"/>
                <w:szCs w:val="24"/>
              </w:rPr>
            </w:pPr>
            <w:r>
              <w:rPr>
                <w:rFonts w:ascii="Times New Roman" w:hAnsi="Times New Roman" w:cs="Times New Roman"/>
                <w:b/>
                <w:bCs/>
                <w:color w:val="1F3864"/>
                <w:sz w:val="24"/>
                <w:szCs w:val="24"/>
              </w:rPr>
              <w:t>Symposium Theme</w:t>
            </w:r>
          </w:p>
        </w:tc>
        <w:tc>
          <w:tcPr>
            <w:tcW w:w="6960" w:type="dxa"/>
            <w:tcBorders>
              <w:top w:val="nil"/>
              <w:left w:val="nil"/>
              <w:bottom w:val="nil"/>
              <w:right w:val="nil"/>
            </w:tcBorders>
            <w:shd w:val="clear" w:color="auto" w:fill="FAFCFE"/>
            <w:tcMar>
              <w:top w:w="80" w:type="dxa"/>
              <w:left w:w="160" w:type="dxa"/>
              <w:bottom w:w="80" w:type="dxa"/>
              <w:right w:w="120" w:type="dxa"/>
            </w:tcMar>
          </w:tcPr>
          <w:p w14:paraId="72171174" w14:textId="77777777" w:rsidR="00912A33" w:rsidRDefault="00912A33">
            <w:pPr>
              <w:spacing w:before="40" w:after="40" w:line="276" w:lineRule="auto"/>
              <w:rPr>
                <w:rFonts w:ascii="Times New Roman" w:hAnsi="Times New Roman" w:cs="Times New Roman"/>
                <w:sz w:val="24"/>
                <w:szCs w:val="24"/>
              </w:rPr>
            </w:pPr>
            <w:r>
              <w:rPr>
                <w:rFonts w:ascii="Times New Roman" w:hAnsi="Times New Roman" w:cs="Times New Roman"/>
                <w:color w:val="333333"/>
                <w:sz w:val="24"/>
                <w:szCs w:val="24"/>
              </w:rPr>
              <w:t>Sub-theme 7: Maternal, Child &amp; Adolescent Health (linked to Sub-theme 5: Infectious Diseases)</w:t>
            </w:r>
          </w:p>
        </w:tc>
      </w:tr>
      <w:tr w:rsidR="00912A33" w14:paraId="547DC8BF" w14:textId="77777777">
        <w:tc>
          <w:tcPr>
            <w:tcW w:w="2400" w:type="dxa"/>
            <w:tcBorders>
              <w:top w:val="nil"/>
              <w:left w:val="nil"/>
              <w:bottom w:val="nil"/>
              <w:right w:val="nil"/>
            </w:tcBorders>
            <w:shd w:val="clear" w:color="auto" w:fill="DEEAF1"/>
            <w:tcMar>
              <w:top w:w="80" w:type="dxa"/>
              <w:left w:w="160" w:type="dxa"/>
              <w:bottom w:w="80" w:type="dxa"/>
              <w:right w:w="120" w:type="dxa"/>
            </w:tcMar>
          </w:tcPr>
          <w:p w14:paraId="0DD1EC4E" w14:textId="77777777" w:rsidR="00912A33" w:rsidRDefault="00C27D9D">
            <w:pPr>
              <w:rPr>
                <w:rFonts w:ascii="Times New Roman" w:hAnsi="Times New Roman" w:cs="Times New Roman"/>
                <w:sz w:val="24"/>
                <w:szCs w:val="24"/>
              </w:rPr>
            </w:pPr>
            <w:r>
              <w:rPr>
                <w:rFonts w:ascii="Times New Roman" w:hAnsi="Times New Roman" w:cs="Times New Roman"/>
                <w:b/>
                <w:bCs/>
                <w:color w:val="1F3864"/>
                <w:sz w:val="24"/>
                <w:szCs w:val="24"/>
              </w:rPr>
              <w:t>Presentation Type</w:t>
            </w:r>
          </w:p>
        </w:tc>
        <w:tc>
          <w:tcPr>
            <w:tcW w:w="6960" w:type="dxa"/>
            <w:tcBorders>
              <w:top w:val="nil"/>
              <w:left w:val="nil"/>
              <w:bottom w:val="nil"/>
              <w:right w:val="nil"/>
            </w:tcBorders>
            <w:shd w:val="clear" w:color="auto" w:fill="FAFCFE"/>
            <w:tcMar>
              <w:top w:w="80" w:type="dxa"/>
              <w:left w:w="160" w:type="dxa"/>
              <w:bottom w:w="80" w:type="dxa"/>
              <w:right w:w="120" w:type="dxa"/>
            </w:tcMar>
          </w:tcPr>
          <w:p w14:paraId="79866290" w14:textId="77777777" w:rsidR="00912A33" w:rsidRDefault="00912A33">
            <w:pPr>
              <w:spacing w:before="40" w:after="40" w:line="276" w:lineRule="auto"/>
              <w:rPr>
                <w:rFonts w:ascii="Times New Roman" w:hAnsi="Times New Roman" w:cs="Times New Roman"/>
                <w:sz w:val="24"/>
                <w:szCs w:val="24"/>
              </w:rPr>
            </w:pPr>
          </w:p>
        </w:tc>
      </w:tr>
    </w:tbl>
    <w:p w14:paraId="7A668371" w14:textId="77777777" w:rsidR="00912A33" w:rsidRDefault="00912A33">
      <w:pPr>
        <w:spacing w:before="120" w:after="60"/>
        <w:rPr>
          <w:rFonts w:ascii="Times New Roman" w:hAnsi="Times New Roman" w:cs="Times New Roman"/>
          <w:sz w:val="24"/>
          <w:szCs w:val="24"/>
        </w:rPr>
      </w:pPr>
    </w:p>
    <w:p w14:paraId="594637B0" w14:textId="77777777" w:rsidR="00912A33" w:rsidRDefault="00912A33">
      <w:pPr>
        <w:pBdr>
          <w:bottom w:val="single" w:sz="8" w:space="1" w:color="7B1A1A"/>
        </w:pBdr>
        <w:spacing w:before="80" w:after="80"/>
        <w:rPr>
          <w:rFonts w:ascii="Times New Roman" w:hAnsi="Times New Roman" w:cs="Times New Roman"/>
          <w:sz w:val="24"/>
          <w:szCs w:val="24"/>
        </w:rPr>
      </w:pPr>
    </w:p>
    <w:p w14:paraId="35B8FA72" w14:textId="77777777" w:rsidR="00912A33" w:rsidRDefault="00912A33">
      <w:pPr>
        <w:spacing w:before="60" w:after="4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912A33" w14:paraId="1074F0A4" w14:textId="77777777">
        <w:tc>
          <w:tcPr>
            <w:tcW w:w="200" w:type="dxa"/>
            <w:tcBorders>
              <w:top w:val="nil"/>
              <w:left w:val="nil"/>
              <w:bottom w:val="nil"/>
              <w:right w:val="nil"/>
            </w:tcBorders>
            <w:shd w:val="clear" w:color="auto" w:fill="7B1A1A"/>
            <w:tcMar>
              <w:top w:w="0" w:type="dxa"/>
              <w:left w:w="0" w:type="dxa"/>
              <w:bottom w:w="0" w:type="dxa"/>
              <w:right w:w="0" w:type="dxa"/>
            </w:tcMar>
          </w:tcPr>
          <w:p w14:paraId="1342EA3A" w14:textId="77777777" w:rsidR="00912A33" w:rsidRDefault="00912A33">
            <w:pPr>
              <w:rPr>
                <w:rFonts w:ascii="Times New Roman" w:hAnsi="Times New Roman" w:cs="Times New Roman"/>
                <w:sz w:val="24"/>
                <w:szCs w:val="24"/>
              </w:rPr>
            </w:pPr>
          </w:p>
        </w:tc>
        <w:tc>
          <w:tcPr>
            <w:tcW w:w="9160" w:type="dxa"/>
            <w:tcBorders>
              <w:top w:val="nil"/>
              <w:left w:val="nil"/>
              <w:bottom w:val="nil"/>
              <w:right w:val="nil"/>
            </w:tcBorders>
            <w:shd w:val="clear" w:color="auto" w:fill="FAF0F0"/>
            <w:tcMar>
              <w:top w:w="140" w:type="dxa"/>
              <w:left w:w="200" w:type="dxa"/>
              <w:bottom w:w="140" w:type="dxa"/>
              <w:right w:w="200" w:type="dxa"/>
            </w:tcMar>
          </w:tcPr>
          <w:p w14:paraId="790F055A" w14:textId="77777777" w:rsidR="00912A33" w:rsidRDefault="00C27D9D">
            <w:pPr>
              <w:spacing w:before="20" w:after="40"/>
              <w:rPr>
                <w:rFonts w:ascii="Times New Roman" w:hAnsi="Times New Roman" w:cs="Times New Roman"/>
                <w:sz w:val="24"/>
                <w:szCs w:val="24"/>
              </w:rPr>
            </w:pPr>
            <w:r>
              <w:rPr>
                <w:rFonts w:ascii="Times New Roman" w:hAnsi="Times New Roman" w:cs="Times New Roman"/>
                <w:b/>
                <w:bCs/>
                <w:caps/>
                <w:color w:val="7B1A1A"/>
                <w:sz w:val="24"/>
                <w:szCs w:val="24"/>
              </w:rPr>
              <w:t>BACKGROUND</w:t>
            </w:r>
          </w:p>
          <w:p w14:paraId="16DF62BD"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color w:val="1A1A1A"/>
                <w:sz w:val="24"/>
                <w:szCs w:val="24"/>
              </w:rPr>
              <w:t>Children with heart disease, including congenital and rheumatic heart disease and congestive cardiac failure (CCF), have limited cardiopulmonary reserve and are considered at high risk of severe respiratory syncytial virus (RSV) illness. New RSV preventives (maternal vaccination and long-acting monoclonal antibodies) are becoming available, but supplies and budgets are limited, so countries need local evidence on who to prioritise. Data from Kenya on RSV burden and hospital costs in children with cardiac disease are lacking.</w:t>
            </w:r>
          </w:p>
        </w:tc>
      </w:tr>
    </w:tbl>
    <w:p w14:paraId="4C4E2183" w14:textId="77777777" w:rsidR="00912A33" w:rsidRDefault="00912A33">
      <w:pPr>
        <w:spacing w:before="80" w:after="4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912A33" w14:paraId="1ABA6727" w14:textId="77777777">
        <w:tc>
          <w:tcPr>
            <w:tcW w:w="200" w:type="dxa"/>
            <w:tcBorders>
              <w:top w:val="nil"/>
              <w:left w:val="nil"/>
              <w:bottom w:val="nil"/>
              <w:right w:val="nil"/>
            </w:tcBorders>
            <w:shd w:val="clear" w:color="auto" w:fill="7B1A1A"/>
            <w:tcMar>
              <w:top w:w="0" w:type="dxa"/>
              <w:left w:w="0" w:type="dxa"/>
              <w:bottom w:w="0" w:type="dxa"/>
              <w:right w:w="0" w:type="dxa"/>
            </w:tcMar>
          </w:tcPr>
          <w:p w14:paraId="4B34EB9A" w14:textId="77777777" w:rsidR="00912A33" w:rsidRDefault="00912A33">
            <w:pPr>
              <w:rPr>
                <w:rFonts w:ascii="Times New Roman" w:hAnsi="Times New Roman" w:cs="Times New Roman"/>
                <w:sz w:val="24"/>
                <w:szCs w:val="24"/>
              </w:rPr>
            </w:pPr>
          </w:p>
        </w:tc>
        <w:tc>
          <w:tcPr>
            <w:tcW w:w="9160" w:type="dxa"/>
            <w:tcBorders>
              <w:top w:val="nil"/>
              <w:left w:val="nil"/>
              <w:bottom w:val="nil"/>
              <w:right w:val="nil"/>
            </w:tcBorders>
            <w:shd w:val="clear" w:color="auto" w:fill="FAF0F0"/>
            <w:tcMar>
              <w:top w:w="140" w:type="dxa"/>
              <w:left w:w="200" w:type="dxa"/>
              <w:bottom w:w="140" w:type="dxa"/>
              <w:right w:w="200" w:type="dxa"/>
            </w:tcMar>
          </w:tcPr>
          <w:p w14:paraId="483F3D6D" w14:textId="77777777" w:rsidR="00912A33" w:rsidRDefault="00C27D9D">
            <w:pPr>
              <w:spacing w:before="20" w:after="40"/>
              <w:rPr>
                <w:rFonts w:ascii="Times New Roman" w:hAnsi="Times New Roman" w:cs="Times New Roman"/>
                <w:sz w:val="24"/>
                <w:szCs w:val="24"/>
              </w:rPr>
            </w:pPr>
            <w:r>
              <w:rPr>
                <w:rFonts w:ascii="Times New Roman" w:hAnsi="Times New Roman" w:cs="Times New Roman"/>
                <w:b/>
                <w:bCs/>
                <w:caps/>
                <w:color w:val="7B1A1A"/>
                <w:sz w:val="24"/>
                <w:szCs w:val="24"/>
              </w:rPr>
              <w:t>OBJECTIVES</w:t>
            </w:r>
          </w:p>
          <w:p w14:paraId="3D244734"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b/>
                <w:color w:val="1A1A1A"/>
                <w:sz w:val="24"/>
                <w:szCs w:val="24"/>
              </w:rPr>
              <w:t xml:space="preserve">1. </w:t>
            </w:r>
            <w:r>
              <w:rPr>
                <w:rFonts w:ascii="Times New Roman" w:hAnsi="Times New Roman" w:cs="Times New Roman"/>
                <w:color w:val="1A1A1A"/>
                <w:sz w:val="24"/>
                <w:szCs w:val="24"/>
              </w:rPr>
              <w:t>To determine the prevalence of RSV among children with cardiac disease, including heart failure, who are hospitalised with severe acute respiratory illness (SARI).</w:t>
            </w:r>
          </w:p>
          <w:p w14:paraId="33CC701B"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b/>
                <w:color w:val="1A1A1A"/>
                <w:sz w:val="24"/>
                <w:szCs w:val="24"/>
              </w:rPr>
              <w:t xml:space="preserve">2. </w:t>
            </w:r>
            <w:r>
              <w:rPr>
                <w:rFonts w:ascii="Times New Roman" w:hAnsi="Times New Roman" w:cs="Times New Roman"/>
                <w:color w:val="1A1A1A"/>
                <w:sz w:val="24"/>
                <w:szCs w:val="24"/>
              </w:rPr>
              <w:t>To assess the association between RSV infection and illness severity in these children.</w:t>
            </w:r>
          </w:p>
          <w:p w14:paraId="44F589F5"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b/>
                <w:color w:val="1A1A1A"/>
                <w:sz w:val="24"/>
                <w:szCs w:val="24"/>
              </w:rPr>
              <w:t xml:space="preserve">3. </w:t>
            </w:r>
            <w:r>
              <w:rPr>
                <w:rFonts w:ascii="Times New Roman" w:hAnsi="Times New Roman" w:cs="Times New Roman"/>
                <w:color w:val="1A1A1A"/>
                <w:sz w:val="24"/>
                <w:szCs w:val="24"/>
              </w:rPr>
              <w:t>To compare outcomes and hospital resource use (length of stay, bed-days, ICU/acute care use and in-hospital death) between RSV-positive and RSV-negative children, to inform targeted RSV prevention.</w:t>
            </w:r>
          </w:p>
        </w:tc>
      </w:tr>
    </w:tbl>
    <w:p w14:paraId="7C141343" w14:textId="77777777" w:rsidR="00912A33" w:rsidRDefault="00912A33">
      <w:pPr>
        <w:spacing w:before="80" w:after="4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912A33" w14:paraId="63795E3F" w14:textId="77777777">
        <w:tc>
          <w:tcPr>
            <w:tcW w:w="200" w:type="dxa"/>
            <w:tcBorders>
              <w:top w:val="nil"/>
              <w:left w:val="nil"/>
              <w:bottom w:val="nil"/>
              <w:right w:val="nil"/>
            </w:tcBorders>
            <w:shd w:val="clear" w:color="auto" w:fill="005073"/>
            <w:tcMar>
              <w:top w:w="0" w:type="dxa"/>
              <w:left w:w="0" w:type="dxa"/>
              <w:bottom w:w="0" w:type="dxa"/>
              <w:right w:w="0" w:type="dxa"/>
            </w:tcMar>
          </w:tcPr>
          <w:p w14:paraId="6D69865D" w14:textId="77777777" w:rsidR="00912A33" w:rsidRDefault="00912A33">
            <w:pPr>
              <w:rPr>
                <w:rFonts w:ascii="Times New Roman" w:hAnsi="Times New Roman" w:cs="Times New Roman"/>
                <w:sz w:val="24"/>
                <w:szCs w:val="24"/>
              </w:rPr>
            </w:pPr>
          </w:p>
        </w:tc>
        <w:tc>
          <w:tcPr>
            <w:tcW w:w="9160" w:type="dxa"/>
            <w:tcBorders>
              <w:top w:val="nil"/>
              <w:left w:val="nil"/>
              <w:bottom w:val="nil"/>
              <w:right w:val="nil"/>
            </w:tcBorders>
            <w:shd w:val="clear" w:color="auto" w:fill="E0F0F7"/>
            <w:tcMar>
              <w:top w:w="140" w:type="dxa"/>
              <w:left w:w="200" w:type="dxa"/>
              <w:bottom w:w="140" w:type="dxa"/>
              <w:right w:w="200" w:type="dxa"/>
            </w:tcMar>
          </w:tcPr>
          <w:p w14:paraId="0F67F2AD" w14:textId="77777777" w:rsidR="00912A33" w:rsidRDefault="00C27D9D">
            <w:pPr>
              <w:spacing w:before="20" w:after="40"/>
              <w:rPr>
                <w:rFonts w:ascii="Times New Roman" w:hAnsi="Times New Roman" w:cs="Times New Roman"/>
                <w:sz w:val="24"/>
                <w:szCs w:val="24"/>
              </w:rPr>
            </w:pPr>
            <w:r>
              <w:rPr>
                <w:rFonts w:ascii="Times New Roman" w:hAnsi="Times New Roman" w:cs="Times New Roman"/>
                <w:b/>
                <w:bCs/>
                <w:caps/>
                <w:color w:val="005073"/>
                <w:sz w:val="24"/>
                <w:szCs w:val="24"/>
              </w:rPr>
              <w:t>METHODS</w:t>
            </w:r>
          </w:p>
          <w:p w14:paraId="54885ABF"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b/>
                <w:bCs/>
                <w:color w:val="1A1A1A"/>
                <w:sz w:val="24"/>
                <w:szCs w:val="24"/>
              </w:rPr>
              <w:t xml:space="preserve">Design and setting: </w:t>
            </w:r>
            <w:r>
              <w:rPr>
                <w:rFonts w:ascii="Times New Roman" w:hAnsi="Times New Roman" w:cs="Times New Roman"/>
                <w:bCs/>
                <w:color w:val="1A1A1A"/>
                <w:sz w:val="24"/>
                <w:szCs w:val="24"/>
              </w:rPr>
              <w:t>Secondary analysis of KEMRI/CGHR hospital-based SARI/ILI surveillance data (January 2024–July 2026) from Kenyatta National Hospital and the Mombasa, Siaya and Nyeri sentinel sites.</w:t>
            </w:r>
          </w:p>
          <w:p w14:paraId="2933F836"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b/>
                <w:bCs/>
                <w:color w:val="1A1A1A"/>
                <w:sz w:val="24"/>
                <w:szCs w:val="24"/>
              </w:rPr>
              <w:t xml:space="preserve">Population: </w:t>
            </w:r>
            <w:r>
              <w:rPr>
                <w:rFonts w:ascii="Times New Roman" w:hAnsi="Times New Roman" w:cs="Times New Roman"/>
                <w:bCs/>
                <w:color w:val="1A1A1A"/>
                <w:sz w:val="24"/>
                <w:szCs w:val="24"/>
              </w:rPr>
              <w:t>All RSV-tested patients (n = 3,627). Cardiac disease was defined as chronic cardiac disease recorded at enrolment or discharge, or a cardiac diagnosis in the clinical notes (congenital, rheumatic, cardiomyopathy or CCF).</w:t>
            </w:r>
          </w:p>
          <w:p w14:paraId="49C607A8"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b/>
                <w:bCs/>
                <w:color w:val="1A1A1A"/>
                <w:sz w:val="24"/>
                <w:szCs w:val="24"/>
              </w:rPr>
              <w:t xml:space="preserve">Laboratory: </w:t>
            </w:r>
            <w:r>
              <w:rPr>
                <w:rFonts w:ascii="Times New Roman" w:hAnsi="Times New Roman" w:cs="Times New Roman"/>
                <w:bCs/>
                <w:color w:val="1A1A1A"/>
                <w:sz w:val="24"/>
                <w:szCs w:val="24"/>
              </w:rPr>
              <w:t>RSV was detected by real-time RT-PCR on nasopharyngeal/oropharyngeal swabs.</w:t>
            </w:r>
          </w:p>
          <w:p w14:paraId="4D20A247"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b/>
                <w:bCs/>
                <w:color w:val="1A1A1A"/>
                <w:sz w:val="24"/>
                <w:szCs w:val="24"/>
              </w:rPr>
              <w:t xml:space="preserve">Outcomes: </w:t>
            </w:r>
            <w:r>
              <w:rPr>
                <w:rFonts w:ascii="Times New Roman" w:hAnsi="Times New Roman" w:cs="Times New Roman"/>
                <w:bCs/>
                <w:color w:val="1A1A1A"/>
                <w:sz w:val="24"/>
                <w:szCs w:val="24"/>
              </w:rPr>
              <w:t>Severity measures were SpO₂ &lt;90%, supplemental oxygen, ICU/acute care unit (ACU) admission, mechanical ventilation, and a composite of any of these or death. We also assessed length of stay (LOS), total bed-days and in-hospital death.</w:t>
            </w:r>
          </w:p>
          <w:p w14:paraId="77FE6D5C"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b/>
                <w:bCs/>
                <w:color w:val="1A1A1A"/>
                <w:sz w:val="24"/>
                <w:szCs w:val="24"/>
              </w:rPr>
              <w:t xml:space="preserve">Analysis: </w:t>
            </w:r>
            <w:r>
              <w:rPr>
                <w:rFonts w:ascii="Times New Roman" w:hAnsi="Times New Roman" w:cs="Times New Roman"/>
                <w:bCs/>
                <w:color w:val="1A1A1A"/>
                <w:sz w:val="24"/>
                <w:szCs w:val="24"/>
              </w:rPr>
              <w:t>Wilson 95% CIs; Fisher's exact and Mann–Whitney tests; logistic regression adjusted for age, sex and site.</w:t>
            </w:r>
          </w:p>
        </w:tc>
      </w:tr>
    </w:tbl>
    <w:p w14:paraId="725A250E" w14:textId="77777777" w:rsidR="00912A33" w:rsidRDefault="00912A33">
      <w:pPr>
        <w:spacing w:before="80" w:after="4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912A33" w14:paraId="5CC7EA8B" w14:textId="77777777">
        <w:tc>
          <w:tcPr>
            <w:tcW w:w="200" w:type="dxa"/>
            <w:tcBorders>
              <w:top w:val="nil"/>
              <w:left w:val="nil"/>
              <w:bottom w:val="nil"/>
              <w:right w:val="nil"/>
            </w:tcBorders>
            <w:shd w:val="clear" w:color="auto" w:fill="005073"/>
            <w:tcMar>
              <w:top w:w="0" w:type="dxa"/>
              <w:left w:w="0" w:type="dxa"/>
              <w:bottom w:w="0" w:type="dxa"/>
              <w:right w:w="0" w:type="dxa"/>
            </w:tcMar>
          </w:tcPr>
          <w:p w14:paraId="76B64E04" w14:textId="77777777" w:rsidR="00912A33" w:rsidRDefault="00912A33">
            <w:pPr>
              <w:rPr>
                <w:rFonts w:ascii="Times New Roman" w:hAnsi="Times New Roman" w:cs="Times New Roman"/>
                <w:sz w:val="24"/>
                <w:szCs w:val="24"/>
              </w:rPr>
            </w:pPr>
          </w:p>
        </w:tc>
        <w:tc>
          <w:tcPr>
            <w:tcW w:w="9160" w:type="dxa"/>
            <w:tcBorders>
              <w:top w:val="nil"/>
              <w:left w:val="nil"/>
              <w:bottom w:val="nil"/>
              <w:right w:val="nil"/>
            </w:tcBorders>
            <w:shd w:val="clear" w:color="auto" w:fill="E0F0F7"/>
            <w:tcMar>
              <w:top w:w="140" w:type="dxa"/>
              <w:left w:w="200" w:type="dxa"/>
              <w:bottom w:w="140" w:type="dxa"/>
              <w:right w:w="200" w:type="dxa"/>
            </w:tcMar>
          </w:tcPr>
          <w:p w14:paraId="4ADBE95C" w14:textId="77777777" w:rsidR="00912A33" w:rsidRDefault="00C27D9D">
            <w:pPr>
              <w:spacing w:before="20" w:after="40"/>
              <w:rPr>
                <w:rFonts w:ascii="Times New Roman" w:hAnsi="Times New Roman" w:cs="Times New Roman"/>
                <w:sz w:val="24"/>
                <w:szCs w:val="24"/>
              </w:rPr>
            </w:pPr>
            <w:r>
              <w:rPr>
                <w:rFonts w:ascii="Times New Roman" w:hAnsi="Times New Roman" w:cs="Times New Roman"/>
                <w:b/>
                <w:bCs/>
                <w:caps/>
                <w:color w:val="005073"/>
                <w:sz w:val="24"/>
                <w:szCs w:val="24"/>
              </w:rPr>
              <w:t>RESULTS</w:t>
            </w:r>
          </w:p>
          <w:p w14:paraId="71945CA4"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bCs/>
                <w:color w:val="1A1A1A"/>
                <w:sz w:val="24"/>
                <w:szCs w:val="24"/>
              </w:rPr>
              <w:t>Of 3,627 RSV-tested patients, 279 (7.7%) had cardiac disease (median age 7 months), including 19 with documented heart failure.</w:t>
            </w:r>
          </w:p>
          <w:p w14:paraId="63B2E0D5"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b/>
                <w:bCs/>
                <w:color w:val="1A1A1A"/>
                <w:sz w:val="24"/>
                <w:szCs w:val="24"/>
              </w:rPr>
              <w:t xml:space="preserve">Prevalence: </w:t>
            </w:r>
            <w:r>
              <w:rPr>
                <w:rFonts w:ascii="Times New Roman" w:hAnsi="Times New Roman" w:cs="Times New Roman"/>
                <w:bCs/>
                <w:color w:val="1A1A1A"/>
                <w:sz w:val="24"/>
                <w:szCs w:val="24"/>
              </w:rPr>
              <w:t>RSV was detected in 55/279 children with cardiac disease (19.7%; 95% CI 15.5–24.8), a rate similar to children without cardiac disease (22.7%). Positivity was highest in infants &lt;12 months (22.3%) and was 15.8% (3/19) in children with heart failure.</w:t>
            </w:r>
          </w:p>
          <w:p w14:paraId="606842E3"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b/>
                <w:bCs/>
                <w:color w:val="1A1A1A"/>
                <w:sz w:val="24"/>
                <w:szCs w:val="24"/>
              </w:rPr>
              <w:t xml:space="preserve">Severity and outcomes: </w:t>
            </w:r>
            <w:r>
              <w:rPr>
                <w:rFonts w:ascii="Times New Roman" w:hAnsi="Times New Roman" w:cs="Times New Roman"/>
                <w:bCs/>
                <w:color w:val="1A1A1A"/>
                <w:sz w:val="24"/>
                <w:szCs w:val="24"/>
              </w:rPr>
              <w:t>Illness was severe regardless of RSV status. The composite severe outcome occurred in 56.4% of RSV-positive vs 56.2% of RSV-negative children (aOR 0.98; 95% CI 0.53–1.81). ICU/ACU admission (40.0% vs 39.0%), median LOS (14 vs 15 days) and in-hospital death (10.9% vs 15.2%; aOR 0.68, 0.27–1.74) also did not differ. Across all tested patients, cardiac disease independently increased the odds of severe illness (aOR 1.59; 1.22–2.05) and death (aOR 1.89; 1.30–2.74).</w:t>
            </w:r>
          </w:p>
          <w:p w14:paraId="1ADAF3CE"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b/>
                <w:bCs/>
                <w:color w:val="1A1A1A"/>
                <w:sz w:val="24"/>
                <w:szCs w:val="24"/>
              </w:rPr>
              <w:lastRenderedPageBreak/>
              <w:t xml:space="preserve">Resource use: </w:t>
            </w:r>
            <w:r>
              <w:rPr>
                <w:rFonts w:ascii="Times New Roman" w:hAnsi="Times New Roman" w:cs="Times New Roman"/>
                <w:bCs/>
                <w:color w:val="1A1A1A"/>
                <w:sz w:val="24"/>
                <w:szCs w:val="24"/>
              </w:rPr>
              <w:t>The 55 RSV-positive admissions of children with cardiac disease used 1,201 bed-days (mean 22.2 per admission) and 22 ICU/ACU admissions. All 279 children with cardiac disease used 5,379 bed-days.</w:t>
            </w:r>
          </w:p>
        </w:tc>
      </w:tr>
    </w:tbl>
    <w:p w14:paraId="7C7DC5FC" w14:textId="77777777" w:rsidR="00912A33" w:rsidRDefault="00912A33">
      <w:pPr>
        <w:spacing w:before="80" w:after="4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912A33" w14:paraId="4CE0F060" w14:textId="77777777">
        <w:tc>
          <w:tcPr>
            <w:tcW w:w="200" w:type="dxa"/>
            <w:tcBorders>
              <w:top w:val="nil"/>
              <w:left w:val="nil"/>
              <w:bottom w:val="nil"/>
              <w:right w:val="nil"/>
            </w:tcBorders>
            <w:shd w:val="clear" w:color="auto" w:fill="1F3864"/>
            <w:tcMar>
              <w:top w:w="0" w:type="dxa"/>
              <w:left w:w="0" w:type="dxa"/>
              <w:bottom w:w="0" w:type="dxa"/>
              <w:right w:w="0" w:type="dxa"/>
            </w:tcMar>
          </w:tcPr>
          <w:p w14:paraId="326E8F8B" w14:textId="77777777" w:rsidR="00912A33" w:rsidRDefault="00912A33">
            <w:pPr>
              <w:rPr>
                <w:rFonts w:ascii="Times New Roman" w:hAnsi="Times New Roman" w:cs="Times New Roman"/>
                <w:sz w:val="24"/>
                <w:szCs w:val="24"/>
              </w:rPr>
            </w:pPr>
          </w:p>
        </w:tc>
        <w:tc>
          <w:tcPr>
            <w:tcW w:w="9160" w:type="dxa"/>
            <w:tcBorders>
              <w:top w:val="nil"/>
              <w:left w:val="nil"/>
              <w:bottom w:val="nil"/>
              <w:right w:val="nil"/>
            </w:tcBorders>
            <w:shd w:val="clear" w:color="auto" w:fill="EDF2F8"/>
            <w:tcMar>
              <w:top w:w="140" w:type="dxa"/>
              <w:left w:w="200" w:type="dxa"/>
              <w:bottom w:w="140" w:type="dxa"/>
              <w:right w:w="200" w:type="dxa"/>
            </w:tcMar>
          </w:tcPr>
          <w:p w14:paraId="6B23ADA4" w14:textId="77777777" w:rsidR="00912A33" w:rsidRDefault="00C27D9D">
            <w:pPr>
              <w:spacing w:before="20" w:after="40"/>
              <w:rPr>
                <w:rFonts w:ascii="Times New Roman" w:hAnsi="Times New Roman" w:cs="Times New Roman"/>
                <w:b/>
                <w:bCs/>
                <w:caps/>
                <w:color w:val="1F3864"/>
                <w:sz w:val="24"/>
                <w:szCs w:val="24"/>
              </w:rPr>
            </w:pPr>
            <w:r>
              <w:rPr>
                <w:rFonts w:ascii="Times New Roman" w:hAnsi="Times New Roman" w:cs="Times New Roman"/>
                <w:b/>
                <w:bCs/>
                <w:caps/>
                <w:color w:val="1F3864"/>
                <w:sz w:val="24"/>
                <w:szCs w:val="24"/>
              </w:rPr>
              <w:t>CONCLUSION</w:t>
            </w:r>
          </w:p>
          <w:p w14:paraId="00215F8B" w14:textId="77777777" w:rsidR="00912A33" w:rsidRDefault="00C27D9D">
            <w:pPr>
              <w:spacing w:before="20" w:after="20" w:line="296" w:lineRule="auto"/>
              <w:jc w:val="both"/>
              <w:rPr>
                <w:rFonts w:ascii="Times New Roman" w:hAnsi="Times New Roman" w:cs="Times New Roman"/>
                <w:sz w:val="24"/>
                <w:szCs w:val="24"/>
              </w:rPr>
            </w:pPr>
            <w:r>
              <w:rPr>
                <w:rFonts w:ascii="Times New Roman" w:hAnsi="Times New Roman" w:cs="Times New Roman"/>
                <w:color w:val="1A1A1A"/>
                <w:sz w:val="24"/>
                <w:szCs w:val="24"/>
              </w:rPr>
              <w:t>RSV causes about one in five SARI admissions among Kenyan children with heart disease, a group with nearly double the risk of death and long, costly hospital stays. Once these children are admitted, the underlying cardiac disease rather than RSV drives severity, so the greatest gain is likely to come from preventing RSV infection in the first place. Translating this evidence into impact means prioritising infants with heart disease, and pregnant women where maternal vaccination is used, in any RSV prevention rollout in Kenya. Each RSV admission averted in this group would free about 22 hospital bed-days. Adding a cardiac-disease field to routine SARI surveillance would let the impact of prevention be tracked after rollout.</w:t>
            </w:r>
          </w:p>
        </w:tc>
      </w:tr>
    </w:tbl>
    <w:p w14:paraId="41B79E41" w14:textId="77777777" w:rsidR="00912A33" w:rsidRDefault="00912A33">
      <w:pPr>
        <w:rPr>
          <w:rFonts w:ascii="Times New Roman" w:hAnsi="Times New Roman" w:cs="Times New Roman"/>
          <w:sz w:val="24"/>
          <w:szCs w:val="24"/>
        </w:rPr>
      </w:pPr>
    </w:p>
    <w:sectPr w:rsidR="00912A33">
      <w:headerReference w:type="default" r:id="rId6"/>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940BE" w14:textId="77777777" w:rsidR="00DD7F15" w:rsidRDefault="00DD7F15">
      <w:r>
        <w:separator/>
      </w:r>
    </w:p>
  </w:endnote>
  <w:endnote w:type="continuationSeparator" w:id="0">
    <w:p w14:paraId="3DF044AD" w14:textId="77777777" w:rsidR="00DD7F15" w:rsidRDefault="00DD7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66E7" w14:textId="557787B3" w:rsidR="00912A33" w:rsidRDefault="00FB0161">
    <w:pPr>
      <w:pBdr>
        <w:top w:val="single" w:sz="6" w:space="1" w:color="7B1A1A"/>
      </w:pBdr>
      <w:spacing w:before="80"/>
    </w:pPr>
    <w:r>
      <w:rPr>
        <w:b/>
        <w:bCs/>
        <w:color w:val="333333"/>
        <w:sz w:val="17"/>
        <w:szCs w:val="17"/>
      </w:rPr>
      <w:t>STEVE CHARO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72D47" w14:textId="77777777" w:rsidR="00DD7F15" w:rsidRDefault="00DD7F15">
      <w:r>
        <w:separator/>
      </w:r>
    </w:p>
  </w:footnote>
  <w:footnote w:type="continuationSeparator" w:id="0">
    <w:p w14:paraId="4B33FCCE" w14:textId="77777777" w:rsidR="00DD7F15" w:rsidRDefault="00DD7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A667" w14:textId="05746C87" w:rsidR="00912A33" w:rsidRDefault="00FB0161">
    <w:pPr>
      <w:pBdr>
        <w:bottom w:val="single" w:sz="6" w:space="1" w:color="7B1A1A"/>
      </w:pBdr>
      <w:spacing w:after="80"/>
    </w:pPr>
    <w:r>
      <w:rPr>
        <w:b/>
        <w:bCs/>
        <w:color w:val="333333"/>
        <w:sz w:val="17"/>
        <w:szCs w:val="17"/>
      </w:rPr>
      <w:t>STEVE CHARO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A33"/>
    <w:rsid w:val="006F6CAA"/>
    <w:rsid w:val="00912A33"/>
    <w:rsid w:val="00AA485B"/>
    <w:rsid w:val="00C27D9D"/>
    <w:rsid w:val="00DD7F15"/>
    <w:rsid w:val="00FB0161"/>
    <w:rsid w:val="00FE3BDD"/>
    <w:rsid w:val="1BFC601F"/>
    <w:rsid w:val="344D487C"/>
    <w:rsid w:val="39223707"/>
    <w:rsid w:val="3DA63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9CDFF"/>
  <w15:docId w15:val="{E407AD6B-BE0E-4B09-B117-35643603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Header">
    <w:name w:val="header"/>
    <w:basedOn w:val="Normal"/>
    <w:link w:val="HeaderChar"/>
    <w:rsid w:val="00FB0161"/>
    <w:pPr>
      <w:tabs>
        <w:tab w:val="center" w:pos="4680"/>
        <w:tab w:val="right" w:pos="9360"/>
      </w:tabs>
    </w:pPr>
  </w:style>
  <w:style w:type="character" w:customStyle="1" w:styleId="HeaderChar">
    <w:name w:val="Header Char"/>
    <w:basedOn w:val="DefaultParagraphFont"/>
    <w:link w:val="Header"/>
    <w:rsid w:val="00FB0161"/>
    <w:rPr>
      <w:sz w:val="22"/>
      <w:szCs w:val="22"/>
    </w:rPr>
  </w:style>
  <w:style w:type="paragraph" w:styleId="Footer">
    <w:name w:val="footer"/>
    <w:basedOn w:val="Normal"/>
    <w:link w:val="FooterChar"/>
    <w:rsid w:val="00FB0161"/>
    <w:pPr>
      <w:tabs>
        <w:tab w:val="center" w:pos="4680"/>
        <w:tab w:val="right" w:pos="9360"/>
      </w:tabs>
    </w:pPr>
  </w:style>
  <w:style w:type="character" w:customStyle="1" w:styleId="FooterChar">
    <w:name w:val="Footer Char"/>
    <w:basedOn w:val="DefaultParagraphFont"/>
    <w:link w:val="Footer"/>
    <w:rsid w:val="00FB016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679</Words>
  <Characters>3874</Characters>
  <Application>Microsoft Office Word</Application>
  <DocSecurity>0</DocSecurity>
  <Lines>32</Lines>
  <Paragraphs>9</Paragraphs>
  <ScaleCrop>false</ScaleCrop>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Orege, Ian</cp:lastModifiedBy>
  <cp:revision>3</cp:revision>
  <dcterms:created xsi:type="dcterms:W3CDTF">2026-09-08T06:37:00Z</dcterms:created>
  <dcterms:modified xsi:type="dcterms:W3CDTF">2026-09-22T10:40:00Z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4449974C788A44B4AB067F2509B7E682_13</vt:lpwstr>
  </property>
</Properties>
</file>