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28"/>
        </w:rPr>
        <w:t>RSV infection in children with cardiac disease hospitalised with SARI in Kenya — results tables</w:t>
      </w:r>
    </w:p>
    <w:p>
      <w:pPr>
        <w:spacing w:after="40"/>
      </w:pPr>
      <w:r>
        <w:rPr>
          <w:b w:val="0"/>
          <w:i/>
          <w:sz w:val="18"/>
        </w:rPr>
        <w:t>Study flow: Records in surveillance dataset = 42,431; RSV RT-PCR result available = 3,627; Cardiac disease = 279; of whom documented heart failure = 19; of whom RSV-positive = 55</w:t>
      </w:r>
    </w:p>
    <w:p>
      <w:pPr>
        <w:spacing w:after="40"/>
      </w:pPr>
      <w:r>
        <w:rPr>
          <w:b/>
          <w:i w:val="0"/>
          <w:sz w:val="22"/>
        </w:rPr>
        <w:t>Table 1. Baseline characteristics of RSV-tested children with cardiac disease hospitalised with SARI/ILI, by RSV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3496"/>
        <w:gridCol w:w="3496"/>
        <w:gridCol w:w="3496"/>
      </w:tblGrid>
      <w:tr>
        <w:tc>
          <w:tcPr>
            <w:tcW w:type="dxa" w:w="4252"/>
            <w:tcBorders>
              <w:top w:val="single" w:sz="12"/>
              <w:bottom w:val="single" w:sz="6"/>
            </w:tcBorders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3496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RSV-positive (n=55)</w:t>
            </w:r>
          </w:p>
        </w:tc>
        <w:tc>
          <w:tcPr>
            <w:tcW w:type="dxa" w:w="3496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RSV-negative (n=224)</w:t>
            </w:r>
          </w:p>
        </w:tc>
        <w:tc>
          <w:tcPr>
            <w:tcW w:type="dxa" w:w="3496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p-value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Age, months, median (IQR)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6 (3–10)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7 (4–12)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0.104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Age group, n (%)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0.297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 xml:space="preserve">   &lt;6 months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27/55 (49.1)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93/224 (41.5)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 xml:space="preserve">   6–11 months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20/55 (36.4)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71/224 (31.7)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 xml:space="preserve">   1–4 years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8/55 (14.5)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59/224 (26.3)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 xml:space="preserve">   ≥5 years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0/55 (0.0)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1/224 (0.4)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Male sex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32/55 (58.2)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117/224 (52.2)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0.454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Documented heart failure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3/55 (5.5)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16/224 (7.1)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1.000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Malnutrition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16/55 (29.1)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59/224 (26.3)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0.735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Enrolled at Kenyatta National Hospital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38/55 (69.1)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143/224 (63.8)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0.530</w:t>
            </w:r>
          </w:p>
        </w:tc>
      </w:tr>
      <w:tr>
        <w:tc>
          <w:tcPr>
            <w:tcW w:type="dxa" w:w="4252"/>
            <w:tcBorders>
              <w:bottom w:val="single" w:sz="12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Hospitalised in previous 12 months†</w:t>
            </w:r>
          </w:p>
        </w:tc>
        <w:tc>
          <w:tcPr>
            <w:tcW w:type="dxa" w:w="3496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25/55 (45.5)</w:t>
            </w:r>
          </w:p>
        </w:tc>
        <w:tc>
          <w:tcPr>
            <w:tcW w:type="dxa" w:w="3496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92/213 (43.2)</w:t>
            </w:r>
          </w:p>
        </w:tc>
        <w:tc>
          <w:tcPr>
            <w:tcW w:type="dxa" w:w="3496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0.763</w:t>
            </w:r>
          </w:p>
        </w:tc>
      </w:tr>
    </w:tbl>
    <w:p>
      <w:pPr>
        <w:spacing w:after="40"/>
      </w:pPr>
      <w:r>
        <w:rPr>
          <w:b w:val="0"/>
          <w:i/>
          <w:sz w:val="16"/>
        </w:rPr>
        <w:t>Values are n/N (%) unless stated. p-values: Fisher's exact test (binary), χ² (age group), Mann–Whitney U (age). † Descriptive proxy for prior health-care use; readmission after discharge was not captured.</w:t>
      </w:r>
    </w:p>
    <w:p>
      <w:r>
        <w:br w:type="page"/>
      </w:r>
    </w:p>
    <w:p>
      <w:pPr>
        <w:spacing w:after="40"/>
      </w:pPr>
      <w:r>
        <w:rPr>
          <w:b/>
          <w:i w:val="0"/>
          <w:sz w:val="22"/>
        </w:rPr>
        <w:t>Table 2. RSV prevalence among hospitalised SARI/ILI patients, by cardiac disease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3496"/>
        <w:gridCol w:w="3496"/>
        <w:gridCol w:w="3496"/>
      </w:tblGrid>
      <w:tr>
        <w:tc>
          <w:tcPr>
            <w:tcW w:type="dxa" w:w="4252"/>
            <w:tcBorders>
              <w:top w:val="single" w:sz="12"/>
              <w:bottom w:val="single" w:sz="6"/>
            </w:tcBorders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3496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Tested, n</w:t>
            </w:r>
          </w:p>
        </w:tc>
        <w:tc>
          <w:tcPr>
            <w:tcW w:type="dxa" w:w="3496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RSV-positive, n</w:t>
            </w:r>
          </w:p>
        </w:tc>
        <w:tc>
          <w:tcPr>
            <w:tcW w:type="dxa" w:w="3496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Prevalence, % (95% CI)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 RSV-tested SARI/ILI patients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3,627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814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22.4 (21.1–23.8)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Without cardiac disease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3,348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759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22.7 (21.3–24.1)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With cardiac disease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279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19.7 (15.5–24.8)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 xml:space="preserve">   Age &lt;6 months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22.5 (15.9–30.8)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 xml:space="preserve">   Age 6–11 months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22.0 (14.7–31.5)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 xml:space="preserve">   Age 1–4 years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11.9 (6.2–21.8)</w:t>
            </w:r>
          </w:p>
        </w:tc>
      </w:tr>
      <w:tr>
        <w:tc>
          <w:tcPr>
            <w:tcW w:type="dxa" w:w="4252"/>
            <w:tcBorders>
              <w:bottom w:val="single" w:sz="12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 xml:space="preserve">   Documented heart failure</w:t>
            </w:r>
          </w:p>
        </w:tc>
        <w:tc>
          <w:tcPr>
            <w:tcW w:type="dxa" w:w="3496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96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96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15.8 (5.5–37.6)</w:t>
            </w:r>
          </w:p>
        </w:tc>
      </w:tr>
    </w:tbl>
    <w:p>
      <w:pPr>
        <w:spacing w:after="40"/>
      </w:pPr>
      <w:r>
        <w:rPr>
          <w:b w:val="0"/>
          <w:i/>
          <w:sz w:val="16"/>
        </w:rPr>
        <w:t>RSV detected by real-time RT-PCR on nasopharyngeal/oropharyngeal swabs. 95% CI by the Wilson method. Cardiac vs non-cardiac: Fisher's exact p = 0.296. Age subgroups with &lt;5 children are not shown.</w:t>
      </w:r>
    </w:p>
    <w:p>
      <w:r>
        <w:br w:type="page"/>
      </w:r>
    </w:p>
    <w:p>
      <w:pPr>
        <w:spacing w:after="40"/>
      </w:pPr>
      <w:r>
        <w:rPr>
          <w:b/>
          <w:i w:val="0"/>
          <w:sz w:val="22"/>
        </w:rPr>
        <w:t>Table 3. Severity and outcomes of children with cardiac disease, by RSV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2098"/>
        <w:gridCol w:w="2098"/>
        <w:gridCol w:w="2098"/>
        <w:gridCol w:w="2098"/>
        <w:gridCol w:w="2098"/>
      </w:tblGrid>
      <w:tr>
        <w:tc>
          <w:tcPr>
            <w:tcW w:type="dxa" w:w="4252"/>
            <w:tcBorders>
              <w:top w:val="single" w:sz="12"/>
              <w:bottom w:val="single" w:sz="6"/>
            </w:tcBorders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09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RSV-positive (n=55)</w:t>
            </w:r>
          </w:p>
        </w:tc>
        <w:tc>
          <w:tcPr>
            <w:tcW w:type="dxa" w:w="209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RSV-negative (n=224)</w:t>
            </w:r>
          </w:p>
        </w:tc>
        <w:tc>
          <w:tcPr>
            <w:tcW w:type="dxa" w:w="209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Crude OR (95% CI)</w:t>
            </w:r>
          </w:p>
        </w:tc>
        <w:tc>
          <w:tcPr>
            <w:tcW w:type="dxa" w:w="209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Adjusted OR (95% CI)*</w:t>
            </w:r>
          </w:p>
        </w:tc>
        <w:tc>
          <w:tcPr>
            <w:tcW w:type="dxa" w:w="209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p-value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SpO₂ &lt;90% at admission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12/55 (21.8)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44/224 (19.6)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1.14 (0.56–2.34)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1.17 (0.56–2.44)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0.678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Supplemental oxygen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48/55 (87.3)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195/223 (87.4)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0.98 (0.41–2.39)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0.94 (0.38–2.30)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0.886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ICU / acute care unit admission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22/55 (40.0)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87/223 (39.0)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1.04 (0.57–1.90)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1.01 (0.54–1.89)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0.975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Mechanical ventilation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1/55 (1.8)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10/223 (4.5)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0.698§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Chest indrawing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46/55 (83.6)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166/223 (74.4)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1.76 (0.81–3.81)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1.89 (0.84–4.22)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0.123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Composite severe outcome‡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31/55 (56.4)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126/224 (56.2)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1.00 (0.55–1.82)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0.98 (0.53–1.81)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0.948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In-hospital death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6/55 (10.9)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34/223 (15.2)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0.68 (0.27–1.71)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0.68 (0.27–1.74)</w:t>
            </w:r>
          </w:p>
        </w:tc>
        <w:tc>
          <w:tcPr>
            <w:tcW w:type="dxa" w:w="209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0.426</w:t>
            </w:r>
          </w:p>
        </w:tc>
      </w:tr>
      <w:tr>
        <w:tc>
          <w:tcPr>
            <w:tcW w:type="dxa" w:w="4252"/>
            <w:tcBorders>
              <w:bottom w:val="single" w:sz="12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Length of stay, days, median (IQR)</w:t>
            </w:r>
          </w:p>
        </w:tc>
        <w:tc>
          <w:tcPr>
            <w:tcW w:type="dxa" w:w="209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14 (7–26)</w:t>
            </w:r>
          </w:p>
        </w:tc>
        <w:tc>
          <w:tcPr>
            <w:tcW w:type="dxa" w:w="209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15 (6–26)</w:t>
            </w:r>
          </w:p>
        </w:tc>
        <w:tc>
          <w:tcPr>
            <w:tcW w:type="dxa" w:w="209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09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09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0.751¶</w:t>
            </w:r>
          </w:p>
        </w:tc>
      </w:tr>
    </w:tbl>
    <w:p>
      <w:pPr>
        <w:spacing w:after="40"/>
      </w:pPr>
      <w:r>
        <w:rPr>
          <w:b w:val="0"/>
          <w:i/>
          <w:sz w:val="16"/>
        </w:rPr>
        <w:t>Values are n/N (%) unless stated. * Logistic regression adjusted for age group (&lt;6, 6–11, ≥12 months), sex and enrolment site (Kenyatta NH vs other). ‡ Any of SpO₂ &lt;90%, ICU/ACU admission, mechanical ventilation or death. § Fisher's exact test; model not fitted because one group had &lt;5 events. ¶ Mann–Whitney U test.</w:t>
      </w:r>
    </w:p>
    <w:p>
      <w:r>
        <w:br w:type="page"/>
      </w:r>
    </w:p>
    <w:p>
      <w:pPr>
        <w:spacing w:after="40"/>
      </w:pPr>
      <w:r>
        <w:rPr>
          <w:b/>
          <w:i w:val="0"/>
          <w:sz w:val="22"/>
        </w:rPr>
        <w:t>Table 4. Hospital resource use among children with cardiac disease hospitalised with SARI/ILI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48"/>
        <w:gridCol w:w="1748"/>
        <w:gridCol w:w="1748"/>
        <w:gridCol w:w="1748"/>
        <w:gridCol w:w="1748"/>
        <w:gridCol w:w="1748"/>
      </w:tblGrid>
      <w:tr>
        <w:tc>
          <w:tcPr>
            <w:tcW w:type="dxa" w:w="4252"/>
            <w:tcBorders>
              <w:top w:val="single" w:sz="12"/>
              <w:bottom w:val="single" w:sz="6"/>
            </w:tcBorders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Admissions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Total bed-days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Mean bed-days per admission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ICU/ACU admissions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Recorded ICU/ACU days (n with data)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Deaths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RSV-positive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1,201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22.2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35 (5)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RSV-negative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224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4,178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19.0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159 (26)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4252"/>
            <w:tcBorders>
              <w:bottom w:val="single" w:sz="12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 cardiac disease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279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5,379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19.6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109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194 (31)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</w:tr>
    </w:tbl>
    <w:p>
      <w:pPr>
        <w:spacing w:after="40"/>
      </w:pPr>
      <w:r>
        <w:rPr>
          <w:b w:val="0"/>
          <w:i/>
          <w:sz w:val="16"/>
        </w:rPr>
        <w:t>Bed-days = date of outcome minus date of admission, for children discharged alive or who died (stays of 0–180 days). ICU/ACU days were recorded for only a subset of ICU/ACU admissions, so the total is a minimum estimate.</w:t>
      </w:r>
    </w:p>
    <w:p>
      <w:r>
        <w:br w:type="page"/>
      </w:r>
    </w:p>
    <w:p>
      <w:pPr>
        <w:spacing w:after="40"/>
      </w:pPr>
      <w:r>
        <w:rPr>
          <w:b/>
          <w:i w:val="0"/>
          <w:sz w:val="22"/>
        </w:rPr>
        <w:t>Table S1. Cardiac disease as a risk factor and effect modifier among all RSV-tested SARI/ILI patients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48"/>
        <w:gridCol w:w="1748"/>
        <w:gridCol w:w="1748"/>
        <w:gridCol w:w="1748"/>
        <w:gridCol w:w="1748"/>
        <w:gridCol w:w="1748"/>
      </w:tblGrid>
      <w:tr>
        <w:tc>
          <w:tcPr>
            <w:tcW w:type="dxa" w:w="4252"/>
            <w:tcBorders>
              <w:top w:val="single" w:sz="12"/>
              <w:bottom w:val="single" w:sz="6"/>
            </w:tcBorders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Cardiac disease, n/N (%)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No cardiac disease, n/N (%)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aOR cardiac disease (95% CI)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aOR RSV (95% CI)</w:t>
            </w:r>
          </w:p>
        </w:tc>
        <w:tc>
          <w:tcPr>
            <w:tcW w:type="dxa" w:w="1748"/>
            <w:tcBorders>
              <w:top w:val="single" w:sz="12"/>
              <w:bottom w:val="single" w:sz="6"/>
            </w:tcBorders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p (RSV × cardiac interaction)</w:t>
            </w:r>
          </w:p>
        </w:tc>
      </w:tr>
      <w:tr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Composite severe outcome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3,434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157/279 (56.3)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1158/3155 (36.7)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1.59 (1.22–2.05)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0.87 (0.73–1.05)</w:t>
            </w:r>
          </w:p>
        </w:tc>
        <w:tc>
          <w:tcPr>
            <w:tcW w:type="dxa" w:w="17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0.876</w:t>
            </w:r>
          </w:p>
        </w:tc>
      </w:tr>
      <w:tr>
        <w:tc>
          <w:tcPr>
            <w:tcW w:type="dxa" w:w="4252"/>
            <w:tcBorders>
              <w:bottom w:val="single" w:sz="12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In-hospital death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3,380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40/278 (14.4)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230/3102 (7.4)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1.89 (1.30–2.74)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0.55 (0.38–0.78)</w:t>
            </w:r>
          </w:p>
        </w:tc>
        <w:tc>
          <w:tcPr>
            <w:tcW w:type="dxa" w:w="1748"/>
            <w:tcBorders>
              <w:bottom w:val="single" w:sz="12"/>
            </w:tcBorders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0.730</w:t>
            </w:r>
          </w:p>
        </w:tc>
      </w:tr>
    </w:tbl>
    <w:p>
      <w:pPr>
        <w:spacing w:after="40"/>
      </w:pPr>
      <w:r>
        <w:rPr>
          <w:b w:val="0"/>
          <w:i/>
          <w:sz w:val="16"/>
        </w:rPr>
        <w:t>Logistic regression adjusted for age group, sex and site. The interaction p-value tests whether the RSV–outcome association differs between children with and without cardiac disease.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