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60"/>
      </w:tblGrid>
      <w:tr w:rsidR="00912A33" w14:paraId="1326A82C" w14:textId="77777777">
        <w:tc>
          <w:tcPr>
            <w:tcW w:w="7000" w:type="dxa"/>
            <w:tcBorders>
              <w:top w:val="nil"/>
              <w:left w:val="nil"/>
              <w:bottom w:val="nil"/>
              <w:right w:val="nil"/>
            </w:tcBorders>
            <w:shd w:val="clear" w:color="auto" w:fill="7B1A1A"/>
            <w:tcMar>
              <w:top w:w="200" w:type="dxa"/>
              <w:left w:w="300" w:type="dxa"/>
              <w:bottom w:w="200" w:type="dxa"/>
              <w:right w:w="200" w:type="dxa"/>
            </w:tcMar>
          </w:tcPr>
          <w:p w14:paraId="3EB14EAD" w14:textId="77777777" w:rsidR="00912A33" w:rsidRDefault="00912A33">
            <w:pPr>
              <w:spacing w:before="40" w:after="20"/>
              <w:rPr>
                <w:rFonts w:ascii="Times New Roman" w:hAnsi="Times New Roman" w:cs="Times New Roman"/>
                <w:sz w:val="24"/>
                <w:szCs w:val="24"/>
              </w:rPr>
            </w:pPr>
          </w:p>
        </w:tc>
        <w:tc>
          <w:tcPr>
            <w:tcW w:w="2360" w:type="dxa"/>
            <w:tcBorders>
              <w:top w:val="nil"/>
              <w:left w:val="nil"/>
              <w:bottom w:val="nil"/>
              <w:right w:val="nil"/>
            </w:tcBorders>
            <w:shd w:val="clear" w:color="auto" w:fill="5A1010"/>
            <w:tcMar>
              <w:top w:w="200" w:type="dxa"/>
              <w:left w:w="200" w:type="dxa"/>
              <w:bottom w:w="200" w:type="dxa"/>
              <w:right w:w="240" w:type="dxa"/>
            </w:tcMar>
          </w:tcPr>
          <w:p w14:paraId="60AE9817" w14:textId="77777777" w:rsidR="00912A33" w:rsidRDefault="00C27D9D">
            <w:pPr>
              <w:spacing w:before="20" w:after="10"/>
              <w:jc w:val="center"/>
              <w:rPr>
                <w:rFonts w:ascii="Times New Roman" w:hAnsi="Times New Roman" w:cs="Times New Roman"/>
                <w:sz w:val="24"/>
                <w:szCs w:val="24"/>
              </w:rPr>
            </w:pPr>
            <w:r>
              <w:rPr>
                <w:rFonts w:ascii="Times New Roman" w:hAnsi="Times New Roman" w:cs="Times New Roman"/>
                <w:color w:val="E8AAAA"/>
                <w:sz w:val="24"/>
                <w:szCs w:val="24"/>
              </w:rPr>
              <w:t>Cardiac Disease</w:t>
            </w:r>
          </w:p>
          <w:p w14:paraId="10FF7928" w14:textId="77777777" w:rsidR="00912A33" w:rsidRDefault="00C27D9D">
            <w:pPr>
              <w:spacing w:after="10"/>
              <w:jc w:val="center"/>
              <w:rPr>
                <w:rFonts w:ascii="Times New Roman" w:hAnsi="Times New Roman" w:cs="Times New Roman"/>
                <w:sz w:val="24"/>
                <w:szCs w:val="24"/>
              </w:rPr>
            </w:pPr>
            <w:r>
              <w:rPr>
                <w:rFonts w:ascii="Times New Roman" w:hAnsi="Times New Roman" w:cs="Times New Roman"/>
                <w:b/>
                <w:bCs/>
                <w:color w:val="FFFFFF"/>
                <w:sz w:val="24"/>
                <w:szCs w:val="24"/>
              </w:rPr>
              <w:t>RSV</w:t>
            </w:r>
          </w:p>
          <w:p w14:paraId="6B35DE40" w14:textId="77777777" w:rsidR="00912A33" w:rsidRDefault="00C27D9D">
            <w:pPr>
              <w:spacing w:after="20"/>
              <w:jc w:val="center"/>
              <w:rPr>
                <w:rFonts w:ascii="Times New Roman" w:hAnsi="Times New Roman" w:cs="Times New Roman"/>
                <w:sz w:val="24"/>
                <w:szCs w:val="24"/>
              </w:rPr>
            </w:pPr>
            <w:r>
              <w:rPr>
                <w:rFonts w:ascii="Times New Roman" w:hAnsi="Times New Roman" w:cs="Times New Roman"/>
                <w:color w:val="F5D0D0"/>
                <w:sz w:val="24"/>
                <w:szCs w:val="24"/>
              </w:rPr>
              <w:t>Evidence to Impact</w:t>
            </w:r>
          </w:p>
        </w:tc>
      </w:tr>
    </w:tbl>
    <w:p w14:paraId="64331363" w14:textId="77777777" w:rsidR="00912A33" w:rsidRDefault="00912A33">
      <w:pPr>
        <w:spacing w:before="80" w:after="60"/>
        <w:rPr>
          <w:rFonts w:ascii="Times New Roman" w:hAnsi="Times New Roman" w:cs="Times New Roman"/>
          <w:sz w:val="24"/>
          <w:szCs w:val="24"/>
        </w:rPr>
      </w:pPr>
    </w:p>
    <w:p w14:paraId="7B376A85" w14:textId="379DAD0F" w:rsidR="00912A33" w:rsidRDefault="00D6087A" w:rsidP="00D6087A">
      <w:pPr>
        <w:spacing w:before="60" w:after="30"/>
        <w:jc w:val="center"/>
        <w:rPr>
          <w:rFonts w:ascii="Times New Roman" w:hAnsi="Times New Roman" w:cs="Times New Roman"/>
          <w:sz w:val="24"/>
          <w:szCs w:val="24"/>
        </w:rPr>
      </w:pPr>
      <w:r>
        <w:rPr>
          <w:rFonts w:ascii="Times New Roman" w:hAnsi="Times New Roman" w:cs="Times New Roman"/>
          <w:b/>
          <w:bCs/>
          <w:color w:val="7B1A1A"/>
          <w:sz w:val="24"/>
          <w:szCs w:val="24"/>
        </w:rPr>
        <w:t xml:space="preserve">RSV in Children with Cardiac Disease </w:t>
      </w:r>
      <w:proofErr w:type="spellStart"/>
      <w:r>
        <w:rPr>
          <w:rFonts w:ascii="Times New Roman" w:hAnsi="Times New Roman" w:cs="Times New Roman"/>
          <w:b/>
          <w:bCs/>
          <w:color w:val="7B1A1A"/>
          <w:sz w:val="24"/>
          <w:szCs w:val="24"/>
        </w:rPr>
        <w:t>Hospitalised</w:t>
      </w:r>
      <w:proofErr w:type="spellEnd"/>
      <w:r>
        <w:rPr>
          <w:rFonts w:ascii="Times New Roman" w:hAnsi="Times New Roman" w:cs="Times New Roman"/>
          <w:b/>
          <w:bCs/>
          <w:color w:val="7B1A1A"/>
          <w:sz w:val="24"/>
          <w:szCs w:val="24"/>
        </w:rPr>
        <w:t xml:space="preserve"> with Severe Acute Respiratory Illness in Kenya: Surveillance Evidence to Guide Targeted Rollout of RSV Prevention</w:t>
      </w:r>
    </w:p>
    <w:p w14:paraId="7DF720EC" w14:textId="77777777" w:rsidR="00912A33" w:rsidRDefault="00912A33">
      <w:pPr>
        <w:pBdr>
          <w:bottom w:val="single" w:sz="2" w:space="1" w:color="CCCCCC"/>
        </w:pBdr>
        <w:spacing w:before="60" w:after="60"/>
        <w:rPr>
          <w:rFonts w:ascii="Times New Roman" w:hAnsi="Times New Roman" w:cs="Times New Roman"/>
          <w:sz w:val="24"/>
          <w:szCs w:val="24"/>
        </w:rPr>
      </w:pPr>
    </w:p>
    <w:p w14:paraId="6404FE43" w14:textId="77777777" w:rsidR="00912A33" w:rsidRDefault="00912A33">
      <w:pPr>
        <w:spacing w:before="60" w:after="40"/>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912A33" w14:paraId="03C0D386" w14:textId="77777777">
        <w:tc>
          <w:tcPr>
            <w:tcW w:w="2400" w:type="dxa"/>
            <w:tcBorders>
              <w:top w:val="nil"/>
              <w:left w:val="nil"/>
              <w:bottom w:val="nil"/>
              <w:right w:val="nil"/>
            </w:tcBorders>
            <w:shd w:val="clear" w:color="auto" w:fill="DEEAF1"/>
            <w:tcMar>
              <w:top w:w="80" w:type="dxa"/>
              <w:left w:w="160" w:type="dxa"/>
              <w:bottom w:w="80" w:type="dxa"/>
              <w:right w:w="120" w:type="dxa"/>
            </w:tcMar>
          </w:tcPr>
          <w:p w14:paraId="3D9F6318" w14:textId="77777777" w:rsidR="00912A33" w:rsidRDefault="00C27D9D">
            <w:pPr>
              <w:rPr>
                <w:rFonts w:ascii="Times New Roman" w:hAnsi="Times New Roman" w:cs="Times New Roman"/>
                <w:sz w:val="24"/>
                <w:szCs w:val="24"/>
              </w:rPr>
            </w:pPr>
            <w:r>
              <w:rPr>
                <w:rFonts w:ascii="Times New Roman" w:hAnsi="Times New Roman" w:cs="Times New Roman"/>
                <w:b/>
                <w:bCs/>
                <w:color w:val="1F3864"/>
                <w:sz w:val="24"/>
                <w:szCs w:val="24"/>
              </w:rPr>
              <w:t>Presenting Author</w:t>
            </w:r>
          </w:p>
        </w:tc>
        <w:tc>
          <w:tcPr>
            <w:tcW w:w="6960" w:type="dxa"/>
            <w:tcBorders>
              <w:top w:val="nil"/>
              <w:left w:val="nil"/>
              <w:bottom w:val="nil"/>
              <w:right w:val="nil"/>
            </w:tcBorders>
            <w:shd w:val="clear" w:color="auto" w:fill="FAFCFE"/>
            <w:tcMar>
              <w:top w:w="80" w:type="dxa"/>
              <w:left w:w="160" w:type="dxa"/>
              <w:bottom w:w="80" w:type="dxa"/>
              <w:right w:w="120" w:type="dxa"/>
            </w:tcMar>
          </w:tcPr>
          <w:p w14:paraId="44D4206A" w14:textId="7B4F3ED5" w:rsidR="00912A33" w:rsidRDefault="00D6087A">
            <w:pPr>
              <w:spacing w:before="40" w:after="40" w:line="276" w:lineRule="auto"/>
              <w:rPr>
                <w:rFonts w:ascii="Times New Roman" w:hAnsi="Times New Roman" w:cs="Times New Roman"/>
                <w:sz w:val="24"/>
                <w:szCs w:val="24"/>
              </w:rPr>
            </w:pPr>
            <w:r>
              <w:rPr>
                <w:rFonts w:ascii="Times New Roman" w:hAnsi="Times New Roman" w:cs="Times New Roman"/>
                <w:color w:val="333333"/>
                <w:sz w:val="24"/>
                <w:szCs w:val="24"/>
              </w:rPr>
              <w:t>Steve Charo—Study Clinician, KEMRI/CGHR, Kenya</w:t>
            </w:r>
          </w:p>
        </w:tc>
      </w:tr>
      <w:tr w:rsidR="00912A33" w14:paraId="69E1106F" w14:textId="77777777">
        <w:tc>
          <w:tcPr>
            <w:tcW w:w="2400" w:type="dxa"/>
            <w:tcBorders>
              <w:top w:val="nil"/>
              <w:left w:val="nil"/>
              <w:bottom w:val="nil"/>
              <w:right w:val="nil"/>
            </w:tcBorders>
            <w:shd w:val="clear" w:color="auto" w:fill="F2F2F2"/>
            <w:tcMar>
              <w:top w:w="80" w:type="dxa"/>
              <w:left w:w="160" w:type="dxa"/>
              <w:bottom w:w="80" w:type="dxa"/>
              <w:right w:w="120" w:type="dxa"/>
            </w:tcMar>
          </w:tcPr>
          <w:p w14:paraId="456D7278" w14:textId="77777777" w:rsidR="00912A33" w:rsidRDefault="00C27D9D">
            <w:pPr>
              <w:rPr>
                <w:rFonts w:ascii="Times New Roman" w:hAnsi="Times New Roman" w:cs="Times New Roman"/>
                <w:sz w:val="24"/>
                <w:szCs w:val="24"/>
              </w:rPr>
            </w:pPr>
            <w:r>
              <w:rPr>
                <w:rFonts w:ascii="Times New Roman" w:hAnsi="Times New Roman" w:cs="Times New Roman"/>
                <w:b/>
                <w:bCs/>
                <w:color w:val="1F3864"/>
                <w:sz w:val="24"/>
                <w:szCs w:val="24"/>
              </w:rPr>
              <w:t>Qualifications</w:t>
            </w:r>
          </w:p>
        </w:tc>
        <w:tc>
          <w:tcPr>
            <w:tcW w:w="6960" w:type="dxa"/>
            <w:tcBorders>
              <w:top w:val="nil"/>
              <w:left w:val="nil"/>
              <w:bottom w:val="nil"/>
              <w:right w:val="nil"/>
            </w:tcBorders>
            <w:shd w:val="clear" w:color="auto" w:fill="FAFCFE"/>
            <w:tcMar>
              <w:top w:w="80" w:type="dxa"/>
              <w:left w:w="160" w:type="dxa"/>
              <w:bottom w:w="80" w:type="dxa"/>
              <w:right w:w="120" w:type="dxa"/>
            </w:tcMar>
          </w:tcPr>
          <w:p w14:paraId="694AEDA1" w14:textId="453D711C" w:rsidR="00912A33" w:rsidRDefault="00D6087A">
            <w:pPr>
              <w:spacing w:before="40" w:after="40" w:line="276" w:lineRule="auto"/>
              <w:rPr>
                <w:rFonts w:ascii="Times New Roman" w:hAnsi="Times New Roman" w:cs="Times New Roman"/>
                <w:sz w:val="24"/>
                <w:szCs w:val="24"/>
              </w:rPr>
            </w:pPr>
            <w:r>
              <w:rPr>
                <w:rFonts w:ascii="Times New Roman" w:hAnsi="Times New Roman" w:cs="Times New Roman"/>
                <w:color w:val="333333"/>
                <w:sz w:val="24"/>
                <w:szCs w:val="24"/>
              </w:rPr>
              <w:t>{Major} Clinical Medicine</w:t>
            </w:r>
          </w:p>
        </w:tc>
      </w:tr>
      <w:tr w:rsidR="00912A33" w14:paraId="0BA284DB" w14:textId="77777777">
        <w:tc>
          <w:tcPr>
            <w:tcW w:w="2400" w:type="dxa"/>
            <w:tcBorders>
              <w:top w:val="nil"/>
              <w:left w:val="nil"/>
              <w:bottom w:val="nil"/>
              <w:right w:val="nil"/>
            </w:tcBorders>
            <w:shd w:val="clear" w:color="auto" w:fill="DEEAF1"/>
            <w:tcMar>
              <w:top w:w="80" w:type="dxa"/>
              <w:left w:w="160" w:type="dxa"/>
              <w:bottom w:w="80" w:type="dxa"/>
              <w:right w:w="120" w:type="dxa"/>
            </w:tcMar>
          </w:tcPr>
          <w:p w14:paraId="502DEFE0" w14:textId="77777777" w:rsidR="00912A33" w:rsidRDefault="00C27D9D">
            <w:pPr>
              <w:rPr>
                <w:rFonts w:ascii="Times New Roman" w:hAnsi="Times New Roman" w:cs="Times New Roman"/>
                <w:sz w:val="24"/>
                <w:szCs w:val="24"/>
              </w:rPr>
            </w:pPr>
            <w:r>
              <w:rPr>
                <w:rFonts w:ascii="Times New Roman" w:hAnsi="Times New Roman" w:cs="Times New Roman"/>
                <w:b/>
                <w:bCs/>
                <w:color w:val="1F3864"/>
                <w:sz w:val="24"/>
                <w:szCs w:val="24"/>
              </w:rPr>
              <w:t>Institution</w:t>
            </w:r>
          </w:p>
        </w:tc>
        <w:tc>
          <w:tcPr>
            <w:tcW w:w="6960" w:type="dxa"/>
            <w:tcBorders>
              <w:top w:val="nil"/>
              <w:left w:val="nil"/>
              <w:bottom w:val="nil"/>
              <w:right w:val="nil"/>
            </w:tcBorders>
            <w:shd w:val="clear" w:color="auto" w:fill="FAFCFE"/>
            <w:tcMar>
              <w:top w:w="80" w:type="dxa"/>
              <w:left w:w="160" w:type="dxa"/>
              <w:bottom w:w="80" w:type="dxa"/>
              <w:right w:w="120" w:type="dxa"/>
            </w:tcMar>
          </w:tcPr>
          <w:p w14:paraId="2398EA8D" w14:textId="77777777" w:rsidR="00912A33" w:rsidRDefault="00C27D9D">
            <w:pPr>
              <w:spacing w:before="40" w:after="40" w:line="276" w:lineRule="auto"/>
              <w:rPr>
                <w:rFonts w:ascii="Times New Roman" w:hAnsi="Times New Roman" w:cs="Times New Roman"/>
                <w:sz w:val="24"/>
                <w:szCs w:val="24"/>
              </w:rPr>
            </w:pPr>
            <w:r>
              <w:rPr>
                <w:rFonts w:ascii="Times New Roman" w:hAnsi="Times New Roman" w:cs="Times New Roman"/>
                <w:color w:val="333333"/>
                <w:sz w:val="24"/>
                <w:szCs w:val="24"/>
              </w:rPr>
              <w:t>Centre for Global Health Research (CGHR), Kenya Medical Research Institute (KEMRI), Kisumu, Kenya</w:t>
            </w:r>
          </w:p>
        </w:tc>
      </w:tr>
      <w:tr w:rsidR="00912A33" w14:paraId="3E4575AD" w14:textId="77777777">
        <w:tc>
          <w:tcPr>
            <w:tcW w:w="2400" w:type="dxa"/>
            <w:tcBorders>
              <w:top w:val="nil"/>
              <w:left w:val="nil"/>
              <w:bottom w:val="nil"/>
              <w:right w:val="nil"/>
            </w:tcBorders>
            <w:shd w:val="clear" w:color="auto" w:fill="F2F2F2"/>
            <w:tcMar>
              <w:top w:w="80" w:type="dxa"/>
              <w:left w:w="160" w:type="dxa"/>
              <w:bottom w:w="80" w:type="dxa"/>
              <w:right w:w="120" w:type="dxa"/>
            </w:tcMar>
          </w:tcPr>
          <w:p w14:paraId="4942BCFE" w14:textId="77777777" w:rsidR="00912A33" w:rsidRDefault="00C27D9D">
            <w:pPr>
              <w:rPr>
                <w:rFonts w:ascii="Times New Roman" w:hAnsi="Times New Roman" w:cs="Times New Roman"/>
                <w:sz w:val="24"/>
                <w:szCs w:val="24"/>
              </w:rPr>
            </w:pPr>
            <w:r>
              <w:rPr>
                <w:rFonts w:ascii="Times New Roman" w:hAnsi="Times New Roman" w:cs="Times New Roman"/>
                <w:b/>
                <w:bCs/>
                <w:color w:val="1F3864"/>
                <w:sz w:val="24"/>
                <w:szCs w:val="24"/>
              </w:rPr>
              <w:t>Co-Authors</w:t>
            </w:r>
          </w:p>
        </w:tc>
        <w:tc>
          <w:tcPr>
            <w:tcW w:w="6960" w:type="dxa"/>
            <w:tcBorders>
              <w:top w:val="nil"/>
              <w:left w:val="nil"/>
              <w:bottom w:val="nil"/>
              <w:right w:val="nil"/>
            </w:tcBorders>
            <w:shd w:val="clear" w:color="auto" w:fill="FAFCFE"/>
            <w:tcMar>
              <w:top w:w="80" w:type="dxa"/>
              <w:left w:w="160" w:type="dxa"/>
              <w:bottom w:w="80" w:type="dxa"/>
              <w:right w:w="120" w:type="dxa"/>
            </w:tcMar>
          </w:tcPr>
          <w:p w14:paraId="2E5F37D4" w14:textId="77777777" w:rsidR="00912A33" w:rsidRDefault="00912A33">
            <w:pPr>
              <w:spacing w:before="40" w:after="40" w:line="276" w:lineRule="auto"/>
              <w:rPr>
                <w:rFonts w:ascii="Times New Roman" w:hAnsi="Times New Roman" w:cs="Times New Roman"/>
                <w:sz w:val="24"/>
                <w:szCs w:val="24"/>
              </w:rPr>
            </w:pPr>
          </w:p>
        </w:tc>
      </w:tr>
      <w:tr w:rsidR="00912A33" w14:paraId="713594C6" w14:textId="77777777">
        <w:tc>
          <w:tcPr>
            <w:tcW w:w="2400" w:type="dxa"/>
            <w:tcBorders>
              <w:top w:val="nil"/>
              <w:left w:val="nil"/>
              <w:bottom w:val="nil"/>
              <w:right w:val="nil"/>
            </w:tcBorders>
            <w:shd w:val="clear" w:color="auto" w:fill="DEEAF1"/>
            <w:tcMar>
              <w:top w:w="80" w:type="dxa"/>
              <w:left w:w="160" w:type="dxa"/>
              <w:bottom w:w="80" w:type="dxa"/>
              <w:right w:w="120" w:type="dxa"/>
            </w:tcMar>
          </w:tcPr>
          <w:p w14:paraId="1A35A554" w14:textId="77777777" w:rsidR="00912A33" w:rsidRDefault="00C27D9D">
            <w:pPr>
              <w:rPr>
                <w:rFonts w:ascii="Times New Roman" w:hAnsi="Times New Roman" w:cs="Times New Roman"/>
                <w:sz w:val="24"/>
                <w:szCs w:val="24"/>
              </w:rPr>
            </w:pPr>
            <w:r>
              <w:rPr>
                <w:rFonts w:ascii="Times New Roman" w:hAnsi="Times New Roman" w:cs="Times New Roman"/>
                <w:b/>
                <w:bCs/>
                <w:color w:val="1F3864"/>
                <w:sz w:val="24"/>
                <w:szCs w:val="24"/>
              </w:rPr>
              <w:t>Study Population</w:t>
            </w:r>
          </w:p>
        </w:tc>
        <w:tc>
          <w:tcPr>
            <w:tcW w:w="6960" w:type="dxa"/>
            <w:tcBorders>
              <w:top w:val="nil"/>
              <w:left w:val="nil"/>
              <w:bottom w:val="nil"/>
              <w:right w:val="nil"/>
            </w:tcBorders>
            <w:shd w:val="clear" w:color="auto" w:fill="FAFCFE"/>
            <w:tcMar>
              <w:top w:w="80" w:type="dxa"/>
              <w:left w:w="160" w:type="dxa"/>
              <w:bottom w:w="80" w:type="dxa"/>
              <w:right w:w="120" w:type="dxa"/>
            </w:tcMar>
          </w:tcPr>
          <w:p w14:paraId="4246AEF4" w14:textId="70551D46" w:rsidR="00912A33" w:rsidRDefault="00D6087A">
            <w:pPr>
              <w:spacing w:before="40" w:after="40" w:line="276" w:lineRule="auto"/>
              <w:rPr>
                <w:rFonts w:ascii="Times New Roman" w:hAnsi="Times New Roman" w:cs="Times New Roman"/>
                <w:sz w:val="24"/>
                <w:szCs w:val="24"/>
              </w:rPr>
            </w:pPr>
            <w:r>
              <w:rPr>
                <w:rFonts w:ascii="Times New Roman" w:hAnsi="Times New Roman" w:cs="Times New Roman"/>
                <w:color w:val="333333"/>
                <w:sz w:val="24"/>
                <w:szCs w:val="24"/>
              </w:rPr>
              <w:t xml:space="preserve">Children </w:t>
            </w:r>
            <w:proofErr w:type="spellStart"/>
            <w:r>
              <w:rPr>
                <w:rFonts w:ascii="Times New Roman" w:hAnsi="Times New Roman" w:cs="Times New Roman"/>
                <w:color w:val="333333"/>
                <w:sz w:val="24"/>
                <w:szCs w:val="24"/>
              </w:rPr>
              <w:t>hospitalised</w:t>
            </w:r>
            <w:proofErr w:type="spellEnd"/>
            <w:r>
              <w:rPr>
                <w:rFonts w:ascii="Times New Roman" w:hAnsi="Times New Roman" w:cs="Times New Roman"/>
                <w:color w:val="333333"/>
                <w:sz w:val="24"/>
                <w:szCs w:val="24"/>
              </w:rPr>
              <w:t xml:space="preserve"> with SARI/ILI who had chronic cardiac disease (congenital or rheumatic heart disease, cardiomyopathy, CCF) and were tested for RSV at four Kenyan sentinel hospitals, 2024–2026</w:t>
            </w:r>
          </w:p>
        </w:tc>
      </w:tr>
      <w:tr w:rsidR="00912A33" w14:paraId="273A626D" w14:textId="77777777">
        <w:trPr>
          <w:trHeight w:val="1039"/>
        </w:trPr>
        <w:tc>
          <w:tcPr>
            <w:tcW w:w="2400" w:type="dxa"/>
            <w:tcBorders>
              <w:top w:val="nil"/>
              <w:left w:val="nil"/>
              <w:bottom w:val="nil"/>
              <w:right w:val="nil"/>
            </w:tcBorders>
            <w:shd w:val="clear" w:color="auto" w:fill="F2F2F2"/>
            <w:tcMar>
              <w:top w:w="80" w:type="dxa"/>
              <w:left w:w="160" w:type="dxa"/>
              <w:bottom w:w="80" w:type="dxa"/>
              <w:right w:w="120" w:type="dxa"/>
            </w:tcMar>
          </w:tcPr>
          <w:p w14:paraId="1A74A777" w14:textId="77777777" w:rsidR="00912A33" w:rsidRDefault="00C27D9D">
            <w:pPr>
              <w:rPr>
                <w:rFonts w:ascii="Times New Roman" w:hAnsi="Times New Roman" w:cs="Times New Roman"/>
                <w:sz w:val="24"/>
                <w:szCs w:val="24"/>
              </w:rPr>
            </w:pPr>
            <w:r>
              <w:rPr>
                <w:rFonts w:ascii="Times New Roman" w:hAnsi="Times New Roman" w:cs="Times New Roman"/>
                <w:b/>
                <w:bCs/>
                <w:color w:val="1F3864"/>
                <w:sz w:val="24"/>
                <w:szCs w:val="24"/>
              </w:rPr>
              <w:t>Symposium Theme</w:t>
            </w:r>
          </w:p>
        </w:tc>
        <w:tc>
          <w:tcPr>
            <w:tcW w:w="6960" w:type="dxa"/>
            <w:tcBorders>
              <w:top w:val="nil"/>
              <w:left w:val="nil"/>
              <w:bottom w:val="nil"/>
              <w:right w:val="nil"/>
            </w:tcBorders>
            <w:shd w:val="clear" w:color="auto" w:fill="FAFCFE"/>
            <w:tcMar>
              <w:top w:w="80" w:type="dxa"/>
              <w:left w:w="160" w:type="dxa"/>
              <w:bottom w:w="80" w:type="dxa"/>
              <w:right w:w="120" w:type="dxa"/>
            </w:tcMar>
          </w:tcPr>
          <w:p w14:paraId="72171174" w14:textId="77777777" w:rsidR="00912A33" w:rsidRDefault="00912A33">
            <w:pPr>
              <w:spacing w:before="40" w:after="40" w:line="276" w:lineRule="auto"/>
              <w:rPr>
                <w:rFonts w:ascii="Times New Roman" w:hAnsi="Times New Roman" w:cs="Times New Roman"/>
                <w:sz w:val="24"/>
                <w:szCs w:val="24"/>
              </w:rPr>
            </w:pPr>
            <w:r>
              <w:rPr>
                <w:rFonts w:ascii="Times New Roman" w:hAnsi="Times New Roman" w:cs="Times New Roman"/>
                <w:color w:val="333333"/>
                <w:sz w:val="24"/>
                <w:szCs w:val="24"/>
              </w:rPr>
              <w:t>Sub-theme 7: Maternal, Child &amp; Adolescent Health (linked to Sub-theme 5: Infectious Diseases)</w:t>
            </w:r>
          </w:p>
        </w:tc>
      </w:tr>
      <w:tr w:rsidR="00912A33" w14:paraId="547DC8BF" w14:textId="77777777">
        <w:tc>
          <w:tcPr>
            <w:tcW w:w="2400" w:type="dxa"/>
            <w:tcBorders>
              <w:top w:val="nil"/>
              <w:left w:val="nil"/>
              <w:bottom w:val="nil"/>
              <w:right w:val="nil"/>
            </w:tcBorders>
            <w:shd w:val="clear" w:color="auto" w:fill="DEEAF1"/>
            <w:tcMar>
              <w:top w:w="80" w:type="dxa"/>
              <w:left w:w="160" w:type="dxa"/>
              <w:bottom w:w="80" w:type="dxa"/>
              <w:right w:w="120" w:type="dxa"/>
            </w:tcMar>
          </w:tcPr>
          <w:p w14:paraId="0DD1EC4E" w14:textId="77777777" w:rsidR="00912A33" w:rsidRDefault="00C27D9D">
            <w:pPr>
              <w:rPr>
                <w:rFonts w:ascii="Times New Roman" w:hAnsi="Times New Roman" w:cs="Times New Roman"/>
                <w:sz w:val="24"/>
                <w:szCs w:val="24"/>
              </w:rPr>
            </w:pPr>
            <w:r>
              <w:rPr>
                <w:rFonts w:ascii="Times New Roman" w:hAnsi="Times New Roman" w:cs="Times New Roman"/>
                <w:b/>
                <w:bCs/>
                <w:color w:val="1F3864"/>
                <w:sz w:val="24"/>
                <w:szCs w:val="24"/>
              </w:rPr>
              <w:t>Presentation Type</w:t>
            </w:r>
          </w:p>
        </w:tc>
        <w:tc>
          <w:tcPr>
            <w:tcW w:w="6960" w:type="dxa"/>
            <w:tcBorders>
              <w:top w:val="nil"/>
              <w:left w:val="nil"/>
              <w:bottom w:val="nil"/>
              <w:right w:val="nil"/>
            </w:tcBorders>
            <w:shd w:val="clear" w:color="auto" w:fill="FAFCFE"/>
            <w:tcMar>
              <w:top w:w="80" w:type="dxa"/>
              <w:left w:w="160" w:type="dxa"/>
              <w:bottom w:w="80" w:type="dxa"/>
              <w:right w:w="120" w:type="dxa"/>
            </w:tcMar>
          </w:tcPr>
          <w:p w14:paraId="79866290" w14:textId="77777777" w:rsidR="00912A33" w:rsidRDefault="00912A33">
            <w:pPr>
              <w:spacing w:before="40" w:after="40" w:line="276" w:lineRule="auto"/>
              <w:rPr>
                <w:rFonts w:ascii="Times New Roman" w:hAnsi="Times New Roman" w:cs="Times New Roman"/>
                <w:sz w:val="24"/>
                <w:szCs w:val="24"/>
              </w:rPr>
            </w:pPr>
          </w:p>
        </w:tc>
      </w:tr>
    </w:tbl>
    <w:p w14:paraId="7A668371" w14:textId="77777777" w:rsidR="00912A33" w:rsidRDefault="00912A33">
      <w:pPr>
        <w:spacing w:before="120" w:after="60"/>
        <w:rPr>
          <w:rFonts w:ascii="Times New Roman" w:hAnsi="Times New Roman" w:cs="Times New Roman"/>
          <w:sz w:val="24"/>
          <w:szCs w:val="24"/>
        </w:rPr>
      </w:pPr>
    </w:p>
    <w:p w14:paraId="594637B0" w14:textId="77777777" w:rsidR="00912A33" w:rsidRDefault="00912A33">
      <w:pPr>
        <w:pBdr>
          <w:bottom w:val="single" w:sz="8" w:space="1" w:color="7B1A1A"/>
        </w:pBdr>
        <w:spacing w:before="80" w:after="80"/>
        <w:rPr>
          <w:rFonts w:ascii="Times New Roman" w:hAnsi="Times New Roman" w:cs="Times New Roman"/>
          <w:sz w:val="24"/>
          <w:szCs w:val="24"/>
        </w:rPr>
      </w:pPr>
    </w:p>
    <w:p w14:paraId="35B8FA72" w14:textId="77777777" w:rsidR="00912A33" w:rsidRDefault="00912A33">
      <w:pPr>
        <w:spacing w:before="60" w:after="40"/>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
        <w:gridCol w:w="9160"/>
      </w:tblGrid>
      <w:tr w:rsidR="00912A33" w14:paraId="1074F0A4" w14:textId="77777777">
        <w:tc>
          <w:tcPr>
            <w:tcW w:w="200" w:type="dxa"/>
            <w:tcBorders>
              <w:top w:val="nil"/>
              <w:left w:val="nil"/>
              <w:bottom w:val="nil"/>
              <w:right w:val="nil"/>
            </w:tcBorders>
            <w:shd w:val="clear" w:color="auto" w:fill="7B1A1A"/>
            <w:tcMar>
              <w:top w:w="0" w:type="dxa"/>
              <w:left w:w="0" w:type="dxa"/>
              <w:bottom w:w="0" w:type="dxa"/>
              <w:right w:w="0" w:type="dxa"/>
            </w:tcMar>
          </w:tcPr>
          <w:p w14:paraId="1342EA3A" w14:textId="77777777" w:rsidR="00912A33" w:rsidRDefault="00912A33">
            <w:pPr>
              <w:rPr>
                <w:rFonts w:ascii="Times New Roman" w:hAnsi="Times New Roman" w:cs="Times New Roman"/>
                <w:sz w:val="24"/>
                <w:szCs w:val="24"/>
              </w:rPr>
            </w:pPr>
          </w:p>
        </w:tc>
        <w:tc>
          <w:tcPr>
            <w:tcW w:w="9160" w:type="dxa"/>
            <w:tcBorders>
              <w:top w:val="nil"/>
              <w:left w:val="nil"/>
              <w:bottom w:val="nil"/>
              <w:right w:val="nil"/>
            </w:tcBorders>
            <w:shd w:val="clear" w:color="auto" w:fill="FAF0F0"/>
            <w:tcMar>
              <w:top w:w="140" w:type="dxa"/>
              <w:left w:w="200" w:type="dxa"/>
              <w:bottom w:w="140" w:type="dxa"/>
              <w:right w:w="200" w:type="dxa"/>
            </w:tcMar>
          </w:tcPr>
          <w:p w14:paraId="790F055A" w14:textId="77777777" w:rsidR="00912A33" w:rsidRDefault="00C27D9D">
            <w:pPr>
              <w:spacing w:before="20" w:after="40"/>
              <w:rPr>
                <w:rFonts w:ascii="Times New Roman" w:hAnsi="Times New Roman" w:cs="Times New Roman"/>
                <w:sz w:val="24"/>
                <w:szCs w:val="24"/>
              </w:rPr>
            </w:pPr>
            <w:r>
              <w:rPr>
                <w:rFonts w:ascii="Times New Roman" w:hAnsi="Times New Roman" w:cs="Times New Roman"/>
                <w:b/>
                <w:bCs/>
                <w:caps/>
                <w:color w:val="7B1A1A"/>
                <w:sz w:val="24"/>
                <w:szCs w:val="24"/>
              </w:rPr>
              <w:t>BACKGROUND</w:t>
            </w:r>
          </w:p>
          <w:p w14:paraId="16DF62BD" w14:textId="7E22D507" w:rsidR="00912A33" w:rsidRDefault="00C27D9D">
            <w:pPr>
              <w:spacing w:before="20" w:after="20" w:line="296" w:lineRule="auto"/>
              <w:jc w:val="both"/>
              <w:rPr>
                <w:rFonts w:ascii="Times New Roman" w:hAnsi="Times New Roman" w:cs="Times New Roman"/>
                <w:sz w:val="24"/>
                <w:szCs w:val="24"/>
              </w:rPr>
            </w:pPr>
            <w:r>
              <w:rPr>
                <w:rFonts w:ascii="Times New Roman" w:hAnsi="Times New Roman" w:cs="Times New Roman"/>
                <w:color w:val="1A1A1A"/>
                <w:sz w:val="24"/>
                <w:szCs w:val="24"/>
              </w:rPr>
              <w:t xml:space="preserve">Children with cardiac disease, including congenital and rheumatic heart disease and congestive cardiac failure (CCF), have limited cardiopulmonary reserve and are considered at high risk from respiratory syncytial virus (RSV). New RSV preventives (maternal vaccination and long-acting monoclonal antibodies) are becoming available, but supplies and budgets are limited, so countries need local evidence on which children to prioritise. </w:t>
            </w:r>
            <w:r w:rsidR="00D6087A">
              <w:rPr>
                <w:rFonts w:ascii="Times New Roman" w:hAnsi="Times New Roman" w:cs="Times New Roman"/>
                <w:color w:val="1A1A1A"/>
                <w:sz w:val="24"/>
                <w:szCs w:val="24"/>
              </w:rPr>
              <w:t>Data from Kenya on RSV burden and hospital costs in children with cardiac disease are lacking.</w:t>
            </w:r>
          </w:p>
        </w:tc>
      </w:tr>
    </w:tbl>
    <w:p w14:paraId="4C4E2183" w14:textId="77777777" w:rsidR="00912A33" w:rsidRDefault="00912A33">
      <w:pPr>
        <w:spacing w:before="80" w:after="40"/>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
        <w:gridCol w:w="9160"/>
      </w:tblGrid>
      <w:tr w:rsidR="00912A33" w14:paraId="33A068E2" w14:textId="77777777">
        <w:tc>
          <w:tcPr>
            <w:tcW w:w="200" w:type="dxa"/>
            <w:tcBorders>
              <w:top w:val="nil"/>
              <w:left w:val="nil"/>
              <w:bottom w:val="nil"/>
              <w:right w:val="nil"/>
            </w:tcBorders>
            <w:shd w:val="clear" w:color="auto" w:fill="7B1A1A"/>
            <w:tcMar>
              <w:top w:w="0" w:type="dxa"/>
              <w:left w:w="0" w:type="dxa"/>
              <w:bottom w:w="0" w:type="dxa"/>
              <w:right w:w="0" w:type="dxa"/>
            </w:tcMar>
          </w:tcPr>
          <w:p w14:paraId="69215BB5" w14:textId="77777777" w:rsidR="00912A33" w:rsidRDefault="00912A33">
            <w:pPr>
              <w:rPr>
                <w:rFonts w:ascii="Times New Roman" w:hAnsi="Times New Roman" w:cs="Times New Roman"/>
                <w:sz w:val="24"/>
                <w:szCs w:val="24"/>
              </w:rPr>
            </w:pPr>
          </w:p>
        </w:tc>
        <w:tc>
          <w:tcPr>
            <w:tcW w:w="9160" w:type="dxa"/>
            <w:tcBorders>
              <w:top w:val="nil"/>
              <w:left w:val="nil"/>
              <w:bottom w:val="nil"/>
              <w:right w:val="nil"/>
            </w:tcBorders>
            <w:shd w:val="clear" w:color="auto" w:fill="FAF0F0"/>
            <w:tcMar>
              <w:top w:w="140" w:type="dxa"/>
              <w:left w:w="200" w:type="dxa"/>
              <w:bottom w:w="140" w:type="dxa"/>
              <w:right w:w="200" w:type="dxa"/>
            </w:tcMar>
          </w:tcPr>
          <w:p w14:paraId="3FC82823" w14:textId="77777777" w:rsidR="00912A33" w:rsidRDefault="00C27D9D">
            <w:pPr>
              <w:spacing w:before="20" w:after="40"/>
              <w:rPr>
                <w:rFonts w:ascii="Times New Roman" w:hAnsi="Times New Roman" w:cs="Times New Roman"/>
                <w:sz w:val="24"/>
                <w:szCs w:val="24"/>
              </w:rPr>
            </w:pPr>
            <w:r>
              <w:rPr>
                <w:rFonts w:ascii="Times New Roman" w:hAnsi="Times New Roman" w:cs="Times New Roman"/>
                <w:b/>
                <w:bCs/>
                <w:caps/>
                <w:color w:val="7B1A1A"/>
                <w:sz w:val="24"/>
                <w:szCs w:val="24"/>
              </w:rPr>
              <w:t>OBJECTIVES</w:t>
            </w:r>
          </w:p>
          <w:p w14:paraId="7CB8AA71" w14:textId="77777777" w:rsidR="00912A33" w:rsidRDefault="00C27D9D">
            <w:pPr>
              <w:spacing w:before="20" w:after="20" w:line="296" w:lineRule="auto"/>
              <w:jc w:val="both"/>
              <w:rPr>
                <w:rFonts w:ascii="Times New Roman" w:hAnsi="Times New Roman" w:cs="Times New Roman"/>
                <w:sz w:val="24"/>
                <w:szCs w:val="24"/>
              </w:rPr>
            </w:pPr>
            <w:r>
              <w:rPr>
                <w:rFonts w:ascii="Times New Roman" w:hAnsi="Times New Roman" w:cs="Times New Roman"/>
                <w:b/>
                <w:color w:val="1A1A1A"/>
                <w:sz w:val="24"/>
                <w:szCs w:val="24"/>
              </w:rPr>
              <w:t xml:space="preserve">1. </w:t>
            </w:r>
            <w:r>
              <w:rPr>
                <w:rFonts w:ascii="Times New Roman" w:hAnsi="Times New Roman" w:cs="Times New Roman"/>
                <w:color w:val="1A1A1A"/>
                <w:sz w:val="24"/>
                <w:szCs w:val="24"/>
              </w:rPr>
              <w:t>To determine RSV test positivity among children under five years with cardiac disease, including heart failure, admitted with SARI.</w:t>
            </w:r>
          </w:p>
          <w:p w14:paraId="536FA830" w14:textId="77777777" w:rsidR="00912A33" w:rsidRDefault="00C27D9D">
            <w:pPr>
              <w:spacing w:before="20" w:after="20" w:line="296" w:lineRule="auto"/>
              <w:jc w:val="both"/>
              <w:rPr>
                <w:rFonts w:ascii="Times New Roman" w:hAnsi="Times New Roman" w:cs="Times New Roman"/>
                <w:sz w:val="24"/>
                <w:szCs w:val="24"/>
              </w:rPr>
            </w:pPr>
            <w:r>
              <w:rPr>
                <w:rFonts w:ascii="Times New Roman" w:hAnsi="Times New Roman" w:cs="Times New Roman"/>
                <w:b/>
                <w:color w:val="1A1A1A"/>
                <w:sz w:val="24"/>
                <w:szCs w:val="24"/>
              </w:rPr>
              <w:t xml:space="preserve">2. </w:t>
            </w:r>
            <w:r>
              <w:rPr>
                <w:rFonts w:ascii="Times New Roman" w:hAnsi="Times New Roman" w:cs="Times New Roman"/>
                <w:color w:val="1A1A1A"/>
                <w:sz w:val="24"/>
                <w:szCs w:val="24"/>
              </w:rPr>
              <w:t>To identify the factors associated with a positive RSV test in this group.</w:t>
            </w:r>
          </w:p>
          <w:p w14:paraId="7D940C14" w14:textId="322C87AC" w:rsidR="00912A33" w:rsidRDefault="00C27D9D">
            <w:pPr>
              <w:spacing w:before="20" w:after="20" w:line="296" w:lineRule="auto"/>
              <w:jc w:val="both"/>
              <w:rPr>
                <w:rFonts w:ascii="Times New Roman" w:hAnsi="Times New Roman" w:cs="Times New Roman"/>
                <w:sz w:val="24"/>
                <w:szCs w:val="24"/>
              </w:rPr>
            </w:pPr>
            <w:r>
              <w:rPr>
                <w:rFonts w:ascii="Times New Roman" w:hAnsi="Times New Roman" w:cs="Times New Roman"/>
                <w:b/>
                <w:color w:val="1A1A1A"/>
                <w:sz w:val="24"/>
                <w:szCs w:val="24"/>
              </w:rPr>
              <w:t xml:space="preserve">3. </w:t>
            </w:r>
            <w:r w:rsidR="003D3BE2">
              <w:rPr>
                <w:rFonts w:ascii="Times New Roman" w:hAnsi="Times New Roman" w:cs="Times New Roman"/>
                <w:color w:val="1A1A1A"/>
                <w:sz w:val="24"/>
                <w:szCs w:val="24"/>
              </w:rPr>
              <w:t>To</w:t>
            </w:r>
            <w:r>
              <w:rPr>
                <w:rFonts w:ascii="Times New Roman" w:hAnsi="Times New Roman" w:cs="Times New Roman"/>
                <w:color w:val="1A1A1A"/>
                <w:sz w:val="24"/>
                <w:szCs w:val="24"/>
              </w:rPr>
              <w:t xml:space="preserve"> describe the clinical course and hospital resource use of these admissions by RSV status.</w:t>
            </w:r>
          </w:p>
        </w:tc>
      </w:tr>
    </w:tbl>
    <w:p w14:paraId="2BE46545" w14:textId="77777777" w:rsidR="00912A33" w:rsidRDefault="00912A33">
      <w:pPr>
        <w:spacing w:before="80" w:after="40"/>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
        <w:gridCol w:w="9160"/>
      </w:tblGrid>
      <w:tr w:rsidR="00912A33" w14:paraId="63795E3F" w14:textId="77777777">
        <w:tc>
          <w:tcPr>
            <w:tcW w:w="200" w:type="dxa"/>
            <w:tcBorders>
              <w:top w:val="nil"/>
              <w:left w:val="nil"/>
              <w:bottom w:val="nil"/>
              <w:right w:val="nil"/>
            </w:tcBorders>
            <w:shd w:val="clear" w:color="auto" w:fill="005073"/>
            <w:tcMar>
              <w:top w:w="0" w:type="dxa"/>
              <w:left w:w="0" w:type="dxa"/>
              <w:bottom w:w="0" w:type="dxa"/>
              <w:right w:w="0" w:type="dxa"/>
            </w:tcMar>
          </w:tcPr>
          <w:p w14:paraId="6D69865D" w14:textId="77777777" w:rsidR="00912A33" w:rsidRDefault="00912A33">
            <w:pPr>
              <w:rPr>
                <w:rFonts w:ascii="Times New Roman" w:hAnsi="Times New Roman" w:cs="Times New Roman"/>
                <w:sz w:val="24"/>
                <w:szCs w:val="24"/>
              </w:rPr>
            </w:pPr>
          </w:p>
        </w:tc>
        <w:tc>
          <w:tcPr>
            <w:tcW w:w="9160" w:type="dxa"/>
            <w:tcBorders>
              <w:top w:val="nil"/>
              <w:left w:val="nil"/>
              <w:bottom w:val="nil"/>
              <w:right w:val="nil"/>
            </w:tcBorders>
            <w:shd w:val="clear" w:color="auto" w:fill="E0F0F7"/>
            <w:tcMar>
              <w:top w:w="140" w:type="dxa"/>
              <w:left w:w="200" w:type="dxa"/>
              <w:bottom w:w="140" w:type="dxa"/>
              <w:right w:w="200" w:type="dxa"/>
            </w:tcMar>
          </w:tcPr>
          <w:p w14:paraId="0F67F2AD" w14:textId="77777777" w:rsidR="00912A33" w:rsidRDefault="00C27D9D">
            <w:pPr>
              <w:spacing w:before="20" w:after="40"/>
              <w:rPr>
                <w:rFonts w:ascii="Times New Roman" w:hAnsi="Times New Roman" w:cs="Times New Roman"/>
                <w:sz w:val="24"/>
                <w:szCs w:val="24"/>
              </w:rPr>
            </w:pPr>
            <w:r>
              <w:rPr>
                <w:rFonts w:ascii="Times New Roman" w:hAnsi="Times New Roman" w:cs="Times New Roman"/>
                <w:b/>
                <w:bCs/>
                <w:caps/>
                <w:color w:val="005073"/>
                <w:sz w:val="24"/>
                <w:szCs w:val="24"/>
              </w:rPr>
              <w:t>METHODS</w:t>
            </w:r>
          </w:p>
          <w:p w14:paraId="54885ABF" w14:textId="048B2287" w:rsidR="00912A33" w:rsidRDefault="00C27D9D">
            <w:pPr>
              <w:spacing w:before="20" w:after="20" w:line="296" w:lineRule="auto"/>
              <w:jc w:val="both"/>
              <w:rPr>
                <w:rFonts w:ascii="Times New Roman" w:hAnsi="Times New Roman" w:cs="Times New Roman"/>
                <w:sz w:val="24"/>
                <w:szCs w:val="24"/>
              </w:rPr>
            </w:pPr>
            <w:r>
              <w:rPr>
                <w:rFonts w:ascii="Times New Roman" w:hAnsi="Times New Roman" w:cs="Times New Roman"/>
                <w:b/>
                <w:bCs/>
                <w:color w:val="1A1A1A"/>
                <w:sz w:val="24"/>
                <w:szCs w:val="24"/>
              </w:rPr>
              <w:t xml:space="preserve">Design and setting: </w:t>
            </w:r>
            <w:r>
              <w:rPr>
                <w:rFonts w:ascii="Times New Roman" w:hAnsi="Times New Roman" w:cs="Times New Roman"/>
                <w:bCs/>
                <w:color w:val="1A1A1A"/>
                <w:sz w:val="24"/>
                <w:szCs w:val="24"/>
              </w:rPr>
              <w:t>Secondary analysis of KEMRI/CGHR hospital-based SARI surveillance (January 2024–July 2026) at four sentinel sites: Kenyatta National Hospital, Mombasa, Siaya and Nyeri.</w:t>
            </w:r>
          </w:p>
          <w:p w14:paraId="740DC043" w14:textId="68B85627" w:rsidR="00912A33" w:rsidRDefault="00C27D9D">
            <w:pPr>
              <w:spacing w:before="20" w:after="20" w:line="296" w:lineRule="auto"/>
              <w:jc w:val="both"/>
              <w:rPr>
                <w:rFonts w:ascii="Times New Roman" w:hAnsi="Times New Roman" w:cs="Times New Roman"/>
                <w:sz w:val="24"/>
                <w:szCs w:val="24"/>
              </w:rPr>
            </w:pPr>
            <w:r>
              <w:rPr>
                <w:rFonts w:ascii="Times New Roman" w:hAnsi="Times New Roman" w:cs="Times New Roman"/>
                <w:b/>
                <w:bCs/>
                <w:color w:val="1A1A1A"/>
                <w:sz w:val="24"/>
                <w:szCs w:val="24"/>
              </w:rPr>
              <w:t xml:space="preserve">Population: </w:t>
            </w:r>
            <w:r>
              <w:rPr>
                <w:rFonts w:ascii="Times New Roman" w:hAnsi="Times New Roman" w:cs="Times New Roman"/>
                <w:bCs/>
                <w:color w:val="1A1A1A"/>
                <w:sz w:val="24"/>
                <w:szCs w:val="24"/>
              </w:rPr>
              <w:t>Children aged 0–59 months with cardiac disease — chronic cardiac disease recorded at enrolment or discharge, or a cardiac diagnosis in the clinical notes (congenital, rheumatic, cardiomyopathy or CCF) — admitted under a SARI case definition with an RSV RT-PCR result. Children without cardiac disease were excluded and appear in no analysis.</w:t>
            </w:r>
          </w:p>
          <w:p w14:paraId="4E95AD05" w14:textId="77777777" w:rsidR="00912A33" w:rsidRDefault="00C27D9D">
            <w:pPr>
              <w:spacing w:before="20" w:after="20" w:line="296" w:lineRule="auto"/>
              <w:jc w:val="both"/>
              <w:rPr>
                <w:rFonts w:ascii="Times New Roman" w:hAnsi="Times New Roman" w:cs="Times New Roman"/>
                <w:sz w:val="24"/>
                <w:szCs w:val="24"/>
              </w:rPr>
            </w:pPr>
            <w:r>
              <w:rPr>
                <w:rFonts w:ascii="Times New Roman" w:hAnsi="Times New Roman" w:cs="Times New Roman"/>
                <w:b/>
                <w:bCs/>
                <w:color w:val="1A1A1A"/>
                <w:sz w:val="24"/>
                <w:szCs w:val="24"/>
              </w:rPr>
              <w:t xml:space="preserve">Outcome: </w:t>
            </w:r>
            <w:r>
              <w:rPr>
                <w:rFonts w:ascii="Times New Roman" w:hAnsi="Times New Roman" w:cs="Times New Roman"/>
                <w:bCs/>
                <w:color w:val="1A1A1A"/>
                <w:sz w:val="24"/>
                <w:szCs w:val="24"/>
              </w:rPr>
              <w:t>RSV RT-PCR result (positive vs negative) on a nasopharyngeal/oropharyngeal swab.</w:t>
            </w:r>
          </w:p>
          <w:p w14:paraId="5F1B7B32" w14:textId="77777777" w:rsidR="00912A33" w:rsidRDefault="00C27D9D">
            <w:pPr>
              <w:spacing w:before="20" w:after="20" w:line="296" w:lineRule="auto"/>
              <w:jc w:val="both"/>
              <w:rPr>
                <w:rFonts w:ascii="Times New Roman" w:hAnsi="Times New Roman" w:cs="Times New Roman"/>
                <w:sz w:val="24"/>
                <w:szCs w:val="24"/>
              </w:rPr>
            </w:pPr>
            <w:r>
              <w:rPr>
                <w:rFonts w:ascii="Times New Roman" w:hAnsi="Times New Roman" w:cs="Times New Roman"/>
                <w:b/>
                <w:bCs/>
                <w:color w:val="1A1A1A"/>
                <w:sz w:val="24"/>
                <w:szCs w:val="24"/>
              </w:rPr>
              <w:t xml:space="preserve">Analysis: </w:t>
            </w:r>
            <w:r>
              <w:rPr>
                <w:rFonts w:ascii="Times New Roman" w:hAnsi="Times New Roman" w:cs="Times New Roman"/>
                <w:bCs/>
                <w:color w:val="1A1A1A"/>
                <w:sz w:val="24"/>
                <w:szCs w:val="24"/>
              </w:rPr>
              <w:t>Wilson 95% CIs. Candidate predictors (age group &lt;6, 6–11, 12–23, 24–59 months; sex; sentinel site; heart failure; malnutrition; hospitalisation in the previous 12 months) were screened by likelihood-ratio test; those with p &lt; 0.20, plus age and sex as a priori confounders, entered a binary logistic regression model. Secondary analyses reversed the roles, taking RSV status as the exposure and features of the admission as outcomes, adjusted for age group and sex. All children met the SARI definition and were severely ill by definition, so severity was graded within the group using markers (SpO₂ &lt;90%, ICU/acute care admission, ventilation, death).</w:t>
            </w:r>
          </w:p>
        </w:tc>
      </w:tr>
    </w:tbl>
    <w:p w14:paraId="725A250E" w14:textId="77777777" w:rsidR="00912A33" w:rsidRDefault="00912A33">
      <w:pPr>
        <w:spacing w:before="80" w:after="40"/>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
        <w:gridCol w:w="9160"/>
      </w:tblGrid>
      <w:tr w:rsidR="00912A33" w14:paraId="36D3D850" w14:textId="77777777">
        <w:tc>
          <w:tcPr>
            <w:tcW w:w="200" w:type="dxa"/>
            <w:tcBorders>
              <w:top w:val="nil"/>
              <w:left w:val="nil"/>
              <w:bottom w:val="nil"/>
              <w:right w:val="nil"/>
            </w:tcBorders>
            <w:shd w:val="clear" w:color="auto" w:fill="005073"/>
            <w:tcMar>
              <w:top w:w="0" w:type="dxa"/>
              <w:left w:w="0" w:type="dxa"/>
              <w:bottom w:w="0" w:type="dxa"/>
              <w:right w:w="0" w:type="dxa"/>
            </w:tcMar>
          </w:tcPr>
          <w:p w14:paraId="3C5219F6" w14:textId="77777777" w:rsidR="00912A33" w:rsidRDefault="00912A33">
            <w:pPr>
              <w:rPr>
                <w:rFonts w:ascii="Times New Roman" w:hAnsi="Times New Roman" w:cs="Times New Roman"/>
                <w:sz w:val="24"/>
                <w:szCs w:val="24"/>
              </w:rPr>
            </w:pPr>
          </w:p>
        </w:tc>
        <w:tc>
          <w:tcPr>
            <w:tcW w:w="9160" w:type="dxa"/>
            <w:tcBorders>
              <w:top w:val="nil"/>
              <w:left w:val="nil"/>
              <w:bottom w:val="nil"/>
              <w:right w:val="nil"/>
            </w:tcBorders>
            <w:shd w:val="clear" w:color="auto" w:fill="E0F0F7"/>
            <w:tcMar>
              <w:top w:w="140" w:type="dxa"/>
              <w:left w:w="200" w:type="dxa"/>
              <w:bottom w:w="140" w:type="dxa"/>
              <w:right w:w="200" w:type="dxa"/>
            </w:tcMar>
          </w:tcPr>
          <w:p w14:paraId="34BAC251" w14:textId="77777777" w:rsidR="00912A33" w:rsidRDefault="00C27D9D">
            <w:pPr>
              <w:spacing w:before="20" w:after="40"/>
              <w:rPr>
                <w:rFonts w:ascii="Times New Roman" w:hAnsi="Times New Roman" w:cs="Times New Roman"/>
                <w:sz w:val="24"/>
                <w:szCs w:val="24"/>
              </w:rPr>
            </w:pPr>
            <w:r>
              <w:rPr>
                <w:rFonts w:ascii="Times New Roman" w:hAnsi="Times New Roman" w:cs="Times New Roman"/>
                <w:b/>
                <w:bCs/>
                <w:caps/>
                <w:color w:val="005073"/>
                <w:sz w:val="24"/>
                <w:szCs w:val="24"/>
              </w:rPr>
              <w:t>RESULTS</w:t>
            </w:r>
          </w:p>
          <w:p w14:paraId="7BBD6FFE" w14:textId="12035914" w:rsidR="00912A33" w:rsidRDefault="003D3BE2">
            <w:pPr>
              <w:spacing w:before="20" w:after="20" w:line="296" w:lineRule="auto"/>
              <w:jc w:val="both"/>
              <w:rPr>
                <w:rFonts w:ascii="Times New Roman" w:hAnsi="Times New Roman" w:cs="Times New Roman"/>
                <w:sz w:val="24"/>
                <w:szCs w:val="24"/>
              </w:rPr>
            </w:pPr>
            <w:r>
              <w:rPr>
                <w:rFonts w:ascii="Times New Roman" w:hAnsi="Times New Roman" w:cs="Times New Roman"/>
                <w:bCs/>
                <w:color w:val="1A1A1A"/>
                <w:sz w:val="24"/>
                <w:szCs w:val="24"/>
              </w:rPr>
              <w:t>Of 3,627 RSV-tested patients</w:t>
            </w:r>
            <w:r w:rsidR="00C27D9D">
              <w:rPr>
                <w:rFonts w:ascii="Times New Roman" w:hAnsi="Times New Roman" w:cs="Times New Roman"/>
                <w:bCs/>
                <w:color w:val="1A1A1A"/>
                <w:sz w:val="24"/>
                <w:szCs w:val="24"/>
              </w:rPr>
              <w:t>, 278</w:t>
            </w:r>
            <w:r>
              <w:rPr>
                <w:rFonts w:ascii="Times New Roman" w:hAnsi="Times New Roman" w:cs="Times New Roman"/>
                <w:bCs/>
                <w:color w:val="1A1A1A"/>
                <w:sz w:val="24"/>
                <w:szCs w:val="24"/>
              </w:rPr>
              <w:t xml:space="preserve"> (7.7%) </w:t>
            </w:r>
            <w:r w:rsidR="00C27D9D">
              <w:rPr>
                <w:rFonts w:ascii="Times New Roman" w:hAnsi="Times New Roman" w:cs="Times New Roman"/>
                <w:bCs/>
                <w:color w:val="1A1A1A"/>
                <w:sz w:val="24"/>
                <w:szCs w:val="24"/>
              </w:rPr>
              <w:t>children aged 0–59 months with cardiac disease met all criteria, 18 of them with documented heart failure. Median age was 7 months (IQR 4–12); 149/278 (53.6%) were male; 75/278 (27.0%) had malnutrition.</w:t>
            </w:r>
          </w:p>
          <w:p w14:paraId="2D7E69EC" w14:textId="77777777" w:rsidR="00912A33" w:rsidRDefault="00C27D9D">
            <w:pPr>
              <w:spacing w:before="20" w:after="20" w:line="296" w:lineRule="auto"/>
              <w:jc w:val="both"/>
              <w:rPr>
                <w:rFonts w:ascii="Times New Roman" w:hAnsi="Times New Roman" w:cs="Times New Roman"/>
                <w:sz w:val="24"/>
                <w:szCs w:val="24"/>
              </w:rPr>
            </w:pPr>
            <w:r>
              <w:rPr>
                <w:rFonts w:ascii="Times New Roman" w:hAnsi="Times New Roman" w:cs="Times New Roman"/>
                <w:b/>
                <w:bCs/>
                <w:color w:val="1A1A1A"/>
                <w:sz w:val="24"/>
                <w:szCs w:val="24"/>
              </w:rPr>
              <w:t xml:space="preserve">Primary outcome: </w:t>
            </w:r>
            <w:r>
              <w:rPr>
                <w:rFonts w:ascii="Times New Roman" w:hAnsi="Times New Roman" w:cs="Times New Roman"/>
                <w:bCs/>
                <w:color w:val="1A1A1A"/>
                <w:sz w:val="24"/>
                <w:szCs w:val="24"/>
              </w:rPr>
              <w:t>RSV was detected in 55/278 children (19.8%; 95% CI 15.5–24.9). Positivity was 27/120 (22.5%) at &lt;6 months, 20/91 (22.0%) at 6–11 months, 7/64 (10.9%) at 12–23 months and 1/3 at 24–59 months; 3/18 (16.7%) among children with heart failure.</w:t>
            </w:r>
          </w:p>
          <w:p w14:paraId="65B245F1" w14:textId="77777777" w:rsidR="00912A33" w:rsidRDefault="00C27D9D">
            <w:pPr>
              <w:spacing w:before="20" w:after="20" w:line="296" w:lineRule="auto"/>
              <w:jc w:val="both"/>
              <w:rPr>
                <w:rFonts w:ascii="Times New Roman" w:hAnsi="Times New Roman" w:cs="Times New Roman"/>
                <w:sz w:val="24"/>
                <w:szCs w:val="24"/>
              </w:rPr>
            </w:pPr>
            <w:r>
              <w:rPr>
                <w:rFonts w:ascii="Times New Roman" w:hAnsi="Times New Roman" w:cs="Times New Roman"/>
                <w:b/>
                <w:bCs/>
                <w:color w:val="1A1A1A"/>
                <w:sz w:val="24"/>
                <w:szCs w:val="24"/>
              </w:rPr>
              <w:t xml:space="preserve">Predictors: </w:t>
            </w:r>
            <w:r>
              <w:rPr>
                <w:rFonts w:ascii="Times New Roman" w:hAnsi="Times New Roman" w:cs="Times New Roman"/>
                <w:bCs/>
                <w:color w:val="1A1A1A"/>
                <w:sz w:val="24"/>
                <w:szCs w:val="24"/>
              </w:rPr>
              <w:t xml:space="preserve">Age group met the screening threshold (bivariate p = 0.12) and sex was retained as an a priori confounder; sentinel site (p = 0.92), heart failure (p = 0.67), malnutrition (p = 0.80) and prior hospitalisation (p = 0.78) did not qualify and were not adjusted for. In the </w:t>
            </w:r>
            <w:r>
              <w:rPr>
                <w:rFonts w:ascii="Times New Roman" w:hAnsi="Times New Roman" w:cs="Times New Roman"/>
                <w:bCs/>
                <w:color w:val="1A1A1A"/>
                <w:sz w:val="24"/>
                <w:szCs w:val="24"/>
              </w:rPr>
              <w:lastRenderedPageBreak/>
              <w:t>model, children aged ≥12 months had less than half the odds of a positive test compared with infants &lt;6 months (aOR 0.43; 95% CI 0.18–1.02; p = 0.055); sex was not associated (aOR 1.23; 0.67–2.26).</w:t>
            </w:r>
          </w:p>
          <w:p w14:paraId="03322C22" w14:textId="77777777" w:rsidR="00912A33" w:rsidRDefault="00C27D9D">
            <w:pPr>
              <w:spacing w:before="20" w:after="20" w:line="296" w:lineRule="auto"/>
              <w:jc w:val="both"/>
              <w:rPr>
                <w:rFonts w:ascii="Times New Roman" w:hAnsi="Times New Roman" w:cs="Times New Roman"/>
                <w:sz w:val="24"/>
                <w:szCs w:val="24"/>
              </w:rPr>
            </w:pPr>
            <w:r>
              <w:rPr>
                <w:rFonts w:ascii="Times New Roman" w:hAnsi="Times New Roman" w:cs="Times New Roman"/>
                <w:b/>
                <w:bCs/>
                <w:color w:val="1A1A1A"/>
                <w:sz w:val="24"/>
                <w:szCs w:val="24"/>
              </w:rPr>
              <w:t xml:space="preserve">Secondary outcomes: </w:t>
            </w:r>
            <w:r>
              <w:rPr>
                <w:rFonts w:ascii="Times New Roman" w:hAnsi="Times New Roman" w:cs="Times New Roman"/>
                <w:bCs/>
                <w:color w:val="1A1A1A"/>
                <w:sz w:val="24"/>
                <w:szCs w:val="24"/>
              </w:rPr>
              <w:t>RSV-positive and RSV-negative admissions were clinically alike: ICU/acute care 22/55 vs 86/222, any marker of severe disease 31/55 vs 125/223 (aOR 1.05; 0.57–1.91), in-hospital death 6/55 vs 34/222 (aOR 0.69; 0.27–1.76), median stay 14 vs 15 days (median difference +1 day; −3 to +3). The 55 RSV-positive admissions used 1,201 bed-days; all 278 children used 5,342 bed-days and 40/278 (14.4%) died.</w:t>
            </w:r>
          </w:p>
        </w:tc>
      </w:tr>
    </w:tbl>
    <w:p w14:paraId="781E453C" w14:textId="77777777" w:rsidR="00912A33" w:rsidRDefault="00912A33">
      <w:pPr>
        <w:spacing w:before="80" w:after="40"/>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
        <w:gridCol w:w="9160"/>
      </w:tblGrid>
      <w:tr w:rsidR="00912A33" w14:paraId="4CE0F060" w14:textId="77777777">
        <w:tc>
          <w:tcPr>
            <w:tcW w:w="200" w:type="dxa"/>
            <w:tcBorders>
              <w:top w:val="nil"/>
              <w:left w:val="nil"/>
              <w:bottom w:val="nil"/>
              <w:right w:val="nil"/>
            </w:tcBorders>
            <w:shd w:val="clear" w:color="auto" w:fill="1F3864"/>
            <w:tcMar>
              <w:top w:w="0" w:type="dxa"/>
              <w:left w:w="0" w:type="dxa"/>
              <w:bottom w:w="0" w:type="dxa"/>
              <w:right w:w="0" w:type="dxa"/>
            </w:tcMar>
          </w:tcPr>
          <w:p w14:paraId="326E8F8B" w14:textId="77777777" w:rsidR="00912A33" w:rsidRDefault="00912A33">
            <w:pPr>
              <w:rPr>
                <w:rFonts w:ascii="Times New Roman" w:hAnsi="Times New Roman" w:cs="Times New Roman"/>
                <w:sz w:val="24"/>
                <w:szCs w:val="24"/>
              </w:rPr>
            </w:pPr>
          </w:p>
        </w:tc>
        <w:tc>
          <w:tcPr>
            <w:tcW w:w="9160" w:type="dxa"/>
            <w:tcBorders>
              <w:top w:val="nil"/>
              <w:left w:val="nil"/>
              <w:bottom w:val="nil"/>
              <w:right w:val="nil"/>
            </w:tcBorders>
            <w:shd w:val="clear" w:color="auto" w:fill="EDF2F8"/>
            <w:tcMar>
              <w:top w:w="140" w:type="dxa"/>
              <w:left w:w="200" w:type="dxa"/>
              <w:bottom w:w="140" w:type="dxa"/>
              <w:right w:w="200" w:type="dxa"/>
            </w:tcMar>
          </w:tcPr>
          <w:p w14:paraId="6B23ADA4" w14:textId="77777777" w:rsidR="00912A33" w:rsidRDefault="00C27D9D">
            <w:pPr>
              <w:spacing w:before="20" w:after="40"/>
              <w:rPr>
                <w:rFonts w:ascii="Times New Roman" w:hAnsi="Times New Roman" w:cs="Times New Roman"/>
                <w:b/>
                <w:bCs/>
                <w:caps/>
                <w:color w:val="1F3864"/>
                <w:sz w:val="24"/>
                <w:szCs w:val="24"/>
              </w:rPr>
            </w:pPr>
            <w:r>
              <w:rPr>
                <w:rFonts w:ascii="Times New Roman" w:hAnsi="Times New Roman" w:cs="Times New Roman"/>
                <w:b/>
                <w:bCs/>
                <w:caps/>
                <w:color w:val="1F3864"/>
                <w:sz w:val="24"/>
                <w:szCs w:val="24"/>
              </w:rPr>
              <w:t>CONCLUSION</w:t>
            </w:r>
          </w:p>
          <w:p w14:paraId="3C530D47" w14:textId="77777777" w:rsidR="00912A33" w:rsidRDefault="00C27D9D">
            <w:pPr>
              <w:spacing w:before="20" w:after="20" w:line="296" w:lineRule="auto"/>
              <w:jc w:val="both"/>
              <w:rPr>
                <w:rFonts w:ascii="Times New Roman" w:hAnsi="Times New Roman" w:cs="Times New Roman"/>
                <w:sz w:val="24"/>
                <w:szCs w:val="24"/>
              </w:rPr>
            </w:pPr>
            <w:r>
              <w:rPr>
                <w:rFonts w:ascii="Times New Roman" w:hAnsi="Times New Roman" w:cs="Times New Roman"/>
                <w:color w:val="1A1A1A"/>
                <w:sz w:val="24"/>
                <w:szCs w:val="24"/>
              </w:rPr>
              <w:t>RSV accounted for about one in five SARI admissions among Kenyan children under five with cardiac disease, and the burden was concentrated in infancy: positivity was roughly twice as high in infants under 12 months as in older children. Once admitted, RSV-positive and RSV-negative children had a similar clinical course, so the gains lie in preventing infection rather than in treating it. RSV prevention aimed at young infants — maternal vaccination and long-acting monoclonal antibodies — would reach the ages where these children are most affected, and children with cardiac disease should be named as a priority group. Adding a cardiac-disease field to routine SARI surveillance would allow the impact to be tracked after rollout. Small numbers (55 RSV-positive, 18 with heart failure) limit precision, and readmission after discharge was not captured.</w:t>
            </w:r>
          </w:p>
        </w:tc>
      </w:tr>
    </w:tbl>
    <w:p w14:paraId="41B79E41" w14:textId="77777777" w:rsidR="00912A33" w:rsidRDefault="00912A33">
      <w:pPr>
        <w:rPr>
          <w:rFonts w:ascii="Times New Roman" w:hAnsi="Times New Roman" w:cs="Times New Roman"/>
          <w:sz w:val="24"/>
          <w:szCs w:val="24"/>
        </w:rPr>
      </w:pPr>
    </w:p>
    <w:sectPr w:rsidR="00912A33">
      <w:headerReference w:type="default" r:id="rId6"/>
      <w:footerReference w:type="default" r:id="rId7"/>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00DA38" w14:textId="77777777" w:rsidR="000142F0" w:rsidRDefault="000142F0">
      <w:r>
        <w:separator/>
      </w:r>
    </w:p>
  </w:endnote>
  <w:endnote w:type="continuationSeparator" w:id="0">
    <w:p w14:paraId="68DB475E" w14:textId="77777777" w:rsidR="000142F0" w:rsidRDefault="000142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666E7" w14:textId="187461E4" w:rsidR="00912A33" w:rsidRDefault="00D6087A">
    <w:pPr>
      <w:pBdr>
        <w:top w:val="single" w:sz="6" w:space="1" w:color="7B1A1A"/>
      </w:pBdr>
      <w:spacing w:before="80"/>
    </w:pPr>
    <w:r>
      <w:rPr>
        <w:b/>
        <w:bCs/>
        <w:color w:val="333333"/>
        <w:sz w:val="17"/>
        <w:szCs w:val="17"/>
      </w:rPr>
      <w:t>STEVE CHARO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AADB9F" w14:textId="77777777" w:rsidR="000142F0" w:rsidRDefault="000142F0">
      <w:r>
        <w:separator/>
      </w:r>
    </w:p>
  </w:footnote>
  <w:footnote w:type="continuationSeparator" w:id="0">
    <w:p w14:paraId="4AD707A9" w14:textId="77777777" w:rsidR="000142F0" w:rsidRDefault="000142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3A667" w14:textId="3D414F3B" w:rsidR="00912A33" w:rsidRDefault="00D6087A">
    <w:pPr>
      <w:pBdr>
        <w:bottom w:val="single" w:sz="6" w:space="1" w:color="7B1A1A"/>
      </w:pBdr>
      <w:spacing w:after="80"/>
    </w:pPr>
    <w:r>
      <w:rPr>
        <w:b/>
        <w:bCs/>
        <w:color w:val="333333"/>
        <w:sz w:val="17"/>
        <w:szCs w:val="17"/>
      </w:rPr>
      <w:t>STEVE CHARO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2A33"/>
    <w:rsid w:val="000142F0"/>
    <w:rsid w:val="003D3BE2"/>
    <w:rsid w:val="006F6CAA"/>
    <w:rsid w:val="008F0F58"/>
    <w:rsid w:val="00903F35"/>
    <w:rsid w:val="00912A33"/>
    <w:rsid w:val="00AA485B"/>
    <w:rsid w:val="00C27D9D"/>
    <w:rsid w:val="00D6087A"/>
    <w:rsid w:val="1BFC601F"/>
    <w:rsid w:val="344D487C"/>
    <w:rsid w:val="39223707"/>
    <w:rsid w:val="3DA631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74E94"/>
  <w15:docId w15:val="{E407AD6B-BE0E-4B09-B117-35643603B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footnote text" w:semiHidden="1" w:uiPriority="99" w:unhideWhenUsed="1" w:qFormat="1"/>
    <w:lsdException w:name="caption" w:semiHidden="1" w:unhideWhenUsed="1" w:qFormat="1"/>
    <w:lsdException w:name="footnote reference" w:semiHidden="1" w:uiPriority="99" w:unhideWhenUsed="1" w:qFormat="1"/>
    <w:lsdException w:name="endnote reference" w:semiHidden="1" w:uiPriority="99" w:unhideWhenUsed="1" w:qFormat="1"/>
    <w:lsdException w:name="endnote text" w:semiHidden="1" w:uiPriority="99" w:unhideWhenUsed="1" w:qFormat="1"/>
    <w:lsdException w:name="Title" w:qFormat="1"/>
    <w:lsdException w:name="Default Paragraph Font" w:semiHidden="1" w:qFormat="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2"/>
      <w:szCs w:val="22"/>
    </w:rPr>
  </w:style>
  <w:style w:type="paragraph" w:styleId="Heading1">
    <w:name w:val="heading 1"/>
    <w:next w:val="Normal"/>
    <w:qFormat/>
    <w:pPr>
      <w:outlineLvl w:val="0"/>
    </w:pPr>
    <w:rPr>
      <w:color w:val="2E74B5"/>
      <w:sz w:val="32"/>
      <w:szCs w:val="32"/>
    </w:rPr>
  </w:style>
  <w:style w:type="paragraph" w:styleId="Heading2">
    <w:name w:val="heading 2"/>
    <w:next w:val="Normal"/>
    <w:qFormat/>
    <w:pPr>
      <w:outlineLvl w:val="1"/>
    </w:pPr>
    <w:rPr>
      <w:color w:val="2E74B5"/>
      <w:sz w:val="26"/>
      <w:szCs w:val="26"/>
    </w:rPr>
  </w:style>
  <w:style w:type="paragraph" w:styleId="Heading3">
    <w:name w:val="heading 3"/>
    <w:next w:val="Normal"/>
    <w:qFormat/>
    <w:pPr>
      <w:outlineLvl w:val="2"/>
    </w:pPr>
    <w:rPr>
      <w:color w:val="1F4D78"/>
      <w:sz w:val="24"/>
      <w:szCs w:val="24"/>
    </w:rPr>
  </w:style>
  <w:style w:type="paragraph" w:styleId="Heading4">
    <w:name w:val="heading 4"/>
    <w:next w:val="Normal"/>
    <w:qFormat/>
    <w:pPr>
      <w:outlineLvl w:val="3"/>
    </w:pPr>
    <w:rPr>
      <w:i/>
      <w:iCs/>
      <w:color w:val="2E74B5"/>
      <w:sz w:val="22"/>
      <w:szCs w:val="22"/>
    </w:rPr>
  </w:style>
  <w:style w:type="paragraph" w:styleId="Heading5">
    <w:name w:val="heading 5"/>
    <w:next w:val="Normal"/>
    <w:qFormat/>
    <w:pPr>
      <w:outlineLvl w:val="4"/>
    </w:pPr>
    <w:rPr>
      <w:color w:val="2E74B5"/>
      <w:sz w:val="22"/>
      <w:szCs w:val="22"/>
    </w:rPr>
  </w:style>
  <w:style w:type="paragraph" w:styleId="Heading6">
    <w:name w:val="heading 6"/>
    <w:next w:val="Normal"/>
    <w:qFormat/>
    <w:pPr>
      <w:outlineLvl w:val="5"/>
    </w:pPr>
    <w:rPr>
      <w:color w:val="1F4D78"/>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uiPriority w:val="99"/>
    <w:semiHidden/>
    <w:unhideWhenUsed/>
    <w:qFormat/>
    <w:rPr>
      <w:vertAlign w:val="superscript"/>
    </w:rPr>
  </w:style>
  <w:style w:type="paragraph" w:styleId="EndnoteText">
    <w:name w:val="endnote text"/>
    <w:link w:val="EndnoteTextChar"/>
    <w:uiPriority w:val="99"/>
    <w:semiHidden/>
    <w:unhideWhenUsed/>
    <w:qFormat/>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style>
  <w:style w:type="character" w:styleId="Hyperlink">
    <w:name w:val="Hyperlink"/>
    <w:uiPriority w:val="99"/>
    <w:unhideWhenUsed/>
    <w:qFormat/>
    <w:rPr>
      <w:color w:val="0563C1"/>
      <w:u w:val="single"/>
    </w:rPr>
  </w:style>
  <w:style w:type="paragraph" w:styleId="Title">
    <w:name w:val="Title"/>
    <w:qFormat/>
    <w:rPr>
      <w:sz w:val="56"/>
      <w:szCs w:val="56"/>
    </w:rPr>
  </w:style>
  <w:style w:type="paragraph" w:styleId="ListParagraph">
    <w:name w:val="List Paragraph"/>
    <w:qFormat/>
    <w:rPr>
      <w:sz w:val="22"/>
      <w:szCs w:val="22"/>
    </w:rPr>
  </w:style>
  <w:style w:type="character" w:customStyle="1" w:styleId="FootnoteTextChar">
    <w:name w:val="Footnote Text Char"/>
    <w:link w:val="FootnoteText"/>
    <w:uiPriority w:val="99"/>
    <w:semiHidden/>
    <w:unhideWhenUsed/>
    <w:qFormat/>
    <w:rPr>
      <w:sz w:val="20"/>
      <w:szCs w:val="20"/>
    </w:rPr>
  </w:style>
  <w:style w:type="character" w:customStyle="1" w:styleId="EndnoteTextChar">
    <w:name w:val="Endnote Text Char"/>
    <w:link w:val="EndnoteText"/>
    <w:uiPriority w:val="99"/>
    <w:semiHidden/>
    <w:unhideWhenUsed/>
    <w:qFormat/>
    <w:rPr>
      <w:sz w:val="20"/>
      <w:szCs w:val="20"/>
    </w:rPr>
  </w:style>
  <w:style w:type="paragraph" w:styleId="Header">
    <w:name w:val="header"/>
    <w:basedOn w:val="Normal"/>
    <w:link w:val="HeaderChar"/>
    <w:rsid w:val="00D6087A"/>
    <w:pPr>
      <w:tabs>
        <w:tab w:val="center" w:pos="4680"/>
        <w:tab w:val="right" w:pos="9360"/>
      </w:tabs>
    </w:pPr>
  </w:style>
  <w:style w:type="character" w:customStyle="1" w:styleId="HeaderChar">
    <w:name w:val="Header Char"/>
    <w:basedOn w:val="DefaultParagraphFont"/>
    <w:link w:val="Header"/>
    <w:rsid w:val="00D6087A"/>
    <w:rPr>
      <w:sz w:val="22"/>
      <w:szCs w:val="22"/>
    </w:rPr>
  </w:style>
  <w:style w:type="paragraph" w:styleId="Footer">
    <w:name w:val="footer"/>
    <w:basedOn w:val="Normal"/>
    <w:link w:val="FooterChar"/>
    <w:rsid w:val="00D6087A"/>
    <w:pPr>
      <w:tabs>
        <w:tab w:val="center" w:pos="4680"/>
        <w:tab w:val="right" w:pos="9360"/>
      </w:tabs>
    </w:pPr>
  </w:style>
  <w:style w:type="character" w:customStyle="1" w:styleId="FooterChar">
    <w:name w:val="Footer Char"/>
    <w:basedOn w:val="DefaultParagraphFont"/>
    <w:link w:val="Footer"/>
    <w:rsid w:val="00D6087A"/>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TotalTime>
  <Pages>3</Pages>
  <Words>783</Words>
  <Characters>4464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Orege, Ian</cp:lastModifiedBy>
  <cp:revision>3</cp:revision>
  <dcterms:created xsi:type="dcterms:W3CDTF">2026-09-08T06:37:00Z</dcterms:created>
  <dcterms:modified xsi:type="dcterms:W3CDTF">2026-09-28T06:26:00Z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4449974C788A44B4AB067F2509B7E682_13</vt:lpwstr>
  </property>
</Properties>
</file>