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54.png" ContentType="image/png"/>
  <Override PartName="/word/media/rId58.png" ContentType="image/png"/>
  <Override PartName="/word/media/rId50.png" ContentType="image/png"/>
  <Override PartName="/word/media/rId46.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13,</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
          <w:iCs/>
        </w:rPr>
        <w:t xml:space="preserve">Euphausia</w:t>
      </w:r>
      <w:r>
        <w:rPr>
          <w:i/>
          <w:iCs/>
        </w:rPr>
        <w:t xml:space="preserve"> </w:t>
      </w:r>
      <w:r>
        <w:rPr>
          <w:i/>
          <w:iCs/>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
          <w:iCs/>
        </w:rPr>
        <w:t xml:space="preserve">Pygoscelis</w:t>
      </w:r>
      <w:r>
        <w:rPr>
          <w:i/>
          <w:iCs/>
        </w:rPr>
        <w:t xml:space="preserve"> </w:t>
      </w:r>
      <w:r>
        <w:rPr>
          <w:i/>
          <w:iCs/>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
          <w:iCs/>
        </w:rPr>
        <w:t xml:space="preserve">Lobodon</w:t>
      </w:r>
      <w:r>
        <w:rPr>
          <w:i/>
          <w:iCs/>
        </w:rPr>
        <w:t xml:space="preserve"> </w:t>
      </w:r>
      <w:r>
        <w:rPr>
          <w:i/>
          <w:iCs/>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
          <w:iCs/>
        </w:rPr>
        <w:t xml:space="preserve">Larus</w:t>
      </w:r>
      <w:r>
        <w:rPr>
          <w:i/>
          <w:iCs/>
        </w:rPr>
        <w:t xml:space="preserve"> </w:t>
      </w:r>
      <w:r>
        <w:rPr>
          <w:i/>
          <w:iCs/>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
          <w:iCs/>
        </w:rPr>
        <w:t xml:space="preserve">Sterna</w:t>
      </w:r>
      <w:r>
        <w:rPr>
          <w:i/>
          <w:iCs/>
        </w:rPr>
        <w:t xml:space="preserve"> </w:t>
      </w:r>
      <w:r>
        <w:rPr>
          <w:i/>
          <w:iCs/>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
          <w:iCs/>
        </w:rPr>
        <w:t xml:space="preserve">Fulmarus</w:t>
      </w:r>
      <w:r>
        <w:rPr>
          <w:i/>
          <w:iCs/>
        </w:rPr>
        <w:t xml:space="preserve"> </w:t>
      </w:r>
      <w:r>
        <w:rPr>
          <w:i/>
          <w:iCs/>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
          <w:iCs/>
        </w:rPr>
        <w:t xml:space="preserve">E.</w:t>
      </w:r>
      <w:r>
        <w:rPr>
          <w:i/>
          <w:iCs/>
        </w:rPr>
        <w:t xml:space="preserve"> </w:t>
      </w:r>
      <w:r>
        <w:rPr>
          <w:i/>
          <w:iCs/>
        </w:rPr>
        <w:t xml:space="preserve">superba</w:t>
      </w:r>
      <w:r>
        <w:t xml:space="preserve"> </w:t>
      </w:r>
      <w:r>
        <w:t xml:space="preserve">,</w:t>
      </w:r>
      <w:r>
        <w:t xml:space="preserve"> </w:t>
      </w:r>
      <w:r>
        <w:rPr>
          <w:i/>
          <w:iCs/>
        </w:rPr>
        <w:t xml:space="preserve">E.</w:t>
      </w:r>
      <w:r>
        <w:rPr>
          <w:i/>
          <w:iCs/>
        </w:rPr>
        <w:t xml:space="preserve"> </w:t>
      </w:r>
      <w:r>
        <w:rPr>
          <w:i/>
          <w:iCs/>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
          <w:iCs/>
        </w:rPr>
        <w:t xml:space="preserve">Thysanoessa</w:t>
      </w:r>
      <w:r>
        <w:rPr>
          <w:i/>
          <w:iCs/>
        </w:rPr>
        <w:t xml:space="preserve"> </w:t>
      </w:r>
      <w:r>
        <w:rPr>
          <w:i/>
          <w:iCs/>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
          <w:iCs/>
        </w:rPr>
        <w:t xml:space="preserve">Lobodon carcinophaga</w:t>
      </w:r>
      <w:r>
        <w:t xml:space="preserve">, Adélie penguins</w:t>
      </w:r>
      <w:r>
        <w:t xml:space="preserve"> </w:t>
      </w:r>
      <w:r>
        <w:rPr>
          <w:i/>
          <w:iCs/>
        </w:rPr>
        <w:t xml:space="preserve">Pygoscelis adeliae</w:t>
      </w:r>
      <w:r>
        <w:t xml:space="preserve">, and leopard seals</w:t>
      </w:r>
      <w:r>
        <w:t xml:space="preserve"> </w:t>
      </w:r>
      <w:r>
        <w:rPr>
          <w:i/>
          <w:iCs/>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
          <w:iCs/>
        </w:rPr>
        <w:t xml:space="preserve">Fulmarus glacialoides</w:t>
      </w:r>
      <w:r>
        <w:t xml:space="preserve">, cape petrels</w:t>
      </w:r>
      <w:r>
        <w:t xml:space="preserve"> </w:t>
      </w:r>
      <w:r>
        <w:rPr>
          <w:i/>
          <w:iCs/>
        </w:rPr>
        <w:t xml:space="preserve">Daption capense</w:t>
      </w:r>
      <w:r>
        <w:t xml:space="preserve">, and blue petrels</w:t>
      </w:r>
      <w:r>
        <w:t xml:space="preserve"> </w:t>
      </w:r>
      <w:r>
        <w:rPr>
          <w:i/>
          <w:iCs/>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
          <w:iCs/>
        </w:rPr>
        <w:t xml:space="preserve">Pagodroma nivea</w:t>
      </w:r>
      <w:r>
        <w:t xml:space="preserve"> </w:t>
      </w:r>
      <w:r>
        <w:t xml:space="preserve">and Antarctic petrels</w:t>
      </w:r>
      <w:r>
        <w:t xml:space="preserve"> </w:t>
      </w:r>
      <w:r>
        <w:rPr>
          <w:i/>
          <w:iCs/>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
          <w:iCs/>
        </w:rPr>
        <w:t xml:space="preserve">Thysanoessa macrura</w:t>
      </w:r>
      <w:r>
        <w:t xml:space="preserve">,</w:t>
      </w:r>
      <w:r>
        <w:t xml:space="preserve"> </w:t>
      </w:r>
      <w:r>
        <w:rPr>
          <w:i/>
          <w:iCs/>
        </w:rPr>
        <w:t xml:space="preserve">E. frigida</w:t>
      </w:r>
      <w:r>
        <w:t xml:space="preserve">,</w:t>
      </w:r>
      <w:r>
        <w:t xml:space="preserve"> </w:t>
      </w:r>
      <w:r>
        <w:rPr>
          <w:i/>
          <w:iCs/>
        </w:rPr>
        <w:t xml:space="preserve">E. triacantha</w:t>
      </w:r>
      <w:r>
        <w:t xml:space="preserve">) and amphipods (</w:t>
      </w:r>
      <w:r>
        <w:rPr>
          <w:i/>
          <w:iCs/>
        </w:rPr>
        <w:t xml:space="preserve">Primno</w:t>
      </w:r>
      <w:r>
        <w:t xml:space="preserve">,</w:t>
      </w:r>
      <w:r>
        <w:t xml:space="preserve"> </w:t>
      </w:r>
      <w:r>
        <w:rPr>
          <w:i/>
          <w:iCs/>
        </w:rPr>
        <w:t xml:space="preserve">Themisto</w:t>
      </w:r>
      <w:r>
        <w:t xml:space="preserve">) and occupy the region offshore of the shelf, north and west of the South Shetland Islands. Within the Bransfield Strait, a community dominated by large euphausiids (</w:t>
      </w:r>
      <w:r>
        <w:rPr>
          <w:i/>
          <w:iCs/>
        </w:rPr>
        <w:t xml:space="preserve">E. superba</w:t>
      </w:r>
      <w:r>
        <w:t xml:space="preserve">,</w:t>
      </w:r>
      <w:r>
        <w:t xml:space="preserve"> </w:t>
      </w:r>
      <w:r>
        <w:rPr>
          <w:i/>
          <w:iCs/>
        </w:rPr>
        <w:t xml:space="preserve">E. crystallorophias</w:t>
      </w:r>
      <w:r>
        <w:t xml:space="preserve">) occurs in the western part of the strait, while a highly diverse assemblage including chaetognaths,</w:t>
      </w:r>
      <w:r>
        <w:t xml:space="preserve"> </w:t>
      </w:r>
      <w:r>
        <w:rPr>
          <w:i/>
          <w:iCs/>
        </w:rPr>
        <w:t xml:space="preserve">Calanoides acutus</w:t>
      </w:r>
      <w:r>
        <w:t xml:space="preserve">, and siphonophores occurs in the eastern strait. A fifth macrozooplankton community is ubiquitous within this region and contains pelagic tunicates (</w:t>
      </w:r>
      <w:r>
        <w:rPr>
          <w:i/>
          <w:iCs/>
        </w:rPr>
        <w:t xml:space="preserve">Salpa thompsoni</w:t>
      </w:r>
      <w:r>
        <w:t xml:space="preserve">) and gastropods (</w:t>
      </w:r>
      <w:r>
        <w:rPr>
          <w:i/>
          <w:iCs/>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r>
        <w:t xml:space="preserve">(</w:t>
      </w:r>
      <w:hyperlink w:anchor="fig-overviewmap">
        <w:r>
          <w:rPr>
            <w:rStyle w:val="Hyperlink"/>
          </w:rPr>
          <w:t xml:space="preserve">Figure 1</w:t>
        </w:r>
      </w:hyperlink>
      <w:r>
        <w:t xml:space="preserve">).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 (</w:t>
      </w:r>
      <w:hyperlink w:anchor="tbl-envvar">
        <w:r>
          <w:rPr>
            <w:rStyle w:val="Hyperlink"/>
          </w:rPr>
          <w:t xml:space="preserve">Table 1</w:t>
        </w:r>
      </w:hyperlink>
      <w:r>
        <w:t xml:space="preserve">). We used Niskin sampling bottles to collect water samples for measuring chlorophyll</w:t>
      </w:r>
      <w:r>
        <w:t xml:space="preserve"> </w:t>
      </w:r>
      <w:r>
        <w:rPr>
          <w:i/>
          <w:iCs/>
        </w:rPr>
        <w:t xml:space="preserve">a</w:t>
      </w:r>
      <w:r>
        <w:t xml:space="preserve"> </w:t>
      </w:r>
      <w:r>
        <w:t xml:space="preserve">(chl</w:t>
      </w:r>
      <w:r>
        <w:t xml:space="preserve"> </w:t>
      </w:r>
      <w:r>
        <w:rPr>
          <w:i/>
          <w:iCs/>
        </w:rPr>
        <w:t xml:space="preserve">a</w:t>
      </w:r>
      <w:r>
        <w:t xml:space="preserve">) and phaeopigment concentrations (</w:t>
      </w:r>
      <w:hyperlink w:anchor="tbl-envvar">
        <w:r>
          <w:rPr>
            <w:rStyle w:val="Hyperlink"/>
          </w:rPr>
          <w:t xml:space="preserve">Table 1</w:t>
        </w:r>
      </w:hyperlink>
      <w:r>
        <w:t xml:space="preserve">).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
          <w:iCs/>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
          <w:iCs/>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
          <w:iCs/>
        </w:rPr>
        <w:t xml:space="preserve">k</w:t>
      </w:r>
      <w:r>
        <w:t xml:space="preserve"> </w:t>
      </w:r>
      <w:r>
        <w:t xml:space="preserve">to their expected values under a null reference distribution. The gap statistic,</w:t>
      </w:r>
      <w:r>
        <w:t xml:space="preserve"> </w:t>
      </w:r>
      <w:r>
        <w:rPr>
          <w:i/>
          <w:iCs/>
        </w:rPr>
        <w:t xml:space="preserve">f</w:t>
      </w:r>
      <w:r>
        <w:t xml:space="preserve">, usually increases with</w:t>
      </w:r>
      <w:r>
        <w:t xml:space="preserve"> </w:t>
      </w:r>
      <w:r>
        <w:rPr>
          <w:i/>
          <w:iCs/>
        </w:rPr>
        <w:t xml:space="preserve">k</w:t>
      </w:r>
      <w:r>
        <w:t xml:space="preserve">, but exhibits a shoulder at the optimal number of clusters. A recommended heuristic for finding the shoulder is selecting the smallest</w:t>
      </w:r>
      <w:r>
        <w:t xml:space="preserve"> </w:t>
      </w:r>
      <w:r>
        <w:rPr>
          <w:i/>
          <w:iCs/>
        </w:rPr>
        <w:t xml:space="preserve">k</w:t>
      </w:r>
      <w:r>
        <w:t xml:space="preserve"> </w:t>
      </w:r>
      <w:r>
        <w:t xml:space="preserve">such that the gap statistic for</w:t>
      </w:r>
      <w:r>
        <w:t xml:space="preserve"> </w:t>
      </w:r>
      <w:r>
        <w:rPr>
          <w:i/>
          <w:iCs/>
        </w:rPr>
        <w:t xml:space="preserve">k</w:t>
      </w:r>
      <w:r>
        <w:t xml:space="preserve">,</w:t>
      </w:r>
      <w:r>
        <w:t xml:space="preserve"> </w:t>
      </w:r>
      <w:r>
        <w:rPr>
          <w:i/>
          <w:iCs/>
        </w:rPr>
        <w:t xml:space="preserve">f</w:t>
      </w:r>
      <w:r>
        <w:t xml:space="preserve">(</w:t>
      </w:r>
      <w:r>
        <w:rPr>
          <w:i/>
          <w:iCs/>
        </w:rPr>
        <w:t xml:space="preserve">k</w:t>
      </w:r>
      <w:r>
        <w:t xml:space="preserve">), is greater than the gap statistic for</w:t>
      </w:r>
      <w:r>
        <w:t xml:space="preserve"> </w:t>
      </w:r>
      <w:r>
        <w:rPr>
          <w:i/>
          <w:iCs/>
        </w:rPr>
        <w:t xml:space="preserve">k + 1</w:t>
      </w:r>
      <w:r>
        <w:t xml:space="preserve"> </w:t>
      </w:r>
      <w:r>
        <w:t xml:space="preserve">less the standard error,</w:t>
      </w:r>
      <w:r>
        <w:t xml:space="preserve"> </w:t>
      </w:r>
      <w:r>
        <w:rPr>
          <w:i/>
          <w:iCs/>
        </w:rPr>
        <w:t xml:space="preserve">s</w:t>
      </w:r>
      <w:r>
        <w:t xml:space="preserve"> </w:t>
      </w:r>
      <w:r>
        <w:t xml:space="preserve">(</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
          <w:iCs/>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
          <w:iCs/>
        </w:rPr>
        <w:t xml:space="preserve">i</w:t>
      </w:r>
      <w:r>
        <w:t xml:space="preserve"> </w:t>
      </w:r>
      <w:r>
        <w:t xml:space="preserve">in cluster</w:t>
      </w:r>
      <w:r>
        <w:t xml:space="preserve"> </w:t>
      </w:r>
      <w:r>
        <w:rPr>
          <w:i/>
          <w:iCs/>
        </w:rPr>
        <w:t xml:space="preserve">c</w:t>
      </w:r>
      <w:r>
        <w:t xml:space="preserve">,</w:t>
      </w:r>
      <w:r>
        <w:t xml:space="preserve"> </w:t>
      </w:r>
      <w:r>
        <w:rPr>
          <w:i/>
          <w:iCs/>
        </w:rPr>
        <w:t xml:space="preserve">d</w:t>
      </w:r>
      <w:r>
        <w:rPr>
          <w:i/>
          <w:iCs/>
          <w:vertAlign w:val="subscript"/>
        </w:rPr>
        <w:t xml:space="preserve">ic</w:t>
      </w:r>
      <w:r>
        <w:t xml:space="preserve">, is the product of relative frequency,</w:t>
      </w:r>
      <w:r>
        <w:t xml:space="preserve"> </w:t>
      </w:r>
      <w:r>
        <w:rPr>
          <w:i/>
          <w:iCs/>
        </w:rPr>
        <w:t xml:space="preserve">f</w:t>
      </w:r>
      <w:r>
        <w:rPr>
          <w:i/>
          <w:iCs/>
          <w:vertAlign w:val="subscript"/>
        </w:rPr>
        <w:t xml:space="preserve">ic</w:t>
      </w:r>
      <w:r>
        <w:t xml:space="preserve">, and relative abundance,</w:t>
      </w:r>
      <w:r>
        <w:t xml:space="preserve"> </w:t>
      </w:r>
      <w:r>
        <w:rPr>
          <w:i/>
          <w:iCs/>
        </w:rPr>
        <w:t xml:space="preserve">a</w:t>
      </w:r>
      <w:r>
        <w:rPr>
          <w:i/>
          <w:iCs/>
          <w:vertAlign w:val="subscript"/>
        </w:rPr>
        <w:t xml:space="preserve">ic</w:t>
      </w:r>
      <w:r>
        <w:t xml:space="preserve">, where</w:t>
      </w:r>
      <w:r>
        <w:t xml:space="preserve"> </w:t>
      </w:r>
      <w:r>
        <w:rPr>
          <w:i/>
          <w:iCs/>
        </w:rPr>
        <w:t xml:space="preserve">f</w:t>
      </w:r>
      <w:r>
        <w:rPr>
          <w:i/>
          <w:iCs/>
          <w:vertAlign w:val="subscript"/>
        </w:rPr>
        <w:t xml:space="preserve">ic</w:t>
      </w:r>
      <w:r>
        <w:t xml:space="preserve"> </w:t>
      </w:r>
      <w:r>
        <w:t xml:space="preserve">is the fraction of sites in</w:t>
      </w:r>
      <w:r>
        <w:t xml:space="preserve"> </w:t>
      </w:r>
      <w:r>
        <w:rPr>
          <w:i/>
          <w:iCs/>
        </w:rPr>
        <w:t xml:space="preserve">c</w:t>
      </w:r>
      <w:r>
        <w:t xml:space="preserve"> </w:t>
      </w:r>
      <w:r>
        <w:t xml:space="preserve">where</w:t>
      </w:r>
      <w:r>
        <w:t xml:space="preserve"> </w:t>
      </w:r>
      <w:r>
        <w:rPr>
          <w:i/>
          <w:iCs/>
        </w:rPr>
        <w:t xml:space="preserve">i</w:t>
      </w:r>
      <w:r>
        <w:t xml:space="preserve"> </w:t>
      </w:r>
      <w:r>
        <w:t xml:space="preserve">was present and</w:t>
      </w:r>
      <w:r>
        <w:t xml:space="preserve"> </w:t>
      </w:r>
      <w:r>
        <w:rPr>
          <w:i/>
          <w:iCs/>
        </w:rPr>
        <w:t xml:space="preserve">a</w:t>
      </w:r>
      <w:r>
        <w:rPr>
          <w:i/>
          <w:iCs/>
          <w:vertAlign w:val="subscript"/>
        </w:rPr>
        <w:t xml:space="preserve">ic</w:t>
      </w:r>
      <w:r>
        <w:t xml:space="preserve"> </w:t>
      </w:r>
      <w:r>
        <w:t xml:space="preserve">is the ratio of per-site abundance of</w:t>
      </w:r>
      <w:r>
        <w:t xml:space="preserve"> </w:t>
      </w:r>
      <w:r>
        <w:rPr>
          <w:i/>
          <w:iCs/>
        </w:rPr>
        <w:t xml:space="preserve">i</w:t>
      </w:r>
      <w:r>
        <w:t xml:space="preserve"> </w:t>
      </w:r>
      <w:r>
        <w:t xml:space="preserve">in</w:t>
      </w:r>
      <w:r>
        <w:t xml:space="preserve"> </w:t>
      </w:r>
      <w:r>
        <w:rPr>
          <w:i/>
          <w:iCs/>
        </w:rPr>
        <w:t xml:space="preserve">c</w:t>
      </w:r>
      <w:r>
        <w:t xml:space="preserve"> </w:t>
      </w:r>
      <w:r>
        <w:t xml:space="preserve">to the overall per-site abundance of</w:t>
      </w:r>
      <w:r>
        <w:t xml:space="preserve"> </w:t>
      </w:r>
      <w:r>
        <w:rPr>
          <w:i/>
          <w:iCs/>
        </w:rPr>
        <w:t xml:space="preserve">i</w:t>
      </w:r>
      <w:r>
        <w:t xml:space="preserve">.</w:t>
      </w:r>
      <w:r>
        <w:t xml:space="preserve"> </w:t>
      </w:r>
      <w:r>
        <w:rPr>
          <w:i/>
          <w:iCs/>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 (</w:t>
      </w:r>
      <w:hyperlink w:anchor="tbl-envvar">
        <w:r>
          <w:rPr>
            <w:rStyle w:val="Hyperlink"/>
          </w:rPr>
          <w:t xml:space="preserve">Table 1</w:t>
        </w:r>
      </w:hyperlink>
      <w:r>
        <w:t xml:space="preserve">).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w:t>
      </w:r>
      <w:hyperlink w:anchor="tbl-predators">
        <w:r>
          <w:rPr>
            <w:rStyle w:val="Hyperlink"/>
          </w:rPr>
          <w:t xml:space="preserve">Table 2</w:t>
        </w:r>
      </w:hyperlink>
      <w:r>
        <w:t xml:space="preserve">). The most abundant species were snow petrels, Adélie penguins, and Antarctic fur seals. The most widespread species observed were snow petrels, Antarctic petrels, and southern giant petrels. The 6 most abundant species (total individuals observed in</w:t>
      </w:r>
      <w:r>
        <w:t xml:space="preserve"> </w:t>
      </w:r>
      <w:hyperlink w:anchor="tbl-predators">
        <w:r>
          <w:rPr>
            <w:rStyle w:val="Hyperlink"/>
          </w:rPr>
          <w:t xml:space="preserve">Table 2</w:t>
        </w:r>
      </w:hyperlink>
      <w:r>
        <w:t xml:space="preserve">) averaged across years were widely distributed across the study region, although densities varied by species (</w:t>
      </w:r>
      <w:hyperlink w:anchor="fig-top6map">
        <w:r>
          <w:rPr>
            <w:rStyle w:val="Hyperlink"/>
          </w:rPr>
          <w:t xml:space="preserve">Figure 2</w:t>
        </w:r>
      </w:hyperlink>
      <w:r>
        <w:t xml:space="preserve">).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w:t>
      </w:r>
      <w:hyperlink w:anchor="supptbl-effortice">
        <w:r>
          <w:rPr>
            <w:rStyle w:val="Hyperlink"/>
          </w:rPr>
          <w:t xml:space="preserve">Table S1</w:t>
        </w:r>
      </w:hyperlink>
      <w:r>
        <w:t xml:space="preserve">).</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w:t>
      </w:r>
      <w:hyperlink w:anchor="supptbl-effortice">
        <w:r>
          <w:rPr>
            <w:rStyle w:val="Hyperlink"/>
          </w:rPr>
          <w:t xml:space="preserve">Table S1</w:t>
        </w:r>
      </w:hyperlink>
      <w:r>
        <w:t xml:space="preserve">). Ice coverage was relatively consistent within ice types across years. Overall, sites categorized as open water had ice coverage of 6.4 ± 1.6%; thin ice and first-year ice sites had coverage of 55.6 ± 3.2 and 57.0 ± 3.2% (mean ± SE) (</w:t>
      </w:r>
      <w:hyperlink w:anchor="supptbl-effortice">
        <w:r>
          <w:rPr>
            <w:rStyle w:val="Hyperlink"/>
          </w:rPr>
          <w:t xml:space="preserve">Table S1</w:t>
        </w:r>
      </w:hyperlink>
      <w:r>
        <w:t xml:space="preserve">).</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w:t>
      </w:r>
      <w:hyperlink w:anchor="tbl-indicators">
        <w:r>
          <w:rPr>
            <w:rStyle w:val="Hyperlink"/>
          </w:rPr>
          <w:t xml:space="preserve">Table 3</w:t>
        </w:r>
      </w:hyperlink>
      <w:r>
        <w:t xml:space="preserve">) and relationships to sea-ice coverage (</w:t>
      </w:r>
      <w:hyperlink w:anchor="fig-seaice">
        <w:r>
          <w:rPr>
            <w:rStyle w:val="Hyperlink"/>
          </w:rPr>
          <w:t xml:space="preserve">Figure 3</w:t>
        </w:r>
      </w:hyperlink>
      <w:r>
        <w:t xml:space="preserve">).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w:t>
      </w:r>
      <w:hyperlink w:anchor="supptbl-densfreq">
        <w:r>
          <w:rPr>
            <w:rStyle w:val="Hyperlink"/>
          </w:rPr>
          <w:t xml:space="preserve">Table S2</w:t>
        </w:r>
      </w:hyperlink>
      <w:r>
        <w:t xml:space="preserve">).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w:t>
      </w:r>
      <w:hyperlink w:anchor="tbl-commfreq">
        <w:r>
          <w:rPr>
            <w:rStyle w:val="Hyperlink"/>
          </w:rPr>
          <w:t xml:space="preserve">Table 4</w:t>
        </w:r>
      </w:hyperlink>
      <w:r>
        <w:t xml:space="preserve">), with variability between years related to the spatial distribution of sea ice (</w:t>
      </w:r>
      <w:hyperlink w:anchor="fig-predclustannual">
        <w:r>
          <w:rPr>
            <w:rStyle w:val="Hyperlink"/>
          </w:rPr>
          <w:t xml:space="preserve">Figure 4</w:t>
        </w:r>
      </w:hyperlink>
      <w:r>
        <w:t xml:space="preserve">). Geographically, in general, the open water community occupied the northern offshore regions and the gap between Elephant Island and the rest of the Shetland Islands (</w:t>
      </w:r>
      <w:hyperlink w:anchor="fig-predclustkde">
        <w:r>
          <w:rPr>
            <w:rStyle w:val="Hyperlink"/>
          </w:rPr>
          <w:t xml:space="preserve">Figure 5</w:t>
        </w:r>
      </w:hyperlink>
      <w:r>
        <w:t xml:space="preserve">).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w:t>
      </w:r>
      <w:r>
        <w:t xml:space="preserve"> </w:t>
      </w:r>
      <w:hyperlink w:anchor="tbl-indicators">
        <w:r>
          <w:rPr>
            <w:rStyle w:val="Hyperlink"/>
          </w:rPr>
          <w:t xml:space="preserve">Table 3</w:t>
        </w:r>
      </w:hyperlink>
      <w:r>
        <w:t xml:space="preserve">;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 (</w:t>
      </w:r>
      <w:hyperlink w:anchor="fig-nmds">
        <w:r>
          <w:rPr>
            <w:rStyle w:val="Hyperlink"/>
          </w:rPr>
          <w:t xml:space="preserve">Figure 6</w:t>
        </w:r>
      </w:hyperlink>
      <w:r>
        <w:t xml:space="preserve">). The marginal ice and open water clusters were well separated by NMDS axis 2.</w:t>
      </w:r>
    </w:p>
    <w:p>
      <w:pPr>
        <w:pStyle w:val="BodyText"/>
      </w:pPr>
      <w:r>
        <w:t xml:space="preserve">The predator clusters differed in temperature, salinity, and chl</w:t>
      </w:r>
      <w:r>
        <w:t xml:space="preserve"> </w:t>
      </w:r>
      <w:r>
        <w:rPr>
          <w:i/>
          <w:iCs/>
        </w:rPr>
        <w:t xml:space="preserve">a</w:t>
      </w:r>
      <w:r>
        <w:t xml:space="preserve">, but not by mixed layer depth or phaeopigment (</w:t>
      </w:r>
      <w:hyperlink w:anchor="tbl-clustenv">
        <w:r>
          <w:rPr>
            <w:rStyle w:val="Hyperlink"/>
          </w:rPr>
          <w:t xml:space="preserve">Table 5</w:t>
        </w:r>
      </w:hyperlink>
      <w:r>
        <w:t xml:space="preserve">). Relative to the open water community, the pack ice community was associated with colder, more saline water with lower chl</w:t>
      </w:r>
      <w:r>
        <w:t xml:space="preserve"> </w:t>
      </w:r>
      <w:r>
        <w:rPr>
          <w:i/>
          <w:iCs/>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
          <w:iCs/>
          <w:vertAlign w:val="superscript"/>
        </w:rPr>
        <w:t xml:space="preserve">2</w:t>
      </w:r>
      <w:r>
        <w:t xml:space="preserve"> </w:t>
      </w:r>
      <w:r>
        <w:t xml:space="preserve">test, p &lt; 0.001). Five pairwise associations of predators with prey were significant after applying Bonferroni correction (</w:t>
      </w:r>
      <w:hyperlink w:anchor="tbl-predprey">
        <w:r>
          <w:rPr>
            <w:rStyle w:val="Hyperlink"/>
          </w:rPr>
          <w:t xml:space="preserve">Table 6</w:t>
        </w:r>
      </w:hyperlink>
      <w:r>
        <w:t xml:space="preserve">). The pack ice community was positively associated with macrozooplankton community 3a (an extremely diverse assemblage associated with cold, high-salinity water) and negatively associated with cluster 2b (</w:t>
      </w:r>
      <w:r>
        <w:rPr>
          <w:i/>
          <w:iCs/>
        </w:rPr>
        <w:t xml:space="preserve">Thysanoessa macrura</w:t>
      </w:r>
      <w:r>
        <w:t xml:space="preserve">). The marginal ice community was positively associated with macrozooplankton community 3b (large krill, including</w:t>
      </w:r>
      <w:r>
        <w:t xml:space="preserve"> </w:t>
      </w:r>
      <w:r>
        <w:rPr>
          <w:i/>
          <w:iCs/>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
          <w:iCs/>
        </w:rPr>
        <w:t xml:space="preserve">Salpa</w:t>
      </w:r>
      <w:r>
        <w:t xml:space="preserve"> </w:t>
      </w:r>
      <w:r>
        <w:t xml:space="preserve">and</w:t>
      </w:r>
      <w:r>
        <w:t xml:space="preserve"> </w:t>
      </w:r>
      <w:r>
        <w:rPr>
          <w:i/>
          <w:iCs/>
        </w:rPr>
        <w:t xml:space="preserve">Clione</w:t>
      </w:r>
      <w:r>
        <w:t xml:space="preserve">) was not significantly associated with any predator cluster. Macrozooplankton cluster 2a (indicated by important prey species such as</w:t>
      </w:r>
      <w:r>
        <w:t xml:space="preserve"> </w:t>
      </w:r>
      <w:r>
        <w:rPr>
          <w:i/>
          <w:iCs/>
        </w:rPr>
        <w:t xml:space="preserve">E. frigida</w:t>
      </w:r>
      <w:r>
        <w:t xml:space="preserve">,</w:t>
      </w:r>
      <w:r>
        <w:t xml:space="preserve"> </w:t>
      </w:r>
      <w:r>
        <w:rPr>
          <w:i/>
          <w:iCs/>
        </w:rPr>
        <w:t xml:space="preserve">E. triacantha</w:t>
      </w:r>
      <w:r>
        <w:t xml:space="preserve">, myctophid larvae, and</w:t>
      </w:r>
      <w:r>
        <w:t xml:space="preserve"> </w:t>
      </w:r>
      <w:r>
        <w:rPr>
          <w:i/>
          <w:iCs/>
        </w:rPr>
        <w:t xml:space="preserve">Themisto gaudichaudii</w:t>
      </w:r>
      <w:r>
        <w:t xml:space="preserve">) was also not significantly associated with any predator cluster, although it was associated most often with the open water predator cluster (</w:t>
      </w:r>
      <w:hyperlink w:anchor="tbl-predprey">
        <w:r>
          <w:rPr>
            <w:rStyle w:val="Hyperlink"/>
          </w:rPr>
          <w:t xml:space="preserve">Table 6</w:t>
        </w:r>
      </w:hyperlink>
      <w:r>
        <w:t xml:space="preserve">).</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w:t>
      </w:r>
      <w:hyperlink w:anchor="tbl-predators">
        <w:r>
          <w:rPr>
            <w:rStyle w:val="Hyperlink"/>
          </w:rPr>
          <w:t xml:space="preserve">Table 2</w:t>
        </w:r>
      </w:hyperlink>
      <w:r>
        <w:t xml:space="preserve">)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
          <w:iCs/>
        </w:rPr>
        <w:t xml:space="preserve">Electrona antarctica</w:t>
      </w:r>
      <w:r>
        <w:t xml:space="preserve"> </w:t>
      </w:r>
      <w:r>
        <w:t xml:space="preserve">(</w:t>
      </w:r>
      <w:hyperlink w:anchor="tbl-predators">
        <w:r>
          <w:rPr>
            <w:rStyle w:val="Hyperlink"/>
          </w:rPr>
          <w:t xml:space="preserve">Table 2</w:t>
        </w:r>
      </w:hyperlink>
      <w:r>
        <w:t xml:space="preserve">)</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
          <w:iCs/>
        </w:rPr>
        <w:t xml:space="preserve">Euphausia superba</w:t>
      </w:r>
      <w:r>
        <w:t xml:space="preserve">/</w:t>
      </w:r>
      <w:r>
        <w:rPr>
          <w:i/>
          <w:iCs/>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
          <w:iCs/>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
          <w:iCs/>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w:t>
      </w:r>
      <w:r>
        <w:t xml:space="preserve"> </w:t>
      </w:r>
      <w:hyperlink w:anchor="fig-predclustkde">
        <w:r>
          <w:rPr>
            <w:rStyle w:val="Hyperlink"/>
          </w:rPr>
          <w:t xml:space="preserve">Figure 5</w:t>
        </w:r>
      </w:hyperlink>
      <w:r>
        <w:t xml:space="preserve">)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 (</w:t>
      </w:r>
      <w:hyperlink w:anchor="fig-top6map">
        <w:r>
          <w:rPr>
            <w:rStyle w:val="Hyperlink"/>
          </w:rPr>
          <w:t xml:space="preserve">Figure 2</w:t>
        </w:r>
      </w:hyperlink>
      <w:r>
        <w:t xml:space="preserve">, </w:t>
      </w:r>
      <w:hyperlink w:anchor="fig-predclustannual">
        <w:r>
          <w:rPr>
            <w:rStyle w:val="Hyperlink"/>
          </w:rPr>
          <w:t xml:space="preserve">Figure 4</w:t>
        </w:r>
      </w:hyperlink>
      <w:r>
        <w:t xml:space="preserve">),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w:t>
      </w:r>
      <w:hyperlink w:anchor="tbl-commfreq">
        <w:r>
          <w:rPr>
            <w:rStyle w:val="Hyperlink"/>
          </w:rPr>
          <w:t xml:space="preserve">Table 4</w:t>
        </w:r>
      </w:hyperlink>
      <w:r>
        <w:t xml:space="preserve">, </w:t>
      </w:r>
      <w:hyperlink w:anchor="tbl-clustenv">
        <w:r>
          <w:rPr>
            <w:rStyle w:val="Hyperlink"/>
          </w:rPr>
          <w:t xml:space="preserve">Table 5</w:t>
        </w:r>
      </w:hyperlink>
      <w:r>
        <w:t xml:space="preserve">, </w:t>
      </w:r>
      <w:hyperlink w:anchor="tbl-predprey">
        <w:r>
          <w:rPr>
            <w:rStyle w:val="Hyperlink"/>
          </w:rPr>
          <w:t xml:space="preserve">Table 6</w:t>
        </w:r>
      </w:hyperlink>
      <w:r>
        <w:t xml:space="preserve">)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34" w:name="acknowledgements"/>
    <w:p>
      <w:pPr>
        <w:pStyle w:val="Heading1"/>
      </w:pPr>
      <w:r>
        <w:t xml:space="preserve">Acknowledgements</w:t>
      </w:r>
    </w:p>
    <w:p>
      <w:pPr>
        <w:pStyle w:val="FirstParagraph"/>
      </w:pPr>
      <w:r>
        <w:t xml:space="preserve">We are grateful for the diligent work by the field personnel who made these surveys possible, including the captains, crew, and support personnel of the RVIB</w:t>
      </w:r>
      <w:r>
        <w:t xml:space="preserve"> </w:t>
      </w:r>
      <w:r>
        <w:t xml:space="preserve">‘</w:t>
      </w:r>
      <w:r>
        <w:t xml:space="preserve">Nathaniel B. Palmer</w:t>
      </w:r>
      <w:r>
        <w:t xml:space="preserve">’</w:t>
      </w:r>
      <w:r>
        <w:t xml:space="preserve">. The surveys were conducted by a partnership of NOAA Fisheries Antarctic Ecosystem Research Division and the NSF US Antarctic Program (NSF Office of Polar Programs project 2011285). We thank Dr. Jack Conroy for his contributions and feedback on matters related to zooplankton communities. J.A.S. thanks M. P. Force and A. Borker for their dedicated support during the visual surveys</w:t>
      </w:r>
    </w:p>
    <w:p>
      <w:r>
        <w:br w:type="page"/>
      </w:r>
    </w:p>
    <w:bookmarkEnd w:id="34"/>
    <w:bookmarkStart w:id="41"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35" w:name="tbl-envvar"/>
          <w:p>
            <w:pPr>
              <w:jc w:val="center"/>
            </w:pPr>
            <w:pPr>
              <w:jc w:val="start"/>
              <w:spacing w:before="200"/>
              <w:pStyle w:val="ImageCaption"/>
            </w:pPr>
            <w:r>
              <w:t xml:space="preserve">Table 1: Environmental variables collected during survey. Hydrographic variables (upper mixed layer [UML] depth, temperature, salinity, chlorophyll a [chl a], and phaeopigment) were collected at sampling stations. Ice variables (type and coverage) were collected along transects and associated with the nearest station. Macrozooplankton communities were classified based on net tows collected at the sampling stations (see</w:t>
            </w:r>
            <w:r>
              <w:t xml:space="preserve"> </w:t>
            </w:r>
            <w:r>
              <w:t xml:space="preserve">Dietrich et al. (2021)</w:t>
            </w:r>
            <w:r>
              <w:t xml:space="preserve">).</w:t>
            </w:r>
          </w:p>
          <w:tbl>
            <w:tblPr>
              <w:tblStyle w:val="Table"/>
              <w:tblW w:type="pct" w:w="5000"/>
              <w:tblLayout w:type="fixed"/>
              <w:tblLook w:firstRow="1" w:lastRow="0" w:firstColumn="0" w:lastColumn="0" w:noHBand="0" w:noVBand="0" w:val="0020"/>
            </w:tblPr>
            <w:tblGrid>
              <w:gridCol w:w="1584"/>
              <w:gridCol w:w="4752"/>
              <w:gridCol w:w="1584"/>
            </w:tblGrid>
            <w:tr>
              <w:trPr>
                <w:tblHeader w:val="on"/>
              </w:trPr>
              <w:tc>
                <w:tcPr/>
                <w:p>
                  <w:pPr>
                    <w:pStyle w:val="Compact"/>
                    <w:jc w:val="left"/>
                    <w:jc w:val="center"/>
                  </w:pPr>
                  <w:r>
                    <w:t xml:space="preserve">Variable</w:t>
                  </w:r>
                </w:p>
              </w:tc>
              <w:tc>
                <w:tcPr/>
                <w:p>
                  <w:pPr>
                    <w:pStyle w:val="Compact"/>
                    <w:jc w:val="left"/>
                    <w:jc w:val="center"/>
                  </w:pPr>
                  <w:r>
                    <w:t xml:space="preserve">Description and units</w:t>
                  </w:r>
                </w:p>
              </w:tc>
              <w:tc>
                <w:tcPr/>
                <w:p>
                  <w:pPr>
                    <w:pStyle w:val="Compact"/>
                    <w:jc w:val="left"/>
                    <w:jc w:val="center"/>
                  </w:pPr>
                  <w:r>
                    <w:t xml:space="preserve">Collection location</w:t>
                  </w:r>
                </w:p>
              </w:tc>
            </w:tr>
            <w:tr>
              <w:tc>
                <w:tcPr/>
                <w:p>
                  <w:pPr>
                    <w:pStyle w:val="Compact"/>
                    <w:jc w:val="left"/>
                    <w:jc w:val="center"/>
                  </w:pPr>
                  <w:r>
                    <w:t xml:space="preserve">UML depth</w:t>
                  </w:r>
                </w:p>
              </w:tc>
              <w:tc>
                <w:tcPr/>
                <w:p>
                  <w:pPr>
                    <w:pStyle w:val="Compact"/>
                    <w:jc w:val="left"/>
                    <w:jc w:val="center"/>
                  </w:pPr>
                  <w:r>
                    <w:t xml:space="preserve">Depth at which the density differed by 0.05 kg m</w:t>
                  </w:r>
                  <w:r>
                    <w:rPr>
                      <w:vertAlign w:val="superscript"/>
                    </w:rPr>
                    <w:t xml:space="preserve">−3</w:t>
                  </w:r>
                  <w:r>
                    <w:t xml:space="preserve"> </w:t>
                  </w:r>
                  <w:r>
                    <w:t xml:space="preserve">from the average density of the upper 10 m of the water column</w:t>
                  </w:r>
                  <w:r>
                    <w:t xml:space="preserve"> </w:t>
                  </w:r>
                  <w:r>
                    <w:t xml:space="preserve">(Mitchell &amp; Holm-Hansen 1991)</w:t>
                  </w:r>
                  <w:r>
                    <w:t xml:space="preserve"> </w:t>
                  </w:r>
                  <w:r>
                    <w:t xml:space="preserve">[meters]</w:t>
                  </w:r>
                </w:p>
              </w:tc>
              <w:tc>
                <w:tcPr/>
                <w:p>
                  <w:pPr>
                    <w:pStyle w:val="Compact"/>
                    <w:jc w:val="left"/>
                    <w:jc w:val="center"/>
                  </w:pPr>
                  <w:r>
                    <w:t xml:space="preserve">Station</w:t>
                  </w:r>
                </w:p>
              </w:tc>
            </w:tr>
            <w:tr>
              <w:tc>
                <w:tcPr/>
                <w:p>
                  <w:pPr>
                    <w:pStyle w:val="Compact"/>
                    <w:jc w:val="left"/>
                    <w:jc w:val="center"/>
                  </w:pPr>
                  <w:r>
                    <w:t xml:space="preserve">Temperature</w:t>
                  </w:r>
                </w:p>
              </w:tc>
              <w:tc>
                <w:tcPr/>
                <w:p>
                  <w:pPr>
                    <w:pStyle w:val="Compact"/>
                    <w:jc w:val="left"/>
                    <w:jc w:val="center"/>
                  </w:pPr>
                  <w:r>
                    <w:t xml:space="preserve">Average UML temperature [°C]</w:t>
                  </w:r>
                </w:p>
              </w:tc>
              <w:tc>
                <w:tcPr/>
                <w:p>
                  <w:pPr>
                    <w:pStyle w:val="Compact"/>
                    <w:jc w:val="left"/>
                    <w:jc w:val="center"/>
                  </w:pPr>
                  <w:r>
                    <w:t xml:space="preserve">Station</w:t>
                  </w:r>
                </w:p>
              </w:tc>
            </w:tr>
            <w:tr>
              <w:tc>
                <w:tcPr/>
                <w:p>
                  <w:pPr>
                    <w:pStyle w:val="Compact"/>
                    <w:jc w:val="left"/>
                    <w:jc w:val="center"/>
                  </w:pPr>
                  <w:r>
                    <w:t xml:space="preserve">Salinity</w:t>
                  </w:r>
                </w:p>
              </w:tc>
              <w:tc>
                <w:tcPr/>
                <w:p>
                  <w:pPr>
                    <w:pStyle w:val="Compact"/>
                    <w:jc w:val="left"/>
                    <w:jc w:val="center"/>
                  </w:pPr>
                  <w:r>
                    <w:t xml:space="preserve">Average UML salinity [PSU]</w:t>
                  </w:r>
                </w:p>
              </w:tc>
              <w:tc>
                <w:tcPr/>
                <w:p>
                  <w:pPr>
                    <w:pStyle w:val="Compact"/>
                    <w:jc w:val="left"/>
                    <w:jc w:val="center"/>
                  </w:pPr>
                  <w:r>
                    <w:t xml:space="preserve">Station</w:t>
                  </w:r>
                </w:p>
              </w:tc>
            </w:tr>
            <w:tr>
              <w:tc>
                <w:tcPr/>
                <w:p>
                  <w:pPr>
                    <w:pStyle w:val="Compact"/>
                    <w:jc w:val="left"/>
                    <w:jc w:val="center"/>
                  </w:pPr>
                  <w:r>
                    <w:t xml:space="preserve">Chl</w:t>
                  </w:r>
                  <w:r>
                    <w:t xml:space="preserve"> </w:t>
                  </w:r>
                  <w:r>
                    <w:rPr>
                      <w:i/>
                      <w:iCs/>
                    </w:rPr>
                    <w:t xml:space="preserve">a</w:t>
                  </w:r>
                </w:p>
              </w:tc>
              <w:tc>
                <w:tcPr/>
                <w:p>
                  <w:pPr>
                    <w:pStyle w:val="Compact"/>
                    <w:jc w:val="left"/>
                    <w:jc w:val="center"/>
                  </w:pPr>
                  <w:r>
                    <w:t xml:space="preserve">Average integrated chl</w:t>
                  </w:r>
                  <w:r>
                    <w:t xml:space="preserve"> </w:t>
                  </w:r>
                  <w:r>
                    <w:rPr>
                      <w:i/>
                      <w:iCs/>
                    </w:rPr>
                    <w:t xml:space="preserve">a</w:t>
                  </w:r>
                  <w:r>
                    <w:t xml:space="preserve"> </w:t>
                  </w:r>
                  <w:r>
                    <w:t xml:space="preserve">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Phaeopigment</w:t>
                  </w:r>
                </w:p>
              </w:tc>
              <w:tc>
                <w:tcPr/>
                <w:p>
                  <w:pPr>
                    <w:pStyle w:val="Compact"/>
                    <w:jc w:val="left"/>
                    <w:jc w:val="center"/>
                  </w:pPr>
                  <w:r>
                    <w:t xml:space="preserve">Average integrated phaeopigment 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Ice type</w:t>
                  </w:r>
                </w:p>
              </w:tc>
              <w:tc>
                <w:tcPr/>
                <w:p>
                  <w:pPr>
                    <w:pStyle w:val="Compact"/>
                    <w:jc w:val="left"/>
                    <w:jc w:val="center"/>
                  </w:pPr>
                  <w:r>
                    <w:t xml:space="preserve">Factor with 4 levels: open, thin, first-year, multi-year</w:t>
                  </w:r>
                </w:p>
              </w:tc>
              <w:tc>
                <w:tcPr/>
                <w:p>
                  <w:pPr>
                    <w:pStyle w:val="Compact"/>
                    <w:jc w:val="left"/>
                    <w:jc w:val="center"/>
                  </w:pPr>
                  <w:r>
                    <w:t xml:space="preserve">Transect</w:t>
                  </w:r>
                </w:p>
              </w:tc>
            </w:tr>
            <w:tr>
              <w:tc>
                <w:tcPr/>
                <w:p>
                  <w:pPr>
                    <w:pStyle w:val="Compact"/>
                    <w:jc w:val="left"/>
                    <w:jc w:val="center"/>
                  </w:pPr>
                  <w:r>
                    <w:t xml:space="preserve">Ice coverage</w:t>
                  </w:r>
                </w:p>
              </w:tc>
              <w:tc>
                <w:tcPr/>
                <w:p>
                  <w:pPr>
                    <w:pStyle w:val="Compact"/>
                    <w:jc w:val="left"/>
                    <w:jc w:val="center"/>
                  </w:pPr>
                  <w:r>
                    <w:t xml:space="preserve">Percent cover</w:t>
                  </w:r>
                </w:p>
              </w:tc>
              <w:tc>
                <w:tcPr/>
                <w:p>
                  <w:pPr>
                    <w:pStyle w:val="Compact"/>
                    <w:jc w:val="left"/>
                    <w:jc w:val="center"/>
                  </w:pPr>
                  <w:r>
                    <w:t xml:space="preserve">Transect</w:t>
                  </w:r>
                </w:p>
              </w:tc>
            </w:tr>
            <w:tr>
              <w:tc>
                <w:tcPr/>
                <w:p>
                  <w:pPr>
                    <w:pStyle w:val="Compact"/>
                    <w:jc w:val="left"/>
                    <w:jc w:val="center"/>
                  </w:pPr>
                  <w:r>
                    <w:t xml:space="preserve">Macrozooplankton community</w:t>
                  </w:r>
                </w:p>
              </w:tc>
              <w:tc>
                <w:tcPr/>
                <w:p>
                  <w:pPr>
                    <w:pStyle w:val="Compact"/>
                    <w:jc w:val="left"/>
                    <w:jc w:val="center"/>
                  </w:pPr>
                  <w:r>
                    <w:t xml:space="preserve">Factor with 5 levels corresponding to the clusters identified by</w:t>
                  </w:r>
                  <w:r>
                    <w:t xml:space="preserve"> </w:t>
                  </w:r>
                  <w:r>
                    <w:t xml:space="preserve">Dietrich et al. (2021)</w:t>
                  </w:r>
                  <w:r>
                    <w:t xml:space="preserve">: 1 (</w:t>
                  </w:r>
                  <w:r>
                    <w:rPr>
                      <w:i/>
                      <w:iCs/>
                    </w:rPr>
                    <w:t xml:space="preserve">Salpa</w:t>
                  </w:r>
                  <w:r>
                    <w:t xml:space="preserve"> </w:t>
                  </w:r>
                  <w:r>
                    <w:t xml:space="preserve">and</w:t>
                  </w:r>
                  <w:r>
                    <w:t xml:space="preserve"> </w:t>
                  </w:r>
                  <w:r>
                    <w:rPr>
                      <w:i/>
                      <w:iCs/>
                    </w:rPr>
                    <w:t xml:space="preserve">Clione</w:t>
                  </w:r>
                  <w:r>
                    <w:t xml:space="preserve">), 2a (small</w:t>
                  </w:r>
                  <w:r>
                    <w:t xml:space="preserve"> </w:t>
                  </w:r>
                  <w:r>
                    <w:rPr>
                      <w:i/>
                      <w:iCs/>
                    </w:rPr>
                    <w:t xml:space="preserve">Euphausia</w:t>
                  </w:r>
                  <w:r>
                    <w:t xml:space="preserve">, myctophid larvae, and amphipods), 2b (</w:t>
                  </w:r>
                  <w:r>
                    <w:rPr>
                      <w:i/>
                      <w:iCs/>
                    </w:rPr>
                    <w:t xml:space="preserve">Thysanoessa</w:t>
                  </w:r>
                  <w:r>
                    <w:t xml:space="preserve">), 3a (extremely diverse, including siphonophores, chaetognaths, copepods), and 3b (</w:t>
                  </w:r>
                  <w:r>
                    <w:rPr>
                      <w:i/>
                      <w:iCs/>
                    </w:rPr>
                    <w:t xml:space="preserve">E. superba</w:t>
                  </w:r>
                  <w:r>
                    <w:t xml:space="preserve"> </w:t>
                  </w:r>
                  <w:r>
                    <w:t xml:space="preserve">and</w:t>
                  </w:r>
                  <w:r>
                    <w:t xml:space="preserve"> </w:t>
                  </w:r>
                  <w:r>
                    <w:rPr>
                      <w:i/>
                      <w:iCs/>
                    </w:rPr>
                    <w:t xml:space="preserve">E. crystallorophias</w:t>
                  </w:r>
                  <w:r>
                    <w:t xml:space="preserve">)</w:t>
                  </w:r>
                </w:p>
              </w:tc>
              <w:tc>
                <w:tcPr/>
                <w:p>
                  <w:pPr>
                    <w:pStyle w:val="Compact"/>
                    <w:jc w:val="left"/>
                    <w:jc w:val="center"/>
                  </w:pPr>
                  <w:r>
                    <w:t xml:space="preserve">Station</w:t>
                  </w:r>
                </w:p>
              </w:tc>
            </w:tr>
          </w:tbl>
          <w:bookmarkEnd w:id="35"/>
          <w:p/>
        </w:tc>
      </w:tr>
    </w:tbl>
    <w:p>
      <w:r>
        <w:br w:type="page"/>
      </w:r>
    </w:p>
    <w:tbl>
      <w:tblPr>
        <w:tblStyle w:val="Table"/>
        <w:tblW w:type="pct" w:w="5000"/>
        <w:tblLayout w:type="fixed"/>
        <w:tblLook w:firstRow="0" w:lastRow="0" w:firstColumn="0" w:lastColumn="0" w:noHBand="0" w:noVBand="0" w:val="0000"/>
      </w:tblPr>
      <w:tblGrid>
        <w:gridCol w:w="7920"/>
      </w:tblGrid>
      <w:tr>
        <w:tc>
          <w:tcPr/>
          <w:bookmarkStart w:id="36" w:name="tbl-predators"/>
          <w:p>
            <w:pPr>
              <w:jc w:val="center"/>
            </w:pPr>
            <w:pPr>
              <w:jc w:val="start"/>
              <w:spacing w:before="200"/>
              <w:pStyle w:val="ImageCaption"/>
            </w:pPr>
            <w:r>
              <w:t xml:space="preserve">Table 2: Predator species observed during surveys. Ind: total individuals observed, Sites: number of sites where species was present, Freq: percentage of sites where species was present. Typical prey and foraging behavior are presented for context.</w:t>
            </w:r>
          </w:p>
          <w:tbl>
            <w:tblPr>
              <w:tblStyle w:val="Table"/>
              <w:tblW w:type="pct" w:w="5000"/>
              <w:tblLayout w:type="fixed"/>
              <w:tblLook w:firstRow="1" w:lastRow="0" w:firstColumn="0" w:lastColumn="0" w:noHBand="0" w:noVBand="0" w:val="0020"/>
            </w:tblPr>
            <w:tblGrid>
              <w:gridCol w:w="1425"/>
              <w:gridCol w:w="554"/>
              <w:gridCol w:w="554"/>
              <w:gridCol w:w="871"/>
              <w:gridCol w:w="1346"/>
              <w:gridCol w:w="1267"/>
              <w:gridCol w:w="1900"/>
            </w:tblGrid>
            <w:tr>
              <w:trPr>
                <w:tblHeader w:val="on"/>
              </w:trPr>
              <w:tc>
                <w:tcPr/>
                <w:p>
                  <w:pPr>
                    <w:pStyle w:val="Compact"/>
                    <w:jc w:val="left"/>
                    <w:jc w:val="center"/>
                  </w:pPr>
                  <w:r>
                    <w:t xml:space="preserve">Species</w:t>
                  </w:r>
                </w:p>
              </w:tc>
              <w:tc>
                <w:tcPr/>
                <w:p>
                  <w:pPr>
                    <w:pStyle w:val="Compact"/>
                    <w:jc w:val="right"/>
                    <w:jc w:val="center"/>
                  </w:pPr>
                  <w:r>
                    <w:t xml:space="preserve">Ind</w:t>
                  </w:r>
                </w:p>
              </w:tc>
              <w:tc>
                <w:tcPr/>
                <w:p>
                  <w:pPr>
                    <w:pStyle w:val="Compact"/>
                    <w:jc w:val="right"/>
                    <w:jc w:val="center"/>
                  </w:pPr>
                  <w:r>
                    <w:t xml:space="preserve">Sites</w:t>
                  </w:r>
                </w:p>
              </w:tc>
              <w:tc>
                <w:tcPr/>
                <w:p>
                  <w:pPr>
                    <w:pStyle w:val="Compact"/>
                    <w:jc w:val="left"/>
                    <w:jc w:val="center"/>
                  </w:pPr>
                  <w:r>
                    <w:t xml:space="preserve">Freq (%)</w:t>
                  </w:r>
                </w:p>
              </w:tc>
              <w:tc>
                <w:tcPr/>
                <w:p>
                  <w:pPr>
                    <w:pStyle w:val="Compact"/>
                    <w:jc w:val="left"/>
                    <w:jc w:val="center"/>
                  </w:pPr>
                  <w:r>
                    <w:t xml:space="preserve">Typical prey</w:t>
                  </w:r>
                </w:p>
              </w:tc>
              <w:tc>
                <w:tcPr/>
                <w:p>
                  <w:pPr>
                    <w:pStyle w:val="Compact"/>
                    <w:jc w:val="left"/>
                    <w:jc w:val="center"/>
                  </w:pPr>
                  <w:r>
                    <w:t xml:space="preserve">Foraging behavior</w:t>
                  </w:r>
                </w:p>
              </w:tc>
              <w:tc>
                <w:tcPr/>
                <w:p>
                  <w:pPr>
                    <w:pStyle w:val="Compact"/>
                    <w:jc w:val="left"/>
                    <w:jc w:val="center"/>
                  </w:pPr>
                  <w:r>
                    <w:t xml:space="preserve">Reference</w:t>
                  </w:r>
                </w:p>
              </w:tc>
            </w:tr>
            <w:tr>
              <w:tc>
                <w:tcPr/>
                <w:p>
                  <w:pPr>
                    <w:pStyle w:val="Compact"/>
                    <w:jc w:val="left"/>
                    <w:jc w:val="center"/>
                  </w:pPr>
                  <w:r>
                    <w:t xml:space="preserve">Snow petrel</w:t>
                  </w:r>
                  <w:r>
                    <w:t xml:space="preserve"> </w:t>
                  </w:r>
                  <w:r>
                    <w:rPr>
                      <w:i/>
                      <w:iCs/>
                    </w:rPr>
                    <w:t xml:space="preserve">Pagodroma nivea</w:t>
                  </w:r>
                </w:p>
              </w:tc>
              <w:tc>
                <w:tcPr/>
                <w:p>
                  <w:pPr>
                    <w:pStyle w:val="Compact"/>
                    <w:jc w:val="right"/>
                    <w:jc w:val="center"/>
                  </w:pPr>
                  <w:r>
                    <w:t xml:space="preserve">12314</w:t>
                  </w:r>
                </w:p>
              </w:tc>
              <w:tc>
                <w:tcPr/>
                <w:p>
                  <w:pPr>
                    <w:pStyle w:val="Compact"/>
                    <w:jc w:val="right"/>
                    <w:jc w:val="center"/>
                  </w:pPr>
                  <w:r>
                    <w:t xml:space="preserve">233</w:t>
                  </w:r>
                </w:p>
              </w:tc>
              <w:tc>
                <w:tcPr/>
                <w:p>
                  <w:pPr>
                    <w:pStyle w:val="Compact"/>
                    <w:jc w:val="left"/>
                    <w:jc w:val="center"/>
                  </w:pPr>
                  <w:r>
                    <w:t xml:space="preserve">59.1%</w:t>
                  </w:r>
                </w:p>
              </w:tc>
              <w:tc>
                <w:tcPr/>
                <w:p>
                  <w:pPr>
                    <w:pStyle w:val="Compact"/>
                    <w:jc w:val="left"/>
                    <w:jc w:val="center"/>
                  </w:pPr>
                  <w:r>
                    <w:t xml:space="preserve">Myctophids</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(2016)</w:t>
                  </w:r>
                </w:p>
              </w:tc>
            </w:tr>
            <w:tr>
              <w:tc>
                <w:tcPr/>
                <w:p>
                  <w:pPr>
                    <w:pStyle w:val="Compact"/>
                    <w:jc w:val="left"/>
                    <w:jc w:val="center"/>
                  </w:pPr>
                  <w:r>
                    <w:t xml:space="preserve">Antarctic petrel</w:t>
                  </w:r>
                  <w:r>
                    <w:t xml:space="preserve"> </w:t>
                  </w:r>
                  <w:r>
                    <w:rPr>
                      <w:i/>
                      <w:iCs/>
                    </w:rPr>
                    <w:t xml:space="preserve">Thalassoica antarctica</w:t>
                  </w:r>
                </w:p>
              </w:tc>
              <w:tc>
                <w:tcPr/>
                <w:p>
                  <w:pPr>
                    <w:pStyle w:val="Compact"/>
                    <w:jc w:val="right"/>
                    <w:jc w:val="center"/>
                  </w:pPr>
                  <w:r>
                    <w:t xml:space="preserve">2351</w:t>
                  </w:r>
                </w:p>
              </w:tc>
              <w:tc>
                <w:tcPr/>
                <w:p>
                  <w:pPr>
                    <w:pStyle w:val="Compact"/>
                    <w:jc w:val="right"/>
                    <w:jc w:val="center"/>
                  </w:pPr>
                  <w:r>
                    <w:t xml:space="preserve">209</w:t>
                  </w:r>
                </w:p>
              </w:tc>
              <w:tc>
                <w:tcPr/>
                <w:p>
                  <w:pPr>
                    <w:pStyle w:val="Compact"/>
                    <w:jc w:val="left"/>
                    <w:jc w:val="center"/>
                  </w:pPr>
                  <w:r>
                    <w:t xml:space="preserve">53.0%</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(2020)</w:t>
                  </w:r>
                </w:p>
              </w:tc>
            </w:tr>
            <w:tr>
              <w:tc>
                <w:tcPr/>
                <w:p>
                  <w:pPr>
                    <w:pStyle w:val="Compact"/>
                    <w:jc w:val="left"/>
                    <w:jc w:val="center"/>
                  </w:pPr>
                  <w:r>
                    <w:t xml:space="preserve">Southern giant petrel</w:t>
                  </w:r>
                  <w:r>
                    <w:t xml:space="preserve"> </w:t>
                  </w:r>
                  <w:r>
                    <w:rPr>
                      <w:i/>
                      <w:iCs/>
                    </w:rPr>
                    <w:t xml:space="preserve">Macronectes giganteus</w:t>
                  </w:r>
                </w:p>
              </w:tc>
              <w:tc>
                <w:tcPr/>
                <w:p>
                  <w:pPr>
                    <w:pStyle w:val="Compact"/>
                    <w:jc w:val="right"/>
                    <w:jc w:val="center"/>
                  </w:pPr>
                  <w:r>
                    <w:t xml:space="preserve">620</w:t>
                  </w:r>
                </w:p>
              </w:tc>
              <w:tc>
                <w:tcPr/>
                <w:p>
                  <w:pPr>
                    <w:pStyle w:val="Compact"/>
                    <w:jc w:val="right"/>
                    <w:jc w:val="center"/>
                  </w:pPr>
                  <w:r>
                    <w:t xml:space="preserve">177</w:t>
                  </w:r>
                </w:p>
              </w:tc>
              <w:tc>
                <w:tcPr/>
                <w:p>
                  <w:pPr>
                    <w:pStyle w:val="Compact"/>
                    <w:jc w:val="left"/>
                    <w:jc w:val="center"/>
                  </w:pPr>
                  <w:r>
                    <w:t xml:space="preserve">44.9%</w:t>
                  </w:r>
                </w:p>
              </w:tc>
              <w:tc>
                <w:tcPr/>
                <w:p>
                  <w:pPr>
                    <w:pStyle w:val="Compact"/>
                    <w:jc w:val="left"/>
                    <w:jc w:val="center"/>
                  </w:pPr>
                  <w:r>
                    <w:t xml:space="preserve">Juvenile pinnipeds and seabirds, carrion</w:t>
                  </w:r>
                </w:p>
              </w:tc>
              <w:tc>
                <w:tcPr/>
                <w:p>
                  <w:pPr>
                    <w:pStyle w:val="Compact"/>
                    <w:jc w:val="left"/>
                    <w:jc w:val="center"/>
                  </w:pPr>
                  <w:r>
                    <w:t xml:space="preserve">Scavenging, surface feeding (&lt;5 m)</w:t>
                  </w:r>
                </w:p>
              </w:tc>
              <w:tc>
                <w:tcPr/>
                <w:p>
                  <w:pPr>
                    <w:pStyle w:val="Compact"/>
                    <w:jc w:val="left"/>
                    <w:jc w:val="center"/>
                  </w:pPr>
                  <w:r>
                    <w:t xml:space="preserve">Hunter (1983)</w:t>
                  </w:r>
                </w:p>
              </w:tc>
            </w:tr>
            <w:tr>
              <w:tc>
                <w:tcPr/>
                <w:p>
                  <w:pPr>
                    <w:pStyle w:val="Compact"/>
                    <w:jc w:val="left"/>
                    <w:jc w:val="center"/>
                  </w:pPr>
                  <w:r>
                    <w:t xml:space="preserve">Antarctic fur seal</w:t>
                  </w:r>
                  <w:r>
                    <w:t xml:space="preserve"> </w:t>
                  </w:r>
                  <w:r>
                    <w:rPr>
                      <w:i/>
                      <w:iCs/>
                    </w:rPr>
                    <w:t xml:space="preserve">Arctocephalus gazella</w:t>
                  </w:r>
                </w:p>
              </w:tc>
              <w:tc>
                <w:tcPr/>
                <w:p>
                  <w:pPr>
                    <w:pStyle w:val="Compact"/>
                    <w:jc w:val="right"/>
                    <w:jc w:val="center"/>
                  </w:pPr>
                  <w:r>
                    <w:t xml:space="preserve">5443</w:t>
                  </w:r>
                </w:p>
              </w:tc>
              <w:tc>
                <w:tcPr/>
                <w:p>
                  <w:pPr>
                    <w:pStyle w:val="Compact"/>
                    <w:jc w:val="right"/>
                    <w:jc w:val="center"/>
                  </w:pPr>
                  <w:r>
                    <w:t xml:space="preserve">152</w:t>
                  </w:r>
                </w:p>
              </w:tc>
              <w:tc>
                <w:tcPr/>
                <w:p>
                  <w:pPr>
                    <w:pStyle w:val="Compact"/>
                    <w:jc w:val="left"/>
                    <w:jc w:val="center"/>
                  </w:pPr>
                  <w:r>
                    <w:t xml:space="preserve">38.6%</w:t>
                  </w:r>
                </w:p>
              </w:tc>
              <w:tc>
                <w:tcPr/>
                <w:p>
                  <w:pPr>
                    <w:pStyle w:val="Compact"/>
                    <w:jc w:val="left"/>
                    <w:jc w:val="center"/>
                  </w:pPr>
                  <w:r>
                    <w:t xml:space="preserve">Krill, myctophids</w:t>
                  </w:r>
                </w:p>
              </w:tc>
              <w:tc>
                <w:tcPr/>
                <w:p>
                  <w:pPr>
                    <w:pStyle w:val="Compact"/>
                    <w:jc w:val="left"/>
                    <w:jc w:val="center"/>
                  </w:pPr>
                  <w:r>
                    <w:t xml:space="preserve">Diving (~15-50 m)</w:t>
                  </w:r>
                </w:p>
              </w:tc>
              <w:tc>
                <w:tcPr/>
                <w:p>
                  <w:pPr>
                    <w:pStyle w:val="Compact"/>
                    <w:jc w:val="left"/>
                    <w:jc w:val="center"/>
                  </w:pPr>
                  <w:r>
                    <w:t xml:space="preserve">Staniland et al. (2011)</w:t>
                  </w:r>
                </w:p>
              </w:tc>
            </w:tr>
            <w:tr>
              <w:tc>
                <w:tcPr/>
                <w:p>
                  <w:pPr>
                    <w:pStyle w:val="Compact"/>
                    <w:jc w:val="left"/>
                    <w:jc w:val="center"/>
                  </w:pPr>
                  <w:r>
                    <w:t xml:space="preserve">Kelp gull</w:t>
                  </w:r>
                  <w:r>
                    <w:t xml:space="preserve"> </w:t>
                  </w:r>
                  <w:r>
                    <w:rPr>
                      <w:i/>
                      <w:iCs/>
                    </w:rPr>
                    <w:t xml:space="preserve">Larus dominicanus</w:t>
                  </w:r>
                </w:p>
              </w:tc>
              <w:tc>
                <w:tcPr/>
                <w:p>
                  <w:pPr>
                    <w:pStyle w:val="Compact"/>
                    <w:jc w:val="right"/>
                    <w:jc w:val="center"/>
                  </w:pPr>
                  <w:r>
                    <w:t xml:space="preserve">679</w:t>
                  </w:r>
                </w:p>
              </w:tc>
              <w:tc>
                <w:tcPr/>
                <w:p>
                  <w:pPr>
                    <w:pStyle w:val="Compact"/>
                    <w:jc w:val="right"/>
                    <w:jc w:val="center"/>
                  </w:pPr>
                  <w:r>
                    <w:t xml:space="preserve">127</w:t>
                  </w:r>
                </w:p>
              </w:tc>
              <w:tc>
                <w:tcPr/>
                <w:p>
                  <w:pPr>
                    <w:pStyle w:val="Compact"/>
                    <w:jc w:val="left"/>
                    <w:jc w:val="center"/>
                  </w:pPr>
                  <w:r>
                    <w:t xml:space="preserve">32.2%</w:t>
                  </w:r>
                </w:p>
              </w:tc>
              <w:tc>
                <w:tcPr/>
                <w:p>
                  <w:pPr>
                    <w:pStyle w:val="Compact"/>
                    <w:jc w:val="left"/>
                    <w:jc w:val="center"/>
                  </w:pPr>
                  <w:r>
                    <w:t xml:space="preserve">Limpets, krill</w:t>
                  </w:r>
                </w:p>
              </w:tc>
              <w:tc>
                <w:tcPr/>
                <w:p>
                  <w:pPr>
                    <w:pStyle w:val="Compact"/>
                    <w:jc w:val="left"/>
                    <w:jc w:val="center"/>
                  </w:pPr>
                  <w:r>
                    <w:t xml:space="preserve">Surface feeding (&lt;5 m)</w:t>
                  </w:r>
                </w:p>
              </w:tc>
              <w:tc>
                <w:tcPr/>
                <w:p>
                  <w:pPr>
                    <w:pStyle w:val="Compact"/>
                    <w:jc w:val="left"/>
                    <w:jc w:val="center"/>
                  </w:pPr>
                  <w:r>
                    <w:t xml:space="preserve">Silva et al. (2001)</w:t>
                  </w:r>
                </w:p>
              </w:tc>
            </w:tr>
            <w:tr>
              <w:tc>
                <w:tcPr/>
                <w:p>
                  <w:pPr>
                    <w:pStyle w:val="Compact"/>
                    <w:jc w:val="left"/>
                    <w:jc w:val="center"/>
                  </w:pPr>
                  <w:r>
                    <w:t xml:space="preserve">Southern fulmar</w:t>
                  </w:r>
                  <w:r>
                    <w:t xml:space="preserve"> </w:t>
                  </w:r>
                  <w:r>
                    <w:rPr>
                      <w:i/>
                      <w:iCs/>
                    </w:rPr>
                    <w:t xml:space="preserve">Fulmarus glacialoides</w:t>
                  </w:r>
                </w:p>
              </w:tc>
              <w:tc>
                <w:tcPr/>
                <w:p>
                  <w:pPr>
                    <w:pStyle w:val="Compact"/>
                    <w:jc w:val="right"/>
                    <w:jc w:val="center"/>
                  </w:pPr>
                  <w:r>
                    <w:t xml:space="preserve">1089</w:t>
                  </w:r>
                </w:p>
              </w:tc>
              <w:tc>
                <w:tcPr/>
                <w:p>
                  <w:pPr>
                    <w:pStyle w:val="Compact"/>
                    <w:jc w:val="right"/>
                    <w:jc w:val="center"/>
                  </w:pPr>
                  <w:r>
                    <w:t xml:space="preserve">108</w:t>
                  </w:r>
                </w:p>
              </w:tc>
              <w:tc>
                <w:tcPr/>
                <w:p>
                  <w:pPr>
                    <w:pStyle w:val="Compact"/>
                    <w:jc w:val="left"/>
                    <w:jc w:val="center"/>
                  </w:pPr>
                  <w:r>
                    <w:t xml:space="preserve">27.4%</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Cape petrel</w:t>
                  </w:r>
                  <w:r>
                    <w:t xml:space="preserve"> </w:t>
                  </w:r>
                  <w:r>
                    <w:rPr>
                      <w:i/>
                      <w:iCs/>
                    </w:rPr>
                    <w:t xml:space="preserve">Daption capense</w:t>
                  </w:r>
                </w:p>
              </w:tc>
              <w:tc>
                <w:tcPr/>
                <w:p>
                  <w:pPr>
                    <w:pStyle w:val="Compact"/>
                    <w:jc w:val="right"/>
                    <w:jc w:val="center"/>
                  </w:pPr>
                  <w:r>
                    <w:t xml:space="preserve">544</w:t>
                  </w:r>
                </w:p>
              </w:tc>
              <w:tc>
                <w:tcPr/>
                <w:p>
                  <w:pPr>
                    <w:pStyle w:val="Compact"/>
                    <w:jc w:val="right"/>
                    <w:jc w:val="center"/>
                  </w:pPr>
                  <w:r>
                    <w:t xml:space="preserve">84</w:t>
                  </w:r>
                </w:p>
              </w:tc>
              <w:tc>
                <w:tcPr/>
                <w:p>
                  <w:pPr>
                    <w:pStyle w:val="Compact"/>
                    <w:jc w:val="left"/>
                    <w:jc w:val="center"/>
                  </w:pPr>
                  <w:r>
                    <w:t xml:space="preserve">21.3%</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Adélie penguin</w:t>
                  </w:r>
                  <w:r>
                    <w:t xml:space="preserve"> </w:t>
                  </w:r>
                  <w:r>
                    <w:rPr>
                      <w:i/>
                      <w:iCs/>
                    </w:rPr>
                    <w:t xml:space="preserve">Pygoscelis adeliae</w:t>
                  </w:r>
                </w:p>
              </w:tc>
              <w:tc>
                <w:tcPr/>
                <w:p>
                  <w:pPr>
                    <w:pStyle w:val="Compact"/>
                    <w:jc w:val="right"/>
                    <w:jc w:val="center"/>
                  </w:pPr>
                  <w:r>
                    <w:t xml:space="preserve">8532</w:t>
                  </w:r>
                </w:p>
              </w:tc>
              <w:tc>
                <w:tcPr/>
                <w:p>
                  <w:pPr>
                    <w:pStyle w:val="Compact"/>
                    <w:jc w:val="right"/>
                    <w:jc w:val="center"/>
                  </w:pPr>
                  <w:r>
                    <w:t xml:space="preserve">68</w:t>
                  </w:r>
                </w:p>
              </w:tc>
              <w:tc>
                <w:tcPr/>
                <w:p>
                  <w:pPr>
                    <w:pStyle w:val="Compact"/>
                    <w:jc w:val="left"/>
                    <w:jc w:val="center"/>
                  </w:pPr>
                  <w:r>
                    <w:t xml:space="preserve">17.3%</w:t>
                  </w:r>
                </w:p>
              </w:tc>
              <w:tc>
                <w:tcPr/>
                <w:p>
                  <w:pPr>
                    <w:pStyle w:val="Compact"/>
                    <w:jc w:val="left"/>
                    <w:jc w:val="center"/>
                  </w:pPr>
                  <w:r>
                    <w:t xml:space="preserve">Krill</w:t>
                  </w:r>
                </w:p>
              </w:tc>
              <w:tc>
                <w:tcPr/>
                <w:p>
                  <w:pPr>
                    <w:pStyle w:val="Compact"/>
                    <w:jc w:val="left"/>
                    <w:jc w:val="center"/>
                  </w:pPr>
                  <w:r>
                    <w:t xml:space="preserve">Diving (~15-50 m)</w:t>
                  </w:r>
                </w:p>
              </w:tc>
              <w:tc>
                <w:tcPr/>
                <w:p>
                  <w:pPr>
                    <w:pStyle w:val="Compact"/>
                    <w:jc w:val="left"/>
                    <w:jc w:val="center"/>
                  </w:pPr>
                  <w:r>
                    <w:t xml:space="preserve">Cimino et al. (2016)</w:t>
                  </w:r>
                  <w:r>
                    <w:t xml:space="preserve">;</w:t>
                  </w:r>
                  <w:r>
                    <w:t xml:space="preserve"> </w:t>
                  </w:r>
                  <w:r>
                    <w:t xml:space="preserve">Juáres et al. (2018)</w:t>
                  </w:r>
                </w:p>
              </w:tc>
            </w:tr>
            <w:tr>
              <w:tc>
                <w:tcPr/>
                <w:p>
                  <w:pPr>
                    <w:pStyle w:val="Compact"/>
                    <w:jc w:val="left"/>
                    <w:jc w:val="center"/>
                  </w:pPr>
                  <w:r>
                    <w:t xml:space="preserve">Crabeater seal</w:t>
                  </w:r>
                  <w:r>
                    <w:t xml:space="preserve"> </w:t>
                  </w:r>
                  <w:r>
                    <w:rPr>
                      <w:i/>
                      <w:iCs/>
                    </w:rPr>
                    <w:t xml:space="preserve">Lobodon carcinophagus</w:t>
                  </w:r>
                </w:p>
              </w:tc>
              <w:tc>
                <w:tcPr/>
                <w:p>
                  <w:pPr>
                    <w:pStyle w:val="Compact"/>
                    <w:jc w:val="right"/>
                    <w:jc w:val="center"/>
                  </w:pPr>
                  <w:r>
                    <w:t xml:space="preserve">3112</w:t>
                  </w:r>
                </w:p>
              </w:tc>
              <w:tc>
                <w:tcPr/>
                <w:p>
                  <w:pPr>
                    <w:pStyle w:val="Compact"/>
                    <w:jc w:val="right"/>
                    <w:jc w:val="center"/>
                  </w:pPr>
                  <w:r>
                    <w:t xml:space="preserve">58</w:t>
                  </w:r>
                </w:p>
              </w:tc>
              <w:tc>
                <w:tcPr/>
                <w:p>
                  <w:pPr>
                    <w:pStyle w:val="Compact"/>
                    <w:jc w:val="left"/>
                    <w:jc w:val="center"/>
                  </w:pPr>
                  <w:r>
                    <w:t xml:space="preserve">14.7%</w:t>
                  </w:r>
                </w:p>
              </w:tc>
              <w:tc>
                <w:tcPr/>
                <w:p>
                  <w:pPr>
                    <w:pStyle w:val="Compact"/>
                    <w:jc w:val="left"/>
                    <w:jc w:val="center"/>
                  </w:pPr>
                  <w:r>
                    <w:t xml:space="preserve">Krill</w:t>
                  </w:r>
                </w:p>
              </w:tc>
              <w:tc>
                <w:tcPr/>
                <w:p>
                  <w:pPr>
                    <w:pStyle w:val="Compact"/>
                    <w:jc w:val="left"/>
                    <w:jc w:val="center"/>
                  </w:pPr>
                  <w:r>
                    <w:t xml:space="preserve">Diving (~50-100 m)</w:t>
                  </w:r>
                </w:p>
              </w:tc>
              <w:tc>
                <w:tcPr/>
                <w:p>
                  <w:pPr>
                    <w:pStyle w:val="Compact"/>
                    <w:jc w:val="left"/>
                    <w:jc w:val="center"/>
                  </w:pPr>
                  <w:r>
                    <w:t xml:space="preserve">Burns et al. (2004)</w:t>
                  </w:r>
                  <w:r>
                    <w:t xml:space="preserve">;</w:t>
                  </w:r>
                  <w:r>
                    <w:t xml:space="preserve"> </w:t>
                  </w:r>
                  <w:r>
                    <w:t xml:space="preserve">Hückstädt et al. (2012)</w:t>
                  </w:r>
                </w:p>
              </w:tc>
            </w:tr>
            <w:tr>
              <w:tc>
                <w:tcPr/>
                <w:p>
                  <w:pPr>
                    <w:pStyle w:val="Compact"/>
                    <w:jc w:val="left"/>
                    <w:jc w:val="center"/>
                  </w:pPr>
                  <w:r>
                    <w:t xml:space="preserve">Blue petrel</w:t>
                  </w:r>
                  <w:r>
                    <w:t xml:space="preserve"> </w:t>
                  </w:r>
                  <w:r>
                    <w:rPr>
                      <w:i/>
                      <w:iCs/>
                    </w:rPr>
                    <w:t xml:space="preserve">Halobaena caerulea</w:t>
                  </w:r>
                  <w:r>
                    <w:rPr>
                      <w:i/>
                      <w:iCs/>
                    </w:rPr>
                    <w:t xml:space="preserve"> </w:t>
                  </w:r>
                </w:p>
              </w:tc>
              <w:tc>
                <w:tcPr/>
                <w:p>
                  <w:pPr>
                    <w:pStyle w:val="Compact"/>
                    <w:jc w:val="right"/>
                    <w:jc w:val="center"/>
                  </w:pPr>
                  <w:r>
                    <w:t xml:space="preserve">655</w:t>
                  </w:r>
                </w:p>
              </w:tc>
              <w:tc>
                <w:tcPr/>
                <w:p>
                  <w:pPr>
                    <w:pStyle w:val="Compact"/>
                    <w:jc w:val="right"/>
                    <w:jc w:val="center"/>
                  </w:pPr>
                  <w:r>
                    <w:t xml:space="preserve">53</w:t>
                  </w:r>
                </w:p>
              </w:tc>
              <w:tc>
                <w:tcPr/>
                <w:p>
                  <w:pPr>
                    <w:pStyle w:val="Compact"/>
                    <w:jc w:val="left"/>
                    <w:jc w:val="center"/>
                  </w:pPr>
                  <w:r>
                    <w:t xml:space="preserve">13.5%</w:t>
                  </w:r>
                </w:p>
              </w:tc>
              <w:tc>
                <w:tcPr/>
                <w:p>
                  <w:pPr>
                    <w:pStyle w:val="Compact"/>
                    <w:jc w:val="left"/>
                    <w:jc w:val="center"/>
                  </w:pPr>
                  <w:r>
                    <w:t xml:space="preserve">Krill, myctophids, amphipods</w:t>
                  </w:r>
                </w:p>
              </w:tc>
              <w:tc>
                <w:tcPr/>
                <w:p>
                  <w:pPr>
                    <w:pStyle w:val="Compact"/>
                    <w:jc w:val="left"/>
                    <w:jc w:val="center"/>
                  </w:pPr>
                  <w:r>
                    <w:t xml:space="preserve">Surface feeding (&lt;5 m)</w:t>
                  </w:r>
                </w:p>
              </w:tc>
              <w:tc>
                <w:tcPr/>
                <w:p>
                  <w:pPr>
                    <w:pStyle w:val="Compact"/>
                    <w:jc w:val="left"/>
                    <w:jc w:val="center"/>
                  </w:pPr>
                  <w:r>
                    <w:t xml:space="preserve">Prince (1980)</w:t>
                  </w:r>
                </w:p>
              </w:tc>
            </w:tr>
            <w:tr>
              <w:tc>
                <w:tcPr/>
                <w:p>
                  <w:pPr>
                    <w:pStyle w:val="Compact"/>
                    <w:jc w:val="left"/>
                    <w:jc w:val="center"/>
                  </w:pPr>
                  <w:r>
                    <w:t xml:space="preserve">Leopard seal</w:t>
                  </w:r>
                  <w:r>
                    <w:t xml:space="preserve"> </w:t>
                  </w:r>
                  <w:r>
                    <w:rPr>
                      <w:i/>
                      <w:iCs/>
                    </w:rPr>
                    <w:t xml:space="preserve">Hydrurga leptonyx</w:t>
                  </w:r>
                </w:p>
              </w:tc>
              <w:tc>
                <w:tcPr/>
                <w:p>
                  <w:pPr>
                    <w:pStyle w:val="Compact"/>
                    <w:jc w:val="right"/>
                    <w:jc w:val="center"/>
                  </w:pPr>
                  <w:r>
                    <w:t xml:space="preserve">195</w:t>
                  </w:r>
                </w:p>
              </w:tc>
              <w:tc>
                <w:tcPr/>
                <w:p>
                  <w:pPr>
                    <w:pStyle w:val="Compact"/>
                    <w:jc w:val="right"/>
                    <w:jc w:val="center"/>
                  </w:pPr>
                  <w:r>
                    <w:t xml:space="preserve">49</w:t>
                  </w:r>
                </w:p>
              </w:tc>
              <w:tc>
                <w:tcPr/>
                <w:p>
                  <w:pPr>
                    <w:pStyle w:val="Compact"/>
                    <w:jc w:val="left"/>
                    <w:jc w:val="center"/>
                  </w:pPr>
                  <w:r>
                    <w:t xml:space="preserve">12.4%</w:t>
                  </w:r>
                </w:p>
              </w:tc>
              <w:tc>
                <w:tcPr/>
                <w:p>
                  <w:pPr>
                    <w:pStyle w:val="Compact"/>
                    <w:jc w:val="left"/>
                    <w:jc w:val="center"/>
                  </w:pPr>
                  <w:r>
                    <w:t xml:space="preserve">Seals, penguins, fish, rkill</w:t>
                  </w:r>
                </w:p>
              </w:tc>
              <w:tc>
                <w:tcPr/>
                <w:p>
                  <w:pPr>
                    <w:pStyle w:val="Compact"/>
                    <w:jc w:val="left"/>
                    <w:jc w:val="center"/>
                  </w:pPr>
                  <w:r>
                    <w:t xml:space="preserve">Diving (~50-100 m)</w:t>
                  </w:r>
                </w:p>
              </w:tc>
              <w:tc>
                <w:tcPr/>
                <w:p>
                  <w:pPr>
                    <w:pStyle w:val="Compact"/>
                    <w:jc w:val="left"/>
                    <w:jc w:val="center"/>
                  </w:pPr>
                  <w:r>
                    <w:t xml:space="preserve">Walker et al. (1998)</w:t>
                  </w:r>
                  <w:r>
                    <w:t xml:space="preserve">;</w:t>
                  </w:r>
                  <w:r>
                    <w:t xml:space="preserve"> </w:t>
                  </w:r>
                  <w:r>
                    <w:t xml:space="preserve">Casaux et al. (2009)</w:t>
                  </w:r>
                  <w:r>
                    <w:t xml:space="preserve">;</w:t>
                  </w:r>
                  <w:r>
                    <w:t xml:space="preserve"> </w:t>
                  </w:r>
                  <w:r>
                    <w:t xml:space="preserve">Krause et al. (2015)</w:t>
                  </w:r>
                </w:p>
              </w:tc>
            </w:tr>
            <w:tr>
              <w:tc>
                <w:tcPr/>
                <w:p>
                  <w:pPr>
                    <w:pStyle w:val="Compact"/>
                    <w:jc w:val="left"/>
                    <w:jc w:val="center"/>
                  </w:pPr>
                  <w:r>
                    <w:t xml:space="preserve">Antarctic tern</w:t>
                  </w:r>
                  <w:r>
                    <w:t xml:space="preserve"> </w:t>
                  </w:r>
                  <w:r>
                    <w:rPr>
                      <w:i/>
                      <w:iCs/>
                    </w:rPr>
                    <w:t xml:space="preserve">Sterna vittata</w:t>
                  </w:r>
                </w:p>
              </w:tc>
              <w:tc>
                <w:tcPr/>
                <w:p>
                  <w:pPr>
                    <w:pStyle w:val="Compact"/>
                    <w:jc w:val="right"/>
                    <w:jc w:val="center"/>
                  </w:pPr>
                  <w:r>
                    <w:t xml:space="preserve">157</w:t>
                  </w:r>
                </w:p>
              </w:tc>
              <w:tc>
                <w:tcPr/>
                <w:p>
                  <w:pPr>
                    <w:pStyle w:val="Compact"/>
                    <w:jc w:val="right"/>
                    <w:jc w:val="center"/>
                  </w:pPr>
                  <w:r>
                    <w:t xml:space="preserve">37</w:t>
                  </w:r>
                </w:p>
              </w:tc>
              <w:tc>
                <w:tcPr/>
                <w:p>
                  <w:pPr>
                    <w:pStyle w:val="Compact"/>
                    <w:jc w:val="left"/>
                    <w:jc w:val="center"/>
                  </w:pPr>
                  <w:r>
                    <w:t xml:space="preserve">9.4%</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Croxall &amp; Prince (1980)</w:t>
                  </w:r>
                  <w:r>
                    <w:t xml:space="preserve">;</w:t>
                  </w:r>
                  <w:r>
                    <w:t xml:space="preserve"> </w:t>
                  </w:r>
                  <w:r>
                    <w:t xml:space="preserve">Ainley et al. (1992)</w:t>
                  </w:r>
                </w:p>
              </w:tc>
            </w:tr>
            <w:tr>
              <w:tc>
                <w:tcPr/>
                <w:p>
                  <w:pPr>
                    <w:pStyle w:val="Compact"/>
                    <w:jc w:val="left"/>
                    <w:jc w:val="center"/>
                  </w:pPr>
                  <w:r>
                    <w:t xml:space="preserve">Pale-faced sheathbill</w:t>
                  </w:r>
                  <w:r>
                    <w:t xml:space="preserve"> </w:t>
                  </w:r>
                  <w:r>
                    <w:rPr>
                      <w:i/>
                      <w:iCs/>
                    </w:rPr>
                    <w:t xml:space="preserve">Chionis albus</w:t>
                  </w:r>
                </w:p>
              </w:tc>
              <w:tc>
                <w:tcPr/>
                <w:p>
                  <w:pPr>
                    <w:pStyle w:val="Compact"/>
                    <w:jc w:val="right"/>
                    <w:jc w:val="center"/>
                  </w:pPr>
                  <w:r>
                    <w:t xml:space="preserve">31</w:t>
                  </w:r>
                </w:p>
              </w:tc>
              <w:tc>
                <w:tcPr/>
                <w:p>
                  <w:pPr>
                    <w:pStyle w:val="Compact"/>
                    <w:jc w:val="right"/>
                    <w:jc w:val="center"/>
                  </w:pPr>
                  <w:r>
                    <w:t xml:space="preserve">25</w:t>
                  </w:r>
                </w:p>
              </w:tc>
              <w:tc>
                <w:tcPr/>
                <w:p>
                  <w:pPr>
                    <w:pStyle w:val="Compact"/>
                    <w:jc w:val="left"/>
                    <w:jc w:val="center"/>
                  </w:pPr>
                  <w:r>
                    <w:t xml:space="preserve">6.3%</w:t>
                  </w:r>
                </w:p>
              </w:tc>
              <w:tc>
                <w:tcPr/>
                <w:p>
                  <w:pPr>
                    <w:pStyle w:val="Compact"/>
                    <w:jc w:val="left"/>
                    <w:jc w:val="center"/>
                  </w:pPr>
                  <w:r>
                    <w:t xml:space="preserve">Carrion</w:t>
                  </w:r>
                </w:p>
              </w:tc>
              <w:tc>
                <w:tcPr/>
                <w:p>
                  <w:pPr>
                    <w:pStyle w:val="Compact"/>
                    <w:jc w:val="left"/>
                    <w:jc w:val="center"/>
                  </w:pPr>
                  <w:r>
                    <w:t xml:space="preserve">Scavenging</w:t>
                  </w:r>
                </w:p>
              </w:tc>
              <w:tc>
                <w:tcPr/>
                <w:p>
                  <w:pPr>
                    <w:pStyle w:val="Compact"/>
                    <w:jc w:val="left"/>
                    <w:jc w:val="center"/>
                  </w:pPr>
                  <w:r>
                    <w:t xml:space="preserve">Favero (1996)</w:t>
                  </w:r>
                </w:p>
              </w:tc>
            </w:tr>
            <w:tr>
              <w:tc>
                <w:tcPr/>
                <w:p>
                  <w:pPr>
                    <w:pStyle w:val="Compact"/>
                    <w:jc w:val="left"/>
                    <w:jc w:val="center"/>
                  </w:pPr>
                  <w:r>
                    <w:t xml:space="preserve">Minke whale</w:t>
                  </w:r>
                  <w:r>
                    <w:t xml:space="preserve"> </w:t>
                  </w:r>
                  <w:r>
                    <w:rPr>
                      <w:i/>
                      <w:iCs/>
                    </w:rPr>
                    <w:t xml:space="preserve">Balaenoptera bonaerensis</w:t>
                  </w:r>
                </w:p>
              </w:tc>
              <w:tc>
                <w:tcPr/>
                <w:p>
                  <w:pPr>
                    <w:pStyle w:val="Compact"/>
                    <w:jc w:val="right"/>
                    <w:jc w:val="center"/>
                  </w:pPr>
                  <w:r>
                    <w:t xml:space="preserve">43</w:t>
                  </w:r>
                </w:p>
              </w:tc>
              <w:tc>
                <w:tcPr/>
                <w:p>
                  <w:pPr>
                    <w:pStyle w:val="Compact"/>
                    <w:jc w:val="right"/>
                    <w:jc w:val="center"/>
                  </w:pPr>
                  <w:r>
                    <w:t xml:space="preserve">17</w:t>
                  </w:r>
                </w:p>
              </w:tc>
              <w:tc>
                <w:tcPr/>
                <w:p>
                  <w:pPr>
                    <w:pStyle w:val="Compact"/>
                    <w:jc w:val="left"/>
                    <w:jc w:val="center"/>
                  </w:pPr>
                  <w:r>
                    <w:t xml:space="preserve">4.3%</w:t>
                  </w:r>
                </w:p>
              </w:tc>
              <w:tc>
                <w:tcPr/>
                <w:p>
                  <w:pPr>
                    <w:pStyle w:val="Compact"/>
                    <w:jc w:val="left"/>
                    <w:jc w:val="center"/>
                  </w:pPr>
                  <w:r>
                    <w:t xml:space="preserve">Krill</w:t>
                  </w:r>
                </w:p>
              </w:tc>
              <w:tc>
                <w:tcPr/>
                <w:p>
                  <w:pPr>
                    <w:pStyle w:val="Compact"/>
                    <w:jc w:val="left"/>
                    <w:jc w:val="center"/>
                  </w:pPr>
                  <w:r>
                    <w:t xml:space="preserve">Diving (~5-100 m)</w:t>
                  </w:r>
                </w:p>
              </w:tc>
              <w:tc>
                <w:tcPr/>
                <w:p>
                  <w:pPr>
                    <w:pStyle w:val="Compact"/>
                    <w:jc w:val="left"/>
                    <w:jc w:val="center"/>
                  </w:pPr>
                  <w:r>
                    <w:t xml:space="preserve">Friedlaender et al. (2014)</w:t>
                  </w:r>
                </w:p>
              </w:tc>
            </w:tr>
            <w:tr>
              <w:tc>
                <w:tcPr/>
                <w:p>
                  <w:pPr>
                    <w:pStyle w:val="Compact"/>
                    <w:jc w:val="left"/>
                    <w:jc w:val="center"/>
                  </w:pPr>
                  <w:r>
                    <w:t xml:space="preserve">Weddell seal</w:t>
                  </w:r>
                  <w:r>
                    <w:t xml:space="preserve"> </w:t>
                  </w:r>
                  <w:r>
                    <w:rPr>
                      <w:i/>
                      <w:iCs/>
                    </w:rPr>
                    <w:t xml:space="preserve">Leptonychotes weddellii</w:t>
                  </w:r>
                </w:p>
              </w:tc>
              <w:tc>
                <w:tcPr/>
                <w:p>
                  <w:pPr>
                    <w:pStyle w:val="Compact"/>
                    <w:jc w:val="right"/>
                    <w:jc w:val="center"/>
                  </w:pPr>
                  <w:r>
                    <w:t xml:space="preserve">19</w:t>
                  </w:r>
                </w:p>
              </w:tc>
              <w:tc>
                <w:tcPr/>
                <w:p>
                  <w:pPr>
                    <w:pStyle w:val="Compact"/>
                    <w:jc w:val="right"/>
                    <w:jc w:val="center"/>
                  </w:pPr>
                  <w:r>
                    <w:t xml:space="preserve">16</w:t>
                  </w:r>
                </w:p>
              </w:tc>
              <w:tc>
                <w:tcPr/>
                <w:p>
                  <w:pPr>
                    <w:pStyle w:val="Compact"/>
                    <w:jc w:val="left"/>
                    <w:jc w:val="center"/>
                  </w:pPr>
                  <w:r>
                    <w:t xml:space="preserve">4.1%</w:t>
                  </w:r>
                </w:p>
              </w:tc>
              <w:tc>
                <w:tcPr/>
                <w:p>
                  <w:pPr>
                    <w:pStyle w:val="Compact"/>
                    <w:jc w:val="left"/>
                    <w:jc w:val="center"/>
                  </w:pPr>
                  <w:r>
                    <w:t xml:space="preserve">Fish, squid</w:t>
                  </w:r>
                </w:p>
              </w:tc>
              <w:tc>
                <w:tcPr/>
                <w:p>
                  <w:pPr>
                    <w:pStyle w:val="Compact"/>
                    <w:jc w:val="left"/>
                    <w:jc w:val="center"/>
                  </w:pPr>
                  <w:r>
                    <w:t xml:space="preserve">Diving (~100-350 m)</w:t>
                  </w:r>
                </w:p>
              </w:tc>
              <w:tc>
                <w:tcPr/>
                <w:p>
                  <w:pPr>
                    <w:pStyle w:val="Compact"/>
                    <w:jc w:val="left"/>
                    <w:jc w:val="center"/>
                  </w:pPr>
                  <w:r>
                    <w:t xml:space="preserve">Testa (1994)</w:t>
                  </w:r>
                  <w:r>
                    <w:t xml:space="preserve">;</w:t>
                  </w:r>
                  <w:r>
                    <w:t xml:space="preserve"> </w:t>
                  </w:r>
                  <w:r>
                    <w:t xml:space="preserve">Lake et al. (2003)</w:t>
                  </w:r>
                </w:p>
              </w:tc>
            </w:tr>
            <w:tr>
              <w:tc>
                <w:tcPr/>
                <w:p>
                  <w:pPr>
                    <w:pStyle w:val="Compact"/>
                    <w:jc w:val="left"/>
                    <w:jc w:val="center"/>
                  </w:pPr>
                  <w:r>
                    <w:t xml:space="preserve">Gentoo penguin</w:t>
                  </w:r>
                  <w:r>
                    <w:t xml:space="preserve"> </w:t>
                  </w:r>
                  <w:r>
                    <w:rPr>
                      <w:i/>
                      <w:iCs/>
                    </w:rPr>
                    <w:t xml:space="preserve">Pygoscelis papua</w:t>
                  </w:r>
                </w:p>
              </w:tc>
              <w:tc>
                <w:tcPr/>
                <w:p>
                  <w:pPr>
                    <w:pStyle w:val="Compact"/>
                    <w:jc w:val="right"/>
                    <w:jc w:val="center"/>
                  </w:pPr>
                  <w:r>
                    <w:t xml:space="preserve">142</w:t>
                  </w:r>
                </w:p>
              </w:tc>
              <w:tc>
                <w:tcPr/>
                <w:p>
                  <w:pPr>
                    <w:pStyle w:val="Compact"/>
                    <w:jc w:val="right"/>
                    <w:jc w:val="center"/>
                  </w:pPr>
                  <w:r>
                    <w:t xml:space="preserve">12</w:t>
                  </w:r>
                </w:p>
              </w:tc>
              <w:tc>
                <w:tcPr/>
                <w:p>
                  <w:pPr>
                    <w:pStyle w:val="Compact"/>
                    <w:jc w:val="left"/>
                    <w:jc w:val="center"/>
                  </w:pPr>
                  <w:r>
                    <w:t xml:space="preserve">3.0%</w:t>
                  </w:r>
                </w:p>
              </w:tc>
              <w:tc>
                <w:tcPr/>
                <w:p>
                  <w:pPr>
                    <w:pStyle w:val="Compact"/>
                    <w:jc w:val="left"/>
                    <w:jc w:val="center"/>
                  </w:pPr>
                  <w:r>
                    <w:t xml:space="preserve">Krill, fish</w:t>
                  </w:r>
                </w:p>
              </w:tc>
              <w:tc>
                <w:tcPr/>
                <w:p>
                  <w:pPr>
                    <w:pStyle w:val="Compact"/>
                    <w:jc w:val="left"/>
                    <w:jc w:val="center"/>
                  </w:pPr>
                  <w:r>
                    <w:t xml:space="preserve">Diving (~25-100 m)</w:t>
                  </w:r>
                </w:p>
              </w:tc>
              <w:tc>
                <w:tcPr/>
                <w:p>
                  <w:pPr>
                    <w:pStyle w:val="Compact"/>
                    <w:jc w:val="left"/>
                    <w:jc w:val="center"/>
                  </w:pPr>
                  <w:r>
                    <w:t xml:space="preserve">Croxall &amp; Prince (1980)</w:t>
                  </w:r>
                  <w:r>
                    <w:t xml:space="preserve">;</w:t>
                  </w:r>
                  <w:r>
                    <w:t xml:space="preserve"> </w:t>
                  </w:r>
                  <w:r>
                    <w:t xml:space="preserve">Cimino et al. (2016)</w:t>
                  </w:r>
                </w:p>
              </w:tc>
            </w:tr>
            <w:tr>
              <w:tc>
                <w:tcPr/>
                <w:p>
                  <w:pPr>
                    <w:pStyle w:val="Compact"/>
                    <w:jc w:val="left"/>
                    <w:jc w:val="center"/>
                  </w:pPr>
                  <w:r>
                    <w:t xml:space="preserve">Elephant seal</w:t>
                  </w:r>
                  <w:r>
                    <w:t xml:space="preserve"> </w:t>
                  </w:r>
                  <w:r>
                    <w:rPr>
                      <w:i/>
                      <w:iCs/>
                    </w:rPr>
                    <w:t xml:space="preserve">Mirounga leonina</w:t>
                  </w:r>
                </w:p>
              </w:tc>
              <w:tc>
                <w:tcPr/>
                <w:p>
                  <w:pPr>
                    <w:pStyle w:val="Compact"/>
                    <w:jc w:val="right"/>
                    <w:jc w:val="center"/>
                  </w:pPr>
                  <w:r>
                    <w:t xml:space="preserve">17</w:t>
                  </w:r>
                </w:p>
              </w:tc>
              <w:tc>
                <w:tcPr/>
                <w:p>
                  <w:pPr>
                    <w:pStyle w:val="Compact"/>
                    <w:jc w:val="right"/>
                    <w:jc w:val="center"/>
                  </w:pPr>
                  <w:r>
                    <w:t xml:space="preserve">11</w:t>
                  </w:r>
                </w:p>
              </w:tc>
              <w:tc>
                <w:tcPr/>
                <w:p>
                  <w:pPr>
                    <w:pStyle w:val="Compact"/>
                    <w:jc w:val="left"/>
                    <w:jc w:val="center"/>
                  </w:pPr>
                  <w:r>
                    <w:t xml:space="preserve">2.8%</w:t>
                  </w:r>
                </w:p>
              </w:tc>
              <w:tc>
                <w:tcPr/>
                <w:p>
                  <w:pPr>
                    <w:pStyle w:val="Compact"/>
                    <w:jc w:val="left"/>
                    <w:jc w:val="center"/>
                  </w:pPr>
                  <w:r>
                    <w:t xml:space="preserve">Myctophids, squid</w:t>
                  </w:r>
                </w:p>
              </w:tc>
              <w:tc>
                <w:tcPr/>
                <w:p>
                  <w:pPr>
                    <w:pStyle w:val="Compact"/>
                    <w:jc w:val="left"/>
                    <w:jc w:val="center"/>
                  </w:pPr>
                  <w:r>
                    <w:t xml:space="preserve">Diving (~200-800 m)</w:t>
                  </w:r>
                </w:p>
              </w:tc>
              <w:tc>
                <w:tcPr/>
                <w:p>
                  <w:pPr>
                    <w:pStyle w:val="Compact"/>
                    <w:jc w:val="left"/>
                    <w:jc w:val="center"/>
                  </w:pPr>
                  <w:r>
                    <w:t xml:space="preserve">Guinet et al. (2014)</w:t>
                  </w:r>
                  <w:r>
                    <w:t xml:space="preserve">;</w:t>
                  </w:r>
                  <w:r>
                    <w:t xml:space="preserve"> </w:t>
                  </w:r>
                  <w:r>
                    <w:t xml:space="preserve">Daneri et al. (2015)</w:t>
                  </w:r>
                </w:p>
              </w:tc>
            </w:tr>
            <w:tr>
              <w:tc>
                <w:tcPr/>
                <w:p>
                  <w:pPr>
                    <w:pStyle w:val="Compact"/>
                    <w:jc w:val="left"/>
                    <w:jc w:val="center"/>
                  </w:pPr>
                  <w:r>
                    <w:t xml:space="preserve">Killer whale</w:t>
                  </w:r>
                  <w:r>
                    <w:t xml:space="preserve"> </w:t>
                  </w:r>
                  <w:r>
                    <w:rPr>
                      <w:i/>
                      <w:iCs/>
                    </w:rPr>
                    <w:t xml:space="preserve">Orcinus orca</w:t>
                  </w:r>
                </w:p>
              </w:tc>
              <w:tc>
                <w:tcPr/>
                <w:p>
                  <w:pPr>
                    <w:pStyle w:val="Compact"/>
                    <w:jc w:val="right"/>
                    <w:jc w:val="center"/>
                  </w:pPr>
                  <w:r>
                    <w:t xml:space="preserve">48</w:t>
                  </w:r>
                </w:p>
              </w:tc>
              <w:tc>
                <w:tcPr/>
                <w:p>
                  <w:pPr>
                    <w:pStyle w:val="Compact"/>
                    <w:jc w:val="right"/>
                    <w:jc w:val="center"/>
                  </w:pPr>
                  <w:r>
                    <w:t xml:space="preserve">5</w:t>
                  </w:r>
                </w:p>
              </w:tc>
              <w:tc>
                <w:tcPr/>
                <w:p>
                  <w:pPr>
                    <w:pStyle w:val="Compact"/>
                    <w:jc w:val="left"/>
                    <w:jc w:val="center"/>
                  </w:pPr>
                  <w:r>
                    <w:t xml:space="preserve">1.3%</w:t>
                  </w:r>
                </w:p>
              </w:tc>
              <w:tc>
                <w:tcPr/>
                <w:p>
                  <w:pPr>
                    <w:pStyle w:val="Compact"/>
                    <w:jc w:val="left"/>
                    <w:jc w:val="center"/>
                  </w:pPr>
                  <w:r>
                    <w:t xml:space="preserve">Whales, seals, toothfish, penguins</w:t>
                  </w:r>
                </w:p>
              </w:tc>
              <w:tc>
                <w:tcPr/>
                <w:p>
                  <w:pPr>
                    <w:pStyle w:val="Compact"/>
                    <w:jc w:val="left"/>
                    <w:jc w:val="center"/>
                  </w:pPr>
                  <w:r>
                    <w:t xml:space="preserve">Complex and diverse</w:t>
                  </w:r>
                </w:p>
              </w:tc>
              <w:tc>
                <w:tcPr/>
                <w:p>
                  <w:pPr>
                    <w:pStyle w:val="Compact"/>
                    <w:jc w:val="left"/>
                    <w:jc w:val="center"/>
                  </w:pPr>
                  <w:r>
                    <w:t xml:space="preserve">Pitman &amp; Ensor (2003)</w:t>
                  </w:r>
                </w:p>
              </w:tc>
            </w:tr>
            <w:tr>
              <w:tc>
                <w:tcPr/>
                <w:p>
                  <w:pPr>
                    <w:pStyle w:val="Compact"/>
                    <w:jc w:val="left"/>
                    <w:jc w:val="center"/>
                  </w:pPr>
                  <w:r>
                    <w:t xml:space="preserve">Bottlenose whale</w:t>
                  </w:r>
                  <w:r>
                    <w:t xml:space="preserve"> </w:t>
                  </w:r>
                  <w:r>
                    <w:rPr>
                      <w:i/>
                      <w:iCs/>
                    </w:rPr>
                    <w:t xml:space="preserve">Hyperoodon planifrons</w:t>
                  </w:r>
                </w:p>
              </w:tc>
              <w:tc>
                <w:tcPr/>
                <w:p>
                  <w:pPr>
                    <w:pStyle w:val="Compact"/>
                    <w:jc w:val="right"/>
                    <w:jc w:val="center"/>
                  </w:pPr>
                  <w:r>
                    <w:t xml:space="preserve">5</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Squid</w:t>
                  </w:r>
                </w:p>
              </w:tc>
              <w:tc>
                <w:tcPr/>
                <w:p>
                  <w:pPr>
                    <w:pStyle w:val="Compact"/>
                    <w:jc w:val="left"/>
                    <w:jc w:val="center"/>
                  </w:pPr>
                  <w:r>
                    <w:t xml:space="preserve">Diving (&gt;500 m)</w:t>
                  </w:r>
                </w:p>
              </w:tc>
              <w:tc>
                <w:tcPr/>
                <w:p>
                  <w:pPr>
                    <w:pStyle w:val="Compact"/>
                    <w:jc w:val="left"/>
                    <w:jc w:val="center"/>
                  </w:pPr>
                  <w:r>
                    <w:t xml:space="preserve">MacLeod et al. (2003)</w:t>
                  </w:r>
                </w:p>
              </w:tc>
            </w:tr>
            <w:tr>
              <w:tc>
                <w:tcPr/>
                <w:p>
                  <w:pPr>
                    <w:pStyle w:val="Compact"/>
                    <w:jc w:val="left"/>
                    <w:jc w:val="center"/>
                  </w:pPr>
                  <w:r>
                    <w:t xml:space="preserve">Emperor penguin</w:t>
                  </w:r>
                  <w:r>
                    <w:t xml:space="preserve"> </w:t>
                  </w:r>
                  <w:r>
                    <w:rPr>
                      <w:i/>
                      <w:iCs/>
                    </w:rPr>
                    <w:t xml:space="preserve">Aptenodytes forsteri</w:t>
                  </w:r>
                </w:p>
              </w:tc>
              <w:tc>
                <w:tcPr/>
                <w:p>
                  <w:pPr>
                    <w:pStyle w:val="Compact"/>
                    <w:jc w:val="right"/>
                    <w:jc w:val="center"/>
                  </w:pPr>
                  <w:r>
                    <w:t xml:space="preserve">4</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Krill, silverfish</w:t>
                  </w:r>
                </w:p>
              </w:tc>
              <w:tc>
                <w:tcPr/>
                <w:p>
                  <w:pPr>
                    <w:pStyle w:val="Compact"/>
                    <w:jc w:val="left"/>
                    <w:jc w:val="center"/>
                  </w:pPr>
                  <w:r>
                    <w:t xml:space="preserve">Diving (~50-300 m)</w:t>
                  </w:r>
                </w:p>
              </w:tc>
              <w:tc>
                <w:tcPr/>
                <w:p>
                  <w:pPr>
                    <w:pStyle w:val="Compact"/>
                    <w:jc w:val="left"/>
                    <w:jc w:val="center"/>
                  </w:pPr>
                  <w:r>
                    <w:t xml:space="preserve">Kirkwood &amp; Robertson (1997)</w:t>
                  </w:r>
                  <w:r>
                    <w:t xml:space="preserve">;</w:t>
                  </w:r>
                  <w:r>
                    <w:t xml:space="preserve"> </w:t>
                  </w:r>
                  <w:r>
                    <w:t xml:space="preserve">Rodary et al. (2000)</w:t>
                  </w:r>
                </w:p>
              </w:tc>
            </w:tr>
            <w:tr>
              <w:tc>
                <w:tcPr/>
                <w:p>
                  <w:pPr>
                    <w:pStyle w:val="Compact"/>
                    <w:jc w:val="left"/>
                    <w:jc w:val="center"/>
                  </w:pPr>
                  <w:r>
                    <w:t xml:space="preserve">Antarctic shag</w:t>
                  </w:r>
                  <w:r>
                    <w:t xml:space="preserve"> </w:t>
                  </w:r>
                  <w:r>
                    <w:rPr>
                      <w:i/>
                      <w:iCs/>
                    </w:rPr>
                    <w:t xml:space="preserve">Leucocarbo bransfieldensis</w:t>
                  </w:r>
                </w:p>
              </w:tc>
              <w:tc>
                <w:tcPr/>
                <w:p>
                  <w:pPr>
                    <w:pStyle w:val="Compact"/>
                    <w:jc w:val="right"/>
                    <w:jc w:val="center"/>
                  </w:pPr>
                  <w:r>
                    <w:t xml:space="preserve">89</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Demersal fish</w:t>
                  </w:r>
                </w:p>
              </w:tc>
              <w:tc>
                <w:tcPr/>
                <w:p>
                  <w:pPr>
                    <w:pStyle w:val="Compact"/>
                    <w:jc w:val="left"/>
                    <w:jc w:val="center"/>
                  </w:pPr>
                  <w:r>
                    <w:t xml:space="preserve">Diving (&lt;50 m)</w:t>
                  </w:r>
                </w:p>
              </w:tc>
              <w:tc>
                <w:tcPr/>
                <w:p>
                  <w:pPr>
                    <w:pStyle w:val="Compact"/>
                    <w:jc w:val="left"/>
                    <w:jc w:val="center"/>
                  </w:pPr>
                  <w:r>
                    <w:t xml:space="preserve">Casaux &amp; Barrera-Oro (2006)</w:t>
                  </w:r>
                </w:p>
              </w:tc>
            </w:tr>
            <w:tr>
              <w:tc>
                <w:tcPr/>
                <w:p>
                  <w:pPr>
                    <w:pStyle w:val="Compact"/>
                    <w:jc w:val="left"/>
                    <w:jc w:val="center"/>
                  </w:pPr>
                  <w:r>
                    <w:t xml:space="preserve">Ross seal</w:t>
                  </w:r>
                  <w:r>
                    <w:t xml:space="preserve"> </w:t>
                  </w:r>
                  <w:r>
                    <w:rPr>
                      <w:i/>
                      <w:iCs/>
                    </w:rPr>
                    <w:t xml:space="preserve">Ommatophoca rossii</w:t>
                  </w:r>
                </w:p>
              </w:tc>
              <w:tc>
                <w:tcPr/>
                <w:p>
                  <w:pPr>
                    <w:pStyle w:val="Compact"/>
                    <w:jc w:val="right"/>
                    <w:jc w:val="center"/>
                  </w:pPr>
                  <w:r>
                    <w:t xml:space="preserve">1</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Myctophids, squid</w:t>
                  </w:r>
                </w:p>
              </w:tc>
              <w:tc>
                <w:tcPr/>
                <w:p>
                  <w:pPr>
                    <w:pStyle w:val="Compact"/>
                    <w:jc w:val="left"/>
                    <w:jc w:val="center"/>
                  </w:pPr>
                  <w:r>
                    <w:t xml:space="preserve">Diving (~100-300 m)</w:t>
                  </w:r>
                </w:p>
              </w:tc>
              <w:tc>
                <w:tcPr/>
                <w:p>
                  <w:pPr>
                    <w:pStyle w:val="Compact"/>
                    <w:jc w:val="left"/>
                    <w:jc w:val="center"/>
                  </w:pPr>
                  <w:r>
                    <w:t xml:space="preserve">Blix &amp; Nordøy (2007)</w:t>
                  </w:r>
                  <w:r>
                    <w:t xml:space="preserve">;</w:t>
                  </w:r>
                  <w:r>
                    <w:t xml:space="preserve"> </w:t>
                  </w:r>
                  <w:r>
                    <w:t xml:space="preserve">Southwell et al. (2012)</w:t>
                  </w:r>
                </w:p>
              </w:tc>
            </w:tr>
          </w:tbl>
          <w:bookmarkEnd w:id="36"/>
          <w:p/>
        </w:tc>
      </w:tr>
    </w:tbl>
    <w:p>
      <w:r>
        <w:br w:type="page"/>
      </w:r>
    </w:p>
    <w:p>
      <w:pPr>
        <w:pStyle w:val="BodyText"/>
      </w:pPr>
      <w:r>
        <w:t xml:space="preserve">Note: the repeated cells in the first column of</w:t>
      </w:r>
      <w:r>
        <w:t xml:space="preserve"> </w:t>
      </w:r>
      <w:hyperlink w:anchor="tbl-indicators">
        <w:r>
          <w:rPr>
            <w:rStyle w:val="Hyperlink"/>
          </w:rPr>
          <w:t xml:space="preserve">Table 3</w:t>
        </w:r>
      </w:hyperlink>
      <w:r>
        <w:t xml:space="preserve"> </w:t>
      </w:r>
      <w:r>
        <w:t xml:space="preserve">must be merged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7" w:name="tbl-indicators"/>
          <w:p>
            <w:pPr>
              <w:jc w:val="center"/>
            </w:pPr>
            <w:pPr>
              <w:jc w:val="start"/>
              <w:spacing w:before="200"/>
              <w:pStyle w:val="ImageCaption"/>
            </w:pPr>
            <w:r>
              <w:t xml:space="preserve">Table 3: Indicator species for each predator cluster. Indicator values are the product of relative frequency and relative abundance, ranging from 0 to 1. Only species with indicator values ≥0.25 are shown for each cluster. See Methods for details.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Predator cluster</w:t>
                  </w:r>
                </w:p>
              </w:tc>
              <w:tc>
                <w:tcPr/>
                <w:p>
                  <w:pPr>
                    <w:pStyle w:val="Compact"/>
                    <w:jc w:val="left"/>
                    <w:jc w:val="center"/>
                  </w:pPr>
                  <w:r>
                    <w:t xml:space="preserve">Indicator species</w:t>
                  </w:r>
                </w:p>
              </w:tc>
              <w:tc>
                <w:tcPr/>
                <w:p>
                  <w:pPr>
                    <w:pStyle w:val="Compact"/>
                    <w:jc w:val="right"/>
                    <w:jc w:val="center"/>
                  </w:pPr>
                  <w:r>
                    <w:t xml:space="preserve">Indicator value</w:t>
                  </w:r>
                </w:p>
              </w:tc>
            </w:tr>
            <w:tr>
              <w:tc>
                <w:tcPr/>
                <w:p>
                  <w:pPr>
                    <w:pStyle w:val="Compact"/>
                    <w:jc w:val="left"/>
                    <w:jc w:val="center"/>
                  </w:pPr>
                  <w:r>
                    <w:t xml:space="preserve">Marginal ice</w:t>
                  </w:r>
                </w:p>
              </w:tc>
              <w:tc>
                <w:tcPr/>
                <w:p>
                  <w:pPr>
                    <w:pStyle w:val="Compact"/>
                    <w:jc w:val="left"/>
                    <w:jc w:val="center"/>
                  </w:pPr>
                  <w:r>
                    <w:t xml:space="preserve">Antarctic fur seal</w:t>
                  </w:r>
                </w:p>
              </w:tc>
              <w:tc>
                <w:tcPr/>
                <w:p>
                  <w:pPr>
                    <w:pStyle w:val="Compact"/>
                    <w:jc w:val="right"/>
                    <w:jc w:val="center"/>
                  </w:pPr>
                  <w:r>
                    <w:t xml:space="preserve">0.84</w:t>
                  </w:r>
                </w:p>
              </w:tc>
            </w:tr>
            <w:tr>
              <w:tc>
                <w:tcPr/>
                <w:p>
                  <w:pPr>
                    <w:pStyle w:val="Compact"/>
                    <w:jc w:val="left"/>
                    <w:jc w:val="center"/>
                  </w:pPr>
                  <w:r>
                    <w:t xml:space="preserve">Marginal ice</w:t>
                  </w:r>
                </w:p>
              </w:tc>
              <w:tc>
                <w:tcPr/>
                <w:p>
                  <w:pPr>
                    <w:pStyle w:val="Compact"/>
                    <w:jc w:val="left"/>
                    <w:jc w:val="center"/>
                  </w:pPr>
                  <w:r>
                    <w:t xml:space="preserve">Snow petrel</w:t>
                  </w:r>
                </w:p>
              </w:tc>
              <w:tc>
                <w:tcPr/>
                <w:p>
                  <w:pPr>
                    <w:pStyle w:val="Compact"/>
                    <w:jc w:val="right"/>
                    <w:jc w:val="center"/>
                  </w:pPr>
                  <w:r>
                    <w:t xml:space="preserve">0.48</w:t>
                  </w:r>
                </w:p>
              </w:tc>
            </w:tr>
            <w:tr>
              <w:tc>
                <w:tcPr/>
                <w:p>
                  <w:pPr>
                    <w:pStyle w:val="Compact"/>
                    <w:jc w:val="left"/>
                    <w:jc w:val="center"/>
                  </w:pPr>
                  <w:r>
                    <w:t xml:space="preserve">Marginal ice</w:t>
                  </w:r>
                </w:p>
              </w:tc>
              <w:tc>
                <w:tcPr/>
                <w:p>
                  <w:pPr>
                    <w:pStyle w:val="Compact"/>
                    <w:jc w:val="left"/>
                    <w:jc w:val="center"/>
                  </w:pPr>
                  <w:r>
                    <w:t xml:space="preserve">Kelp gull</w:t>
                  </w:r>
                </w:p>
              </w:tc>
              <w:tc>
                <w:tcPr/>
                <w:p>
                  <w:pPr>
                    <w:pStyle w:val="Compact"/>
                    <w:jc w:val="right"/>
                    <w:jc w:val="center"/>
                  </w:pPr>
                  <w:r>
                    <w:t xml:space="preserve">0.37</w:t>
                  </w:r>
                </w:p>
              </w:tc>
            </w:tr>
            <w:tr>
              <w:tc>
                <w:tcPr/>
                <w:p>
                  <w:pPr>
                    <w:pStyle w:val="Compact"/>
                    <w:jc w:val="left"/>
                    <w:jc w:val="center"/>
                  </w:pPr>
                  <w:r>
                    <w:t xml:space="preserve">Marginal ice</w:t>
                  </w:r>
                </w:p>
              </w:tc>
              <w:tc>
                <w:tcPr/>
                <w:p>
                  <w:pPr>
                    <w:pStyle w:val="Compact"/>
                    <w:jc w:val="left"/>
                    <w:jc w:val="center"/>
                  </w:pPr>
                  <w:r>
                    <w:t xml:space="preserve">Southern giant petrel</w:t>
                  </w:r>
                </w:p>
              </w:tc>
              <w:tc>
                <w:tcPr/>
                <w:p>
                  <w:pPr>
                    <w:pStyle w:val="Compact"/>
                    <w:jc w:val="right"/>
                    <w:jc w:val="center"/>
                  </w:pPr>
                  <w:r>
                    <w:t xml:space="preserve">0.36</w:t>
                  </w:r>
                </w:p>
              </w:tc>
            </w:tr>
            <w:tr>
              <w:tc>
                <w:tcPr/>
                <w:p>
                  <w:pPr>
                    <w:pStyle w:val="Compact"/>
                    <w:jc w:val="left"/>
                    <w:jc w:val="center"/>
                  </w:pPr>
                  <w:r>
                    <w:t xml:space="preserve">Marginal ice</w:t>
                  </w:r>
                </w:p>
              </w:tc>
              <w:tc>
                <w:tcPr/>
                <w:p>
                  <w:pPr>
                    <w:pStyle w:val="Compact"/>
                    <w:jc w:val="left"/>
                    <w:jc w:val="center"/>
                  </w:pPr>
                  <w:r>
                    <w:t xml:space="preserve">Antarctic tern</w:t>
                  </w:r>
                </w:p>
              </w:tc>
              <w:tc>
                <w:tcPr/>
                <w:p>
                  <w:pPr>
                    <w:pStyle w:val="Compact"/>
                    <w:jc w:val="right"/>
                    <w:jc w:val="center"/>
                  </w:pPr>
                  <w:r>
                    <w:t xml:space="preserve">0.32</w:t>
                  </w:r>
                </w:p>
              </w:tc>
            </w:tr>
            <w:tr>
              <w:tc>
                <w:tcPr/>
                <w:p>
                  <w:pPr>
                    <w:pStyle w:val="Compact"/>
                    <w:jc w:val="left"/>
                    <w:jc w:val="center"/>
                  </w:pPr>
                  <w:r>
                    <w:t xml:space="preserve">Marginal ice</w:t>
                  </w:r>
                </w:p>
              </w:tc>
              <w:tc>
                <w:tcPr/>
                <w:p>
                  <w:pPr>
                    <w:pStyle w:val="Compact"/>
                    <w:jc w:val="left"/>
                    <w:jc w:val="center"/>
                  </w:pPr>
                  <w:r>
                    <w:t xml:space="preserve">Antarctic petrel</w:t>
                  </w:r>
                </w:p>
              </w:tc>
              <w:tc>
                <w:tcPr/>
                <w:p>
                  <w:pPr>
                    <w:pStyle w:val="Compact"/>
                    <w:jc w:val="right"/>
                    <w:jc w:val="center"/>
                  </w:pPr>
                  <w:r>
                    <w:t xml:space="preserve">0.29</w:t>
                  </w:r>
                </w:p>
              </w:tc>
            </w:tr>
            <w:tr>
              <w:tc>
                <w:tcPr/>
                <w:p>
                  <w:pPr>
                    <w:pStyle w:val="Compact"/>
                    <w:jc w:val="left"/>
                    <w:jc w:val="center"/>
                  </w:pPr>
                  <w:r>
                    <w:t xml:space="preserve">Open water</w:t>
                  </w:r>
                </w:p>
              </w:tc>
              <w:tc>
                <w:tcPr/>
                <w:p>
                  <w:pPr>
                    <w:pStyle w:val="Compact"/>
                    <w:jc w:val="left"/>
                    <w:jc w:val="center"/>
                  </w:pPr>
                  <w:r>
                    <w:t xml:space="preserve">Southern fulmar</w:t>
                  </w:r>
                </w:p>
              </w:tc>
              <w:tc>
                <w:tcPr/>
                <w:p>
                  <w:pPr>
                    <w:pStyle w:val="Compact"/>
                    <w:jc w:val="right"/>
                    <w:jc w:val="center"/>
                  </w:pPr>
                  <w:r>
                    <w:t xml:space="preserve">0.42</w:t>
                  </w:r>
                </w:p>
              </w:tc>
            </w:tr>
            <w:tr>
              <w:tc>
                <w:tcPr/>
                <w:p>
                  <w:pPr>
                    <w:pStyle w:val="Compact"/>
                    <w:jc w:val="left"/>
                    <w:jc w:val="center"/>
                  </w:pPr>
                  <w:r>
                    <w:t xml:space="preserve">Open water</w:t>
                  </w:r>
                </w:p>
              </w:tc>
              <w:tc>
                <w:tcPr/>
                <w:p>
                  <w:pPr>
                    <w:pStyle w:val="Compact"/>
                    <w:jc w:val="left"/>
                    <w:jc w:val="center"/>
                  </w:pPr>
                  <w:r>
                    <w:t xml:space="preserve">Antarctic petrel</w:t>
                  </w:r>
                </w:p>
              </w:tc>
              <w:tc>
                <w:tcPr/>
                <w:p>
                  <w:pPr>
                    <w:pStyle w:val="Compact"/>
                    <w:jc w:val="right"/>
                    <w:jc w:val="center"/>
                  </w:pPr>
                  <w:r>
                    <w:t xml:space="preserve">0.41</w:t>
                  </w:r>
                </w:p>
              </w:tc>
            </w:tr>
            <w:tr>
              <w:tc>
                <w:tcPr/>
                <w:p>
                  <w:pPr>
                    <w:pStyle w:val="Compact"/>
                    <w:jc w:val="left"/>
                    <w:jc w:val="center"/>
                  </w:pPr>
                  <w:r>
                    <w:t xml:space="preserve">Open water</w:t>
                  </w:r>
                </w:p>
              </w:tc>
              <w:tc>
                <w:tcPr/>
                <w:p>
                  <w:pPr>
                    <w:pStyle w:val="Compact"/>
                    <w:jc w:val="left"/>
                    <w:jc w:val="center"/>
                  </w:pPr>
                  <w:r>
                    <w:t xml:space="preserve">Snow petrel</w:t>
                  </w:r>
                </w:p>
              </w:tc>
              <w:tc>
                <w:tcPr/>
                <w:p>
                  <w:pPr>
                    <w:pStyle w:val="Compact"/>
                    <w:jc w:val="right"/>
                    <w:jc w:val="center"/>
                  </w:pPr>
                  <w:r>
                    <w:t xml:space="preserve">0.34</w:t>
                  </w:r>
                </w:p>
              </w:tc>
            </w:tr>
            <w:tr>
              <w:tc>
                <w:tcPr/>
                <w:p>
                  <w:pPr>
                    <w:pStyle w:val="Compact"/>
                    <w:jc w:val="left"/>
                    <w:jc w:val="center"/>
                  </w:pPr>
                  <w:r>
                    <w:t xml:space="preserve">Open water</w:t>
                  </w:r>
                </w:p>
              </w:tc>
              <w:tc>
                <w:tcPr/>
                <w:p>
                  <w:pPr>
                    <w:pStyle w:val="Compact"/>
                    <w:jc w:val="left"/>
                    <w:jc w:val="center"/>
                  </w:pPr>
                  <w:r>
                    <w:t xml:space="preserve">Cape petrel</w:t>
                  </w:r>
                </w:p>
              </w:tc>
              <w:tc>
                <w:tcPr/>
                <w:p>
                  <w:pPr>
                    <w:pStyle w:val="Compact"/>
                    <w:jc w:val="right"/>
                    <w:jc w:val="center"/>
                  </w:pPr>
                  <w:r>
                    <w:t xml:space="preserve">0.28</w:t>
                  </w:r>
                </w:p>
              </w:tc>
            </w:tr>
            <w:tr>
              <w:tc>
                <w:tcPr/>
                <w:p>
                  <w:pPr>
                    <w:pStyle w:val="Compact"/>
                    <w:jc w:val="left"/>
                    <w:jc w:val="center"/>
                  </w:pPr>
                  <w:r>
                    <w:t xml:space="preserve">Open water</w:t>
                  </w:r>
                </w:p>
              </w:tc>
              <w:tc>
                <w:tcPr/>
                <w:p>
                  <w:pPr>
                    <w:pStyle w:val="Compact"/>
                    <w:jc w:val="left"/>
                    <w:jc w:val="center"/>
                  </w:pPr>
                  <w:r>
                    <w:t xml:space="preserve">Southern giant petrel</w:t>
                  </w:r>
                </w:p>
              </w:tc>
              <w:tc>
                <w:tcPr/>
                <w:p>
                  <w:pPr>
                    <w:pStyle w:val="Compact"/>
                    <w:jc w:val="right"/>
                    <w:jc w:val="center"/>
                  </w:pPr>
                  <w:r>
                    <w:t xml:space="preserve">0.25</w:t>
                  </w:r>
                </w:p>
              </w:tc>
            </w:tr>
            <w:tr>
              <w:tc>
                <w:tcPr/>
                <w:p>
                  <w:pPr>
                    <w:pStyle w:val="Compact"/>
                    <w:jc w:val="left"/>
                    <w:jc w:val="center"/>
                  </w:pPr>
                  <w:r>
                    <w:t xml:space="preserve">Pack ice</w:t>
                  </w:r>
                </w:p>
              </w:tc>
              <w:tc>
                <w:tcPr/>
                <w:p>
                  <w:pPr>
                    <w:pStyle w:val="Compact"/>
                    <w:jc w:val="left"/>
                    <w:jc w:val="center"/>
                  </w:pPr>
                  <w:r>
                    <w:t xml:space="preserve">Adélie penguin</w:t>
                  </w:r>
                </w:p>
              </w:tc>
              <w:tc>
                <w:tcPr/>
                <w:p>
                  <w:pPr>
                    <w:pStyle w:val="Compact"/>
                    <w:jc w:val="right"/>
                    <w:jc w:val="center"/>
                  </w:pPr>
                  <w:r>
                    <w:t xml:space="preserve">0.37</w:t>
                  </w:r>
                </w:p>
              </w:tc>
            </w:tr>
            <w:tr>
              <w:tc>
                <w:tcPr/>
                <w:p>
                  <w:pPr>
                    <w:pStyle w:val="Compact"/>
                    <w:jc w:val="left"/>
                    <w:jc w:val="center"/>
                  </w:pPr>
                  <w:r>
                    <w:t xml:space="preserve">Pack ice</w:t>
                  </w:r>
                </w:p>
              </w:tc>
              <w:tc>
                <w:tcPr/>
                <w:p>
                  <w:pPr>
                    <w:pStyle w:val="Compact"/>
                    <w:jc w:val="left"/>
                    <w:jc w:val="center"/>
                  </w:pPr>
                  <w:r>
                    <w:t xml:space="preserve">Crabeater seal</w:t>
                  </w:r>
                </w:p>
              </w:tc>
              <w:tc>
                <w:tcPr/>
                <w:p>
                  <w:pPr>
                    <w:pStyle w:val="Compact"/>
                    <w:jc w:val="right"/>
                    <w:jc w:val="center"/>
                  </w:pPr>
                  <w:r>
                    <w:t xml:space="preserve">0.30</w:t>
                  </w:r>
                </w:p>
              </w:tc>
            </w:tr>
          </w:tbl>
          <w:bookmarkEnd w:id="37"/>
          <w:p/>
        </w:tc>
      </w:tr>
    </w:tbl>
    <w:p>
      <w:r>
        <w:br w:type="page"/>
      </w:r>
    </w:p>
    <w:p>
      <w:pPr>
        <w:pStyle w:val="BodyText"/>
      </w:pPr>
      <w:r>
        <w:t xml:space="preserve">Note: an additional header row with</w:t>
      </w:r>
      <w:r>
        <w:t xml:space="preserve"> </w:t>
      </w:r>
      <w:r>
        <w:t xml:space="preserve">“</w:t>
      </w:r>
      <w:r>
        <w:t xml:space="preserve">No.</w:t>
      </w:r>
      <w:r>
        <w:t xml:space="preserve">”</w:t>
      </w:r>
      <w:r>
        <w:t xml:space="preserve"> </w:t>
      </w:r>
      <w:r>
        <w:t xml:space="preserve">and</w:t>
      </w:r>
      <w:r>
        <w:t xml:space="preserve"> </w:t>
      </w:r>
      <w:r>
        <w:t xml:space="preserve">“</w:t>
      </w:r>
      <w:r>
        <w:t xml:space="preserve">Frequency</w:t>
      </w:r>
      <w:r>
        <w:t xml:space="preserve">”</w:t>
      </w:r>
      <w:r>
        <w:t xml:space="preserve"> </w:t>
      </w:r>
      <w:r>
        <w:t xml:space="preserve">columns 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8" w:name="tbl-commfreq"/>
          <w:p>
            <w:pPr>
              <w:jc w:val="center"/>
            </w:pPr>
            <w:pPr>
              <w:jc w:val="start"/>
              <w:spacing w:before="200"/>
              <w:pStyle w:val="ImageCaption"/>
            </w:pPr>
            <w:r>
              <w:t xml:space="preserve">Table 4: Relative frequency of predator communities by year. No.: number of sites assigned to each cluster; Frequency: relative frequency of that cluster.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Year</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r>
            <w:tr>
              <w:tc>
                <w:tcPr/>
                <w:p>
                  <w:pPr>
                    <w:pStyle w:val="Compact"/>
                    <w:jc w:val="left"/>
                    <w:jc w:val="center"/>
                  </w:pPr>
                  <w:r>
                    <w:t xml:space="preserve">2012</w:t>
                  </w:r>
                </w:p>
              </w:tc>
              <w:tc>
                <w:tcPr/>
                <w:p>
                  <w:pPr>
                    <w:pStyle w:val="Compact"/>
                    <w:jc w:val="left"/>
                    <w:jc w:val="center"/>
                  </w:pPr>
                  <w:r>
                    <w:t xml:space="preserve">14 73.68</w:t>
                  </w:r>
                </w:p>
              </w:tc>
              <w:tc>
                <w:tcPr/>
                <w:p>
                  <w:pPr>
                    <w:pStyle w:val="Compact"/>
                    <w:jc w:val="left"/>
                    <w:jc w:val="center"/>
                  </w:pPr>
                  <w:r>
                    <w:t xml:space="preserve">3 15.79</w:t>
                  </w:r>
                </w:p>
              </w:tc>
              <w:tc>
                <w:tcPr/>
                <w:p>
                  <w:pPr>
                    <w:pStyle w:val="Compact"/>
                    <w:jc w:val="left"/>
                    <w:jc w:val="center"/>
                  </w:pPr>
                  <w:r>
                    <w:t xml:space="preserve">2 10.53</w:t>
                  </w:r>
                </w:p>
              </w:tc>
            </w:tr>
            <w:tr>
              <w:tc>
                <w:tcPr/>
                <w:p>
                  <w:pPr>
                    <w:pStyle w:val="Compact"/>
                    <w:jc w:val="left"/>
                    <w:jc w:val="center"/>
                  </w:pPr>
                  <w:r>
                    <w:t xml:space="preserve">2013</w:t>
                  </w:r>
                </w:p>
              </w:tc>
              <w:tc>
                <w:tcPr/>
                <w:p>
                  <w:pPr>
                    <w:pStyle w:val="Compact"/>
                    <w:jc w:val="left"/>
                    <w:jc w:val="center"/>
                  </w:pPr>
                  <w:r>
                    <w:t xml:space="preserve">25 53.19</w:t>
                  </w:r>
                </w:p>
              </w:tc>
              <w:tc>
                <w:tcPr/>
                <w:p>
                  <w:pPr>
                    <w:pStyle w:val="Compact"/>
                    <w:jc w:val="left"/>
                    <w:jc w:val="center"/>
                  </w:pPr>
                  <w:r>
                    <w:t xml:space="preserve">11 23.4</w:t>
                  </w:r>
                </w:p>
              </w:tc>
              <w:tc>
                <w:tcPr/>
                <w:p>
                  <w:pPr>
                    <w:pStyle w:val="Compact"/>
                    <w:jc w:val="left"/>
                    <w:jc w:val="center"/>
                  </w:pPr>
                  <w:r>
                    <w:t xml:space="preserve">11 23.4</w:t>
                  </w:r>
                </w:p>
              </w:tc>
            </w:tr>
            <w:tr>
              <w:tc>
                <w:tcPr/>
                <w:p>
                  <w:pPr>
                    <w:pStyle w:val="Compact"/>
                    <w:jc w:val="left"/>
                    <w:jc w:val="center"/>
                  </w:pPr>
                  <w:r>
                    <w:t xml:space="preserve">2014</w:t>
                  </w:r>
                </w:p>
              </w:tc>
              <w:tc>
                <w:tcPr/>
                <w:p>
                  <w:pPr>
                    <w:pStyle w:val="Compact"/>
                    <w:jc w:val="left"/>
                    <w:jc w:val="center"/>
                  </w:pPr>
                  <w:r>
                    <w:t xml:space="preserve">39 57.35</w:t>
                  </w:r>
                </w:p>
              </w:tc>
              <w:tc>
                <w:tcPr/>
                <w:p>
                  <w:pPr>
                    <w:pStyle w:val="Compact"/>
                    <w:jc w:val="left"/>
                    <w:jc w:val="center"/>
                  </w:pPr>
                  <w:r>
                    <w:t xml:space="preserve">14 20.59</w:t>
                  </w:r>
                </w:p>
              </w:tc>
              <w:tc>
                <w:tcPr/>
                <w:p>
                  <w:pPr>
                    <w:pStyle w:val="Compact"/>
                    <w:jc w:val="left"/>
                    <w:jc w:val="center"/>
                  </w:pPr>
                  <w:r>
                    <w:t xml:space="preserve">15 22.06</w:t>
                  </w:r>
                </w:p>
              </w:tc>
            </w:tr>
            <w:tr>
              <w:tc>
                <w:tcPr/>
                <w:p>
                  <w:pPr>
                    <w:pStyle w:val="Compact"/>
                    <w:jc w:val="left"/>
                    <w:jc w:val="center"/>
                  </w:pPr>
                  <w:r>
                    <w:t xml:space="preserve">2015</w:t>
                  </w:r>
                </w:p>
              </w:tc>
              <w:tc>
                <w:tcPr/>
                <w:p>
                  <w:pPr>
                    <w:pStyle w:val="Compact"/>
                    <w:jc w:val="left"/>
                    <w:jc w:val="center"/>
                  </w:pPr>
                  <w:r>
                    <w:t xml:space="preserve">39 65</w:t>
                  </w:r>
                </w:p>
              </w:tc>
              <w:tc>
                <w:tcPr/>
                <w:p>
                  <w:pPr>
                    <w:pStyle w:val="Compact"/>
                    <w:jc w:val="left"/>
                    <w:jc w:val="center"/>
                  </w:pPr>
                  <w:r>
                    <w:t xml:space="preserve">8 13.33</w:t>
                  </w:r>
                </w:p>
              </w:tc>
              <w:tc>
                <w:tcPr/>
                <w:p>
                  <w:pPr>
                    <w:pStyle w:val="Compact"/>
                    <w:jc w:val="left"/>
                    <w:jc w:val="center"/>
                  </w:pPr>
                  <w:r>
                    <w:t xml:space="preserve">13 21.67</w:t>
                  </w:r>
                </w:p>
              </w:tc>
            </w:tr>
            <w:tr>
              <w:tc>
                <w:tcPr/>
                <w:p>
                  <w:pPr>
                    <w:pStyle w:val="Compact"/>
                    <w:jc w:val="left"/>
                    <w:jc w:val="center"/>
                  </w:pPr>
                  <w:r>
                    <w:t xml:space="preserve">2016</w:t>
                  </w:r>
                </w:p>
              </w:tc>
              <w:tc>
                <w:tcPr/>
                <w:p>
                  <w:pPr>
                    <w:pStyle w:val="Compact"/>
                    <w:jc w:val="left"/>
                    <w:jc w:val="center"/>
                  </w:pPr>
                  <w:r>
                    <w:t xml:space="preserve">21 41.18</w:t>
                  </w:r>
                </w:p>
              </w:tc>
              <w:tc>
                <w:tcPr/>
                <w:p>
                  <w:pPr>
                    <w:pStyle w:val="Compact"/>
                    <w:jc w:val="left"/>
                    <w:jc w:val="center"/>
                  </w:pPr>
                  <w:r>
                    <w:t xml:space="preserve">18 35.29</w:t>
                  </w:r>
                </w:p>
              </w:tc>
              <w:tc>
                <w:tcPr/>
                <w:p>
                  <w:pPr>
                    <w:pStyle w:val="Compact"/>
                    <w:jc w:val="left"/>
                    <w:jc w:val="center"/>
                  </w:pPr>
                  <w:r>
                    <w:t xml:space="preserve">12 23.53</w:t>
                  </w:r>
                </w:p>
              </w:tc>
            </w:tr>
            <w:tr>
              <w:tc>
                <w:tcPr/>
                <w:p>
                  <w:pPr>
                    <w:pStyle w:val="Compact"/>
                    <w:jc w:val="left"/>
                    <w:jc w:val="center"/>
                  </w:pPr>
                  <w:r>
                    <w:t xml:space="preserve">Total</w:t>
                  </w:r>
                </w:p>
              </w:tc>
              <w:tc>
                <w:tcPr/>
                <w:p>
                  <w:pPr>
                    <w:pStyle w:val="Compact"/>
                    <w:jc w:val="left"/>
                    <w:jc w:val="center"/>
                  </w:pPr>
                  <w:r>
                    <w:t xml:space="preserve">138 56.33</w:t>
                  </w:r>
                </w:p>
              </w:tc>
              <w:tc>
                <w:tcPr/>
                <w:p>
                  <w:pPr>
                    <w:pStyle w:val="Compact"/>
                    <w:jc w:val="left"/>
                    <w:jc w:val="center"/>
                  </w:pPr>
                  <w:r>
                    <w:t xml:space="preserve">54 22.04</w:t>
                  </w:r>
                </w:p>
              </w:tc>
              <w:tc>
                <w:tcPr/>
                <w:p>
                  <w:pPr>
                    <w:pStyle w:val="Compact"/>
                    <w:jc w:val="left"/>
                    <w:jc w:val="center"/>
                  </w:pPr>
                  <w:r>
                    <w:t xml:space="preserve">53 21.63</w:t>
                  </w:r>
                </w:p>
              </w:tc>
            </w:tr>
          </w:tbl>
          <w:bookmarkEnd w:id="38"/>
          <w:p/>
        </w:tc>
      </w:tr>
    </w:tbl>
    <w:p>
      <w:r>
        <w:br w:type="page"/>
      </w:r>
    </w:p>
    <w:p>
      <w:pPr>
        <w:pStyle w:val="BodyText"/>
      </w:pPr>
      <w:r>
        <w:t xml:space="preserve">Note: an additional header row with</w:t>
      </w:r>
      <w:r>
        <w:t xml:space="preserve"> </w:t>
      </w:r>
      <w:r>
        <w:t xml:space="preserve">“</w:t>
      </w:r>
      <w:r>
        <w:t xml:space="preserve">Mean</w:t>
      </w:r>
      <w:r>
        <w:t xml:space="preserve">”</w:t>
      </w:r>
      <w:r>
        <w:t xml:space="preserve">,</w:t>
      </w:r>
      <w:r>
        <w:t xml:space="preserve"> </w:t>
      </w:r>
      <w:r>
        <w:t xml:space="preserve">“</w:t>
      </w:r>
      <w:r>
        <w:t xml:space="preserve">Q1</w:t>
      </w:r>
      <w:r>
        <w:t xml:space="preserve">”</w:t>
      </w:r>
      <w:r>
        <w:t xml:space="preserve">, and</w:t>
      </w:r>
      <w:r>
        <w:t xml:space="preserve"> </w:t>
      </w:r>
      <w:r>
        <w:t xml:space="preserve">“</w:t>
      </w:r>
      <w:r>
        <w:t xml:space="preserve">Q3</w:t>
      </w:r>
      <w:r>
        <w:t xml:space="preserve">”</w:t>
      </w:r>
      <w:r>
        <w:t xml:space="preserve"> </w:t>
      </w:r>
      <w:r>
        <w:t xml:space="preserve">columns 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9" w:name="tbl-clustenv"/>
          <w:p>
            <w:pPr>
              <w:jc w:val="center"/>
            </w:pPr>
            <w:pPr>
              <w:jc w:val="start"/>
              <w:spacing w:before="200"/>
              <w:pStyle w:val="ImageCaption"/>
            </w:pPr>
            <w:r>
              <w:t xml:space="preserve">Table 5: Summary of environmental conditions associated with predator clusters. See Table 1 for descriptions of environmental variables. Environmental variables that differed significantly (p &lt; 0.05) between clusters are indicated with an asterisk (Kruskal-Wallis test with Bonferroni correction).</w:t>
            </w:r>
          </w:p>
          <w:tbl>
            <w:tblPr>
              <w:tblStyle w:val="Table"/>
              <w:tblW w:type="pct" w:w="5000"/>
              <w:tblLayout w:type="fixed"/>
              <w:tblLook w:firstRow="1" w:lastRow="0" w:firstColumn="0" w:lastColumn="0" w:noHBand="0" w:noVBand="0" w:val="0020"/>
            </w:tblPr>
            <w:tblGrid>
              <w:gridCol w:w="2489"/>
              <w:gridCol w:w="1810"/>
              <w:gridCol w:w="1810"/>
              <w:gridCol w:w="1810"/>
            </w:tblGrid>
            <w:tr>
              <w:trPr>
                <w:tblHeader w:val="on"/>
              </w:trPr>
              <w:tc>
                <w:tcPr/>
                <w:p>
                  <w:pPr>
                    <w:pStyle w:val="Compact"/>
                    <w:jc w:val="left"/>
                    <w:jc w:val="center"/>
                  </w:pPr>
                  <w:r>
                    <w:t xml:space="preserve">Variable</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r>
            <w:tr>
              <w:tc>
                <w:tcPr/>
                <w:p>
                  <w:pPr>
                    <w:pStyle w:val="Compact"/>
                    <w:jc w:val="left"/>
                    <w:jc w:val="center"/>
                  </w:pPr>
                  <w:r>
                    <w:t xml:space="preserve">UML depth (m)</w:t>
                  </w:r>
                </w:p>
              </w:tc>
              <w:tc>
                <w:tcPr/>
                <w:p>
                  <w:pPr>
                    <w:pStyle w:val="Compact"/>
                    <w:jc w:val="left"/>
                    <w:jc w:val="center"/>
                  </w:pPr>
                  <w:r>
                    <w:t xml:space="preserve">99.5 64.8 118.</w:t>
                  </w:r>
                </w:p>
              </w:tc>
              <w:tc>
                <w:tcPr/>
                <w:p>
                  <w:pPr>
                    <w:pStyle w:val="Compact"/>
                    <w:jc w:val="left"/>
                    <w:jc w:val="center"/>
                  </w:pPr>
                  <w:r>
                    <w:t xml:space="preserve">120. 73.0 139.</w:t>
                  </w:r>
                </w:p>
              </w:tc>
              <w:tc>
                <w:tcPr/>
                <w:p>
                  <w:pPr>
                    <w:pStyle w:val="Compact"/>
                    <w:jc w:val="left"/>
                    <w:jc w:val="center"/>
                  </w:pPr>
                  <w:r>
                    <w:t xml:space="preserve">126. 72.0 174.</w:t>
                  </w:r>
                </w:p>
              </w:tc>
            </w:tr>
            <w:tr>
              <w:tc>
                <w:tcPr/>
                <w:p>
                  <w:pPr>
                    <w:pStyle w:val="Compact"/>
                    <w:jc w:val="left"/>
                    <w:jc w:val="center"/>
                  </w:pPr>
                  <w:r>
                    <w:t xml:space="preserve">Temperature (°C) *</w:t>
                  </w:r>
                </w:p>
              </w:tc>
              <w:tc>
                <w:tcPr/>
                <w:p>
                  <w:pPr>
                    <w:pStyle w:val="Compact"/>
                    <w:jc w:val="left"/>
                    <w:jc w:val="center"/>
                  </w:pPr>
                  <w:r>
                    <w:t xml:space="preserve">-1.73 -1.82 -1.69</w:t>
                  </w:r>
                </w:p>
              </w:tc>
              <w:tc>
                <w:tcPr/>
                <w:p>
                  <w:pPr>
                    <w:pStyle w:val="Compact"/>
                    <w:jc w:val="left"/>
                    <w:jc w:val="center"/>
                  </w:pPr>
                  <w:r>
                    <w:t xml:space="preserve">-1.73 -1.81 -1.69</w:t>
                  </w:r>
                </w:p>
              </w:tc>
              <w:tc>
                <w:tcPr/>
                <w:p>
                  <w:pPr>
                    <w:pStyle w:val="Compact"/>
                    <w:jc w:val="left"/>
                    <w:jc w:val="center"/>
                  </w:pPr>
                  <w:r>
                    <w:t xml:space="preserve">-1.80 -1.84 -1.76</w:t>
                  </w:r>
                </w:p>
              </w:tc>
            </w:tr>
            <w:tr>
              <w:tc>
                <w:tcPr/>
                <w:p>
                  <w:pPr>
                    <w:pStyle w:val="Compact"/>
                    <w:jc w:val="left"/>
                    <w:jc w:val="center"/>
                  </w:pPr>
                  <w:r>
                    <w:t xml:space="preserve">Salinity (PSU) *</w:t>
                  </w:r>
                </w:p>
              </w:tc>
              <w:tc>
                <w:tcPr/>
                <w:p>
                  <w:pPr>
                    <w:pStyle w:val="Compact"/>
                    <w:jc w:val="left"/>
                    <w:jc w:val="center"/>
                  </w:pPr>
                  <w:r>
                    <w:t xml:space="preserve">34.1 33.9 34.2</w:t>
                  </w:r>
                </w:p>
              </w:tc>
              <w:tc>
                <w:tcPr/>
                <w:p>
                  <w:pPr>
                    <w:pStyle w:val="Compact"/>
                    <w:jc w:val="left"/>
                    <w:jc w:val="center"/>
                  </w:pPr>
                  <w:r>
                    <w:t xml:space="preserve">34.2 34.1 34.3</w:t>
                  </w:r>
                </w:p>
              </w:tc>
              <w:tc>
                <w:tcPr/>
                <w:p>
                  <w:pPr>
                    <w:pStyle w:val="Compact"/>
                    <w:jc w:val="left"/>
                    <w:jc w:val="center"/>
                  </w:pPr>
                  <w:r>
                    <w:t xml:space="preserve">34.3 34.1 34.4</w:t>
                  </w:r>
                </w:p>
              </w:tc>
            </w:tr>
            <w:tr>
              <w:tc>
                <w:tcPr/>
                <w:p>
                  <w:pPr>
                    <w:pStyle w:val="Compact"/>
                    <w:jc w:val="left"/>
                    <w:jc w:val="center"/>
                  </w:pPr>
                  <w:r>
                    <w:t xml:space="preserve">Chl a (mg m−2) *</w:t>
                  </w:r>
                </w:p>
              </w:tc>
              <w:tc>
                <w:tcPr/>
                <w:p>
                  <w:pPr>
                    <w:pStyle w:val="Compact"/>
                    <w:jc w:val="left"/>
                    <w:jc w:val="center"/>
                  </w:pPr>
                  <w:r>
                    <w:t xml:space="preserve">13.4 8.63 16.4</w:t>
                  </w:r>
                </w:p>
              </w:tc>
              <w:tc>
                <w:tcPr/>
                <w:p>
                  <w:pPr>
                    <w:pStyle w:val="Compact"/>
                    <w:jc w:val="left"/>
                    <w:jc w:val="center"/>
                  </w:pPr>
                  <w:r>
                    <w:t xml:space="preserve">13.0 7.98 16.9</w:t>
                  </w:r>
                </w:p>
              </w:tc>
              <w:tc>
                <w:tcPr/>
                <w:p>
                  <w:pPr>
                    <w:pStyle w:val="Compact"/>
                    <w:jc w:val="left"/>
                    <w:jc w:val="center"/>
                  </w:pPr>
                  <w:r>
                    <w:t xml:space="preserve">9.39 5.76 13.1</w:t>
                  </w:r>
                </w:p>
              </w:tc>
            </w:tr>
            <w:tr>
              <w:tc>
                <w:tcPr/>
                <w:p>
                  <w:pPr>
                    <w:pStyle w:val="Compact"/>
                    <w:jc w:val="left"/>
                    <w:jc w:val="center"/>
                  </w:pPr>
                  <w:r>
                    <w:t xml:space="preserve">Phaeopigment (mg m−2)</w:t>
                  </w:r>
                </w:p>
              </w:tc>
              <w:tc>
                <w:tcPr/>
                <w:p>
                  <w:pPr>
                    <w:pStyle w:val="Compact"/>
                    <w:jc w:val="left"/>
                    <w:jc w:val="center"/>
                  </w:pPr>
                  <w:r>
                    <w:t xml:space="preserve">3.73 2.24 4.96</w:t>
                  </w:r>
                </w:p>
              </w:tc>
              <w:tc>
                <w:tcPr/>
                <w:p>
                  <w:pPr>
                    <w:pStyle w:val="Compact"/>
                    <w:jc w:val="left"/>
                    <w:jc w:val="center"/>
                  </w:pPr>
                  <w:r>
                    <w:t xml:space="preserve">3.30 1.67 4.14</w:t>
                  </w:r>
                </w:p>
              </w:tc>
              <w:tc>
                <w:tcPr/>
                <w:p>
                  <w:pPr>
                    <w:pStyle w:val="Compact"/>
                    <w:jc w:val="left"/>
                    <w:jc w:val="center"/>
                  </w:pPr>
                  <w:r>
                    <w:t xml:space="preserve">2.96 1.13 3.72</w:t>
                  </w:r>
                </w:p>
              </w:tc>
            </w:tr>
          </w:tbl>
          <w:bookmarkEnd w:id="39"/>
          <w:p/>
        </w:tc>
      </w:tr>
    </w:tbl>
    <w:p>
      <w:r>
        <w:br w:type="page"/>
      </w:r>
    </w:p>
    <w:tbl>
      <w:tblPr>
        <w:tblStyle w:val="Table"/>
        <w:tblW w:type="pct" w:w="5000"/>
        <w:tblLayout w:type="fixed"/>
        <w:tblLook w:firstRow="0" w:lastRow="0" w:firstColumn="0" w:lastColumn="0" w:noHBand="0" w:noVBand="0" w:val="0000"/>
      </w:tblPr>
      <w:tblGrid>
        <w:gridCol w:w="7920"/>
      </w:tblGrid>
      <w:tr>
        <w:tc>
          <w:tcPr/>
          <w:bookmarkStart w:id="40" w:name="tbl-predprey"/>
          <w:p>
            <w:pPr>
              <w:jc w:val="center"/>
            </w:pPr>
            <w:pPr>
              <w:jc w:val="start"/>
              <w:spacing w:before="200"/>
              <w:pStyle w:val="ImageCaption"/>
            </w:pPr>
            <w:r>
              <w:t xml:space="preserve">Table 6: Contingency table of predator and macrozooplankton clusters. Macrozooplankton cluster names (1, 2a, 2b, 3a, 3b) from</w:t>
            </w:r>
            <w:r>
              <w:t xml:space="preserve"> </w:t>
            </w:r>
            <w:r>
              <w:t xml:space="preserve">Dietrich et al. (2021)</w:t>
            </w:r>
            <w:r>
              <w:t xml:space="preserve">. Significant differences (p &lt; 0.05) are indicated in bold with asterisks (post hoc analysis of the Pearson residuals).</w:t>
            </w:r>
          </w:p>
          <w:tbl>
            <w:tblPr>
              <w:tblStyle w:val="Table"/>
              <w:tblW w:type="pct" w:w="5000"/>
              <w:tblLayout w:type="fixed"/>
              <w:tblLook w:firstRow="1" w:lastRow="0" w:firstColumn="0" w:lastColumn="0" w:noHBand="0" w:noVBand="0" w:val="0020"/>
            </w:tblPr>
            <w:tblGrid>
              <w:gridCol w:w="2404"/>
              <w:gridCol w:w="990"/>
              <w:gridCol w:w="990"/>
              <w:gridCol w:w="1272"/>
              <w:gridCol w:w="1131"/>
              <w:gridCol w:w="1131"/>
            </w:tblGrid>
            <w:tr>
              <w:trPr>
                <w:tblHeader w:val="on"/>
              </w:trPr>
              <w:tc>
                <w:tcPr/>
                <w:p>
                  <w:pPr>
                    <w:pStyle w:val="Compact"/>
                    <w:jc w:val="left"/>
                    <w:jc w:val="center"/>
                  </w:pPr>
                  <w:r>
                    <w:t xml:space="preserve">Predator cluster</w:t>
                  </w:r>
                </w:p>
              </w:tc>
              <w:tc>
                <w:tcPr/>
                <w:p>
                  <w:pPr>
                    <w:pStyle w:val="Compact"/>
                    <w:jc w:val="left"/>
                    <w:jc w:val="center"/>
                  </w:pPr>
                  <w:r>
                    <w:t xml:space="preserve">1</w:t>
                  </w:r>
                </w:p>
              </w:tc>
              <w:tc>
                <w:tcPr/>
                <w:p>
                  <w:pPr>
                    <w:pStyle w:val="Compact"/>
                    <w:jc w:val="left"/>
                    <w:jc w:val="center"/>
                  </w:pPr>
                  <w:r>
                    <w:t xml:space="preserve">2a</w:t>
                  </w:r>
                </w:p>
              </w:tc>
              <w:tc>
                <w:tcPr/>
                <w:p>
                  <w:pPr>
                    <w:pStyle w:val="Compact"/>
                    <w:jc w:val="left"/>
                    <w:jc w:val="center"/>
                  </w:pPr>
                  <w:r>
                    <w:t xml:space="preserve">2b</w:t>
                  </w:r>
                </w:p>
              </w:tc>
              <w:tc>
                <w:tcPr/>
                <w:p>
                  <w:pPr>
                    <w:pStyle w:val="Compact"/>
                    <w:jc w:val="left"/>
                    <w:jc w:val="center"/>
                  </w:pPr>
                  <w:r>
                    <w:t xml:space="preserve">3a</w:t>
                  </w:r>
                </w:p>
              </w:tc>
              <w:tc>
                <w:tcPr/>
                <w:p>
                  <w:pPr>
                    <w:pStyle w:val="Compact"/>
                    <w:jc w:val="left"/>
                    <w:jc w:val="center"/>
                  </w:pPr>
                  <w:r>
                    <w:t xml:space="preserve">3b</w:t>
                  </w:r>
                </w:p>
              </w:tc>
            </w:tr>
            <w:tr>
              <w:tc>
                <w:tcPr/>
                <w:p>
                  <w:pPr>
                    <w:pStyle w:val="Compact"/>
                    <w:jc w:val="left"/>
                    <w:jc w:val="center"/>
                  </w:pPr>
                  <w:r>
                    <w:t xml:space="preserve">Open water</w:t>
                  </w:r>
                </w:p>
              </w:tc>
              <w:tc>
                <w:tcPr/>
                <w:p>
                  <w:pPr>
                    <w:pStyle w:val="Compact"/>
                    <w:jc w:val="left"/>
                    <w:jc w:val="center"/>
                  </w:pPr>
                  <w:r>
                    <w:t xml:space="preserve">55 58.6</w:t>
                  </w:r>
                </w:p>
              </w:tc>
              <w:tc>
                <w:tcPr/>
                <w:p>
                  <w:pPr>
                    <w:pStyle w:val="Compact"/>
                    <w:jc w:val="left"/>
                    <w:jc w:val="center"/>
                  </w:pPr>
                  <w:r>
                    <w:t xml:space="preserve">41 33.8</w:t>
                  </w:r>
                </w:p>
              </w:tc>
              <w:tc>
                <w:tcPr/>
                <w:p>
                  <w:pPr>
                    <w:pStyle w:val="Compact"/>
                    <w:jc w:val="left"/>
                    <w:jc w:val="center"/>
                  </w:pPr>
                  <w:r>
                    <w:t xml:space="preserve">33* 22.5*</w:t>
                  </w:r>
                </w:p>
              </w:tc>
              <w:tc>
                <w:tcPr/>
                <w:p>
                  <w:pPr>
                    <w:pStyle w:val="Compact"/>
                    <w:jc w:val="left"/>
                    <w:jc w:val="center"/>
                  </w:pPr>
                  <w:r>
                    <w:t xml:space="preserve">7 11.8</w:t>
                  </w:r>
                </w:p>
              </w:tc>
              <w:tc>
                <w:tcPr/>
                <w:p>
                  <w:pPr>
                    <w:pStyle w:val="Compact"/>
                    <w:jc w:val="left"/>
                    <w:jc w:val="center"/>
                  </w:pPr>
                  <w:r>
                    <w:t xml:space="preserve">2* 11.3*</w:t>
                  </w:r>
                </w:p>
              </w:tc>
            </w:tr>
            <w:tr>
              <w:tc>
                <w:tcPr/>
                <w:p>
                  <w:pPr>
                    <w:pStyle w:val="Compact"/>
                    <w:jc w:val="left"/>
                    <w:jc w:val="center"/>
                  </w:pPr>
                  <w:r>
                    <w:t xml:space="preserve">Marginal ice</w:t>
                  </w:r>
                </w:p>
              </w:tc>
              <w:tc>
                <w:tcPr/>
                <w:p>
                  <w:pPr>
                    <w:pStyle w:val="Compact"/>
                    <w:jc w:val="left"/>
                    <w:jc w:val="center"/>
                  </w:pPr>
                  <w:r>
                    <w:t xml:space="preserve">23 22.9</w:t>
                  </w:r>
                </w:p>
              </w:tc>
              <w:tc>
                <w:tcPr/>
                <w:p>
                  <w:pPr>
                    <w:pStyle w:val="Compact"/>
                    <w:jc w:val="left"/>
                    <w:jc w:val="center"/>
                  </w:pPr>
                  <w:r>
                    <w:t xml:space="preserve">12 13.2</w:t>
                  </w:r>
                </w:p>
              </w:tc>
              <w:tc>
                <w:tcPr/>
                <w:p>
                  <w:pPr>
                    <w:pStyle w:val="Compact"/>
                    <w:jc w:val="left"/>
                    <w:jc w:val="center"/>
                  </w:pPr>
                  <w:r>
                    <w:t xml:space="preserve">6 8.8</w:t>
                  </w:r>
                </w:p>
              </w:tc>
              <w:tc>
                <w:tcPr/>
                <w:p>
                  <w:pPr>
                    <w:pStyle w:val="Compact"/>
                    <w:jc w:val="left"/>
                    <w:jc w:val="center"/>
                  </w:pPr>
                  <w:r>
                    <w:t xml:space="preserve">1 4.6</w:t>
                  </w:r>
                </w:p>
              </w:tc>
              <w:tc>
                <w:tcPr/>
                <w:p>
                  <w:pPr>
                    <w:pStyle w:val="Compact"/>
                    <w:jc w:val="left"/>
                    <w:jc w:val="center"/>
                  </w:pPr>
                  <w:r>
                    <w:t xml:space="preserve">12* 4.4*</w:t>
                  </w:r>
                </w:p>
              </w:tc>
            </w:tr>
            <w:tr>
              <w:tc>
                <w:tcPr/>
                <w:p>
                  <w:pPr>
                    <w:pStyle w:val="Compact"/>
                    <w:jc w:val="left"/>
                    <w:jc w:val="center"/>
                  </w:pPr>
                  <w:r>
                    <w:t xml:space="preserve">Pack ice</w:t>
                  </w:r>
                </w:p>
              </w:tc>
              <w:tc>
                <w:tcPr/>
                <w:p>
                  <w:pPr>
                    <w:pStyle w:val="Compact"/>
                    <w:jc w:val="left"/>
                    <w:jc w:val="center"/>
                  </w:pPr>
                  <w:r>
                    <w:t xml:space="preserve">26 22.5</w:t>
                  </w:r>
                </w:p>
              </w:tc>
              <w:tc>
                <w:tcPr/>
                <w:p>
                  <w:pPr>
                    <w:pStyle w:val="Compact"/>
                    <w:jc w:val="left"/>
                    <w:jc w:val="center"/>
                  </w:pPr>
                  <w:r>
                    <w:t xml:space="preserve">7 13</w:t>
                  </w:r>
                </w:p>
              </w:tc>
              <w:tc>
                <w:tcPr/>
                <w:p>
                  <w:pPr>
                    <w:pStyle w:val="Compact"/>
                    <w:jc w:val="left"/>
                    <w:jc w:val="center"/>
                  </w:pPr>
                  <w:r>
                    <w:t xml:space="preserve">1* 8.7*</w:t>
                  </w:r>
                </w:p>
              </w:tc>
              <w:tc>
                <w:tcPr/>
                <w:p>
                  <w:pPr>
                    <w:pStyle w:val="Compact"/>
                    <w:jc w:val="left"/>
                    <w:jc w:val="center"/>
                  </w:pPr>
                  <w:r>
                    <w:t xml:space="preserve">13* 4.5*</w:t>
                  </w:r>
                </w:p>
              </w:tc>
              <w:tc>
                <w:tcPr/>
                <w:p>
                  <w:pPr>
                    <w:pStyle w:val="Compact"/>
                    <w:jc w:val="left"/>
                    <w:jc w:val="center"/>
                  </w:pPr>
                  <w:r>
                    <w:t xml:space="preserve">6 4.3</w:t>
                  </w:r>
                </w:p>
              </w:tc>
            </w:tr>
          </w:tbl>
          <w:bookmarkEnd w:id="40"/>
          <w:p/>
        </w:tc>
      </w:tr>
    </w:tbl>
    <w:p>
      <w:r>
        <w:br w:type="page"/>
      </w:r>
    </w:p>
    <w:bookmarkEnd w:id="41"/>
    <w:bookmarkStart w:id="66"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45" w:name="fig-overviewmap"/>
          <w:p>
            <w:pPr>
              <w:pStyle w:val="Compact"/>
              <w:jc w:val="center"/>
            </w:pPr>
            <w:r>
              <w:drawing>
                <wp:inline>
                  <wp:extent cx="4175999" cy="4175999"/>
                  <wp:effectExtent b="0" l="0" r="0" t="0"/>
                  <wp:docPr descr="" title="" id="43" name="Picture"/>
                  <a:graphic>
                    <a:graphicData uri="http://schemas.openxmlformats.org/drawingml/2006/picture">
                      <pic:pic>
                        <pic:nvPicPr>
                          <pic:cNvPr descr="images/fig-overviewmap.png" id="44" name="Picture"/>
                          <pic:cNvPicPr>
                            <a:picLocks noChangeArrowheads="1" noChangeAspect="1"/>
                          </pic:cNvPicPr>
                        </pic:nvPicPr>
                        <pic:blipFill>
                          <a:blip r:embed="rId42"/>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45"/>
        </w:tc>
      </w:tr>
    </w:tbl>
    <w:p>
      <w:r>
        <w:br w:type="page"/>
      </w:r>
    </w:p>
    <w:tbl>
      <w:tblPr>
        <w:tblStyle w:val="Table"/>
        <w:tblW w:type="pct" w:w="5000"/>
        <w:tblLayout w:type="fixed"/>
        <w:tblLook w:firstRow="0" w:lastRow="0" w:firstColumn="0" w:lastColumn="0" w:noHBand="0" w:noVBand="0" w:val="0000"/>
      </w:tblPr>
      <w:tblGrid>
        <w:gridCol w:w="7920"/>
      </w:tblGrid>
      <w:tr>
        <w:tc>
          <w:tcPr/>
          <w:bookmarkStart w:id="49" w:name="fig-top6map"/>
          <w:p>
            <w:pPr>
              <w:pStyle w:val="Compact"/>
              <w:jc w:val="center"/>
            </w:pPr>
            <w:r>
              <w:drawing>
                <wp:inline>
                  <wp:extent cx="5943600" cy="4255476"/>
                  <wp:effectExtent b="0" l="0" r="0" t="0"/>
                  <wp:docPr descr="" title="" id="47" name="Picture"/>
                  <a:graphic>
                    <a:graphicData uri="http://schemas.openxmlformats.org/drawingml/2006/picture">
                      <pic:pic>
                        <pic:nvPicPr>
                          <pic:cNvPr descr="../figures/fig-top6map-1.png" id="48" name="Picture"/>
                          <pic:cNvPicPr>
                            <a:picLocks noChangeArrowheads="1" noChangeAspect="1"/>
                          </pic:cNvPicPr>
                        </pic:nvPicPr>
                        <pic:blipFill>
                          <a:blip r:embed="rId46"/>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9"/>
        </w:tc>
      </w:tr>
    </w:tbl>
    <w:p>
      <w:r>
        <w:br w:type="page"/>
      </w:r>
    </w:p>
    <w:tbl>
      <w:tblPr>
        <w:tblStyle w:val="Table"/>
        <w:tblW w:type="pct" w:w="5000"/>
        <w:tblLayout w:type="fixed"/>
        <w:tblLook w:firstRow="0" w:lastRow="0" w:firstColumn="0" w:lastColumn="0" w:noHBand="0" w:noVBand="0" w:val="0000"/>
      </w:tblPr>
      <w:tblGrid>
        <w:gridCol w:w="7920"/>
      </w:tblGrid>
      <w:tr>
        <w:tc>
          <w:tcPr/>
          <w:bookmarkStart w:id="53" w:name="fig-seaice"/>
          <w:p>
            <w:pPr>
              <w:pStyle w:val="Compact"/>
              <w:jc w:val="center"/>
            </w:pPr>
            <w:r>
              <w:drawing>
                <wp:inline>
                  <wp:extent cx="5943600" cy="4255476"/>
                  <wp:effectExtent b="0" l="0" r="0" t="0"/>
                  <wp:docPr descr="" title="" id="51" name="Picture"/>
                  <a:graphic>
                    <a:graphicData uri="http://schemas.openxmlformats.org/drawingml/2006/picture">
                      <pic:pic>
                        <pic:nvPicPr>
                          <pic:cNvPr descr="../figures/fig-seaice-1.png" id="52" name="Picture"/>
                          <pic:cNvPicPr>
                            <a:picLocks noChangeArrowheads="1" noChangeAspect="1"/>
                          </pic:cNvPicPr>
                        </pic:nvPicPr>
                        <pic:blipFill>
                          <a:blip r:embed="rId50"/>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53"/>
        </w:tc>
      </w:tr>
    </w:tbl>
    <w:p>
      <w:r>
        <w:br w:type="page"/>
      </w:r>
    </w:p>
    <w:tbl>
      <w:tblPr>
        <w:tblStyle w:val="Table"/>
        <w:tblW w:type="pct" w:w="5000"/>
        <w:tblLayout w:type="fixed"/>
        <w:tblLook w:firstRow="0" w:lastRow="0" w:firstColumn="0" w:lastColumn="0" w:noHBand="0" w:noVBand="0" w:val="0000"/>
      </w:tblPr>
      <w:tblGrid>
        <w:gridCol w:w="7920"/>
      </w:tblGrid>
      <w:tr>
        <w:tc>
          <w:tcPr/>
          <w:bookmarkStart w:id="57" w:name="fig-predclustannual"/>
          <w:p>
            <w:pPr>
              <w:pStyle w:val="Compact"/>
              <w:jc w:val="center"/>
            </w:pPr>
            <w:r>
              <w:drawing>
                <wp:inline>
                  <wp:extent cx="5943600" cy="4255476"/>
                  <wp:effectExtent b="0" l="0" r="0" t="0"/>
                  <wp:docPr descr="" title="" id="55" name="Picture"/>
                  <a:graphic>
                    <a:graphicData uri="http://schemas.openxmlformats.org/drawingml/2006/picture">
                      <pic:pic>
                        <pic:nvPicPr>
                          <pic:cNvPr descr="../figures/fig-predclustannual-1.png" id="56" name="Picture"/>
                          <pic:cNvPicPr>
                            <a:picLocks noChangeArrowheads="1" noChangeAspect="1"/>
                          </pic:cNvPicPr>
                        </pic:nvPicPr>
                        <pic:blipFill>
                          <a:blip r:embed="rId54"/>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57"/>
        </w:tc>
      </w:tr>
    </w:tbl>
    <w:p>
      <w:r>
        <w:br w:type="page"/>
      </w:r>
    </w:p>
    <w:tbl>
      <w:tblPr>
        <w:tblStyle w:val="Table"/>
        <w:tblW w:type="pct" w:w="5000"/>
        <w:tblLayout w:type="fixed"/>
        <w:tblLook w:firstRow="0" w:lastRow="0" w:firstColumn="0" w:lastColumn="0" w:noHBand="0" w:noVBand="0" w:val="0000"/>
      </w:tblPr>
      <w:tblGrid>
        <w:gridCol w:w="7920"/>
      </w:tblGrid>
      <w:tr>
        <w:tc>
          <w:tcPr/>
          <w:bookmarkStart w:id="61" w:name="fig-predclustkde"/>
          <w:p>
            <w:pPr>
              <w:pStyle w:val="Compact"/>
              <w:jc w:val="center"/>
            </w:pPr>
            <w:r>
              <w:drawing>
                <wp:inline>
                  <wp:extent cx="5943600" cy="2004646"/>
                  <wp:effectExtent b="0" l="0" r="0" t="0"/>
                  <wp:docPr descr="" title="" id="59" name="Picture"/>
                  <a:graphic>
                    <a:graphicData uri="http://schemas.openxmlformats.org/drawingml/2006/picture">
                      <pic:pic>
                        <pic:nvPicPr>
                          <pic:cNvPr descr="../figures/fig-predclustkde-1.png" id="60" name="Picture"/>
                          <pic:cNvPicPr>
                            <a:picLocks noChangeArrowheads="1" noChangeAspect="1"/>
                          </pic:cNvPicPr>
                        </pic:nvPicPr>
                        <pic:blipFill>
                          <a:blip r:embed="rId58"/>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61"/>
        </w:tc>
      </w:tr>
    </w:tbl>
    <w:p>
      <w:r>
        <w:br w:type="page"/>
      </w:r>
    </w:p>
    <w:tbl>
      <w:tblPr>
        <w:tblStyle w:val="Table"/>
        <w:tblW w:type="pct" w:w="5000"/>
        <w:tblLayout w:type="fixed"/>
        <w:tblLook w:firstRow="0" w:lastRow="0" w:firstColumn="0" w:lastColumn="0" w:noHBand="0" w:noVBand="0" w:val="0000"/>
      </w:tblPr>
      <w:tblGrid>
        <w:gridCol w:w="7920"/>
      </w:tblGrid>
      <w:tr>
        <w:tc>
          <w:tcPr/>
          <w:bookmarkStart w:id="65" w:name="fig-nmds"/>
          <w:p>
            <w:pPr>
              <w:pStyle w:val="Compact"/>
              <w:jc w:val="center"/>
            </w:pPr>
            <w:r>
              <w:drawing>
                <wp:inline>
                  <wp:extent cx="5943600" cy="3516923"/>
                  <wp:effectExtent b="0" l="0" r="0" t="0"/>
                  <wp:docPr descr="" title="" id="63" name="Picture"/>
                  <a:graphic>
                    <a:graphicData uri="http://schemas.openxmlformats.org/drawingml/2006/picture">
                      <pic:pic>
                        <pic:nvPicPr>
                          <pic:cNvPr descr="../figures/fig-nmds-1.png" id="64" name="Picture"/>
                          <pic:cNvPicPr>
                            <a:picLocks noChangeArrowheads="1" noChangeAspect="1"/>
                          </pic:cNvPicPr>
                        </pic:nvPicPr>
                        <pic:blipFill>
                          <a:blip r:embed="rId62"/>
                          <a:stretch>
                            <a:fillRect/>
                          </a:stretch>
                        </pic:blipFill>
                        <pic:spPr bwMode="auto">
                          <a:xfrm>
                            <a:off x="0" y="0"/>
                            <a:ext cx="5943600" cy="3516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sites and environmental loadings in non-metric multidimensional scaling (NMDS) ordination: (A) first and second NMDS axes, (B) first and third NMDS axes, (C) second and third NMDS axes. Black diamonds indicate centroids of survey years, and contours represent the fitted surface of sea-ice coverage. Sites are color-coded by predator cluster assignment.</w:t>
            </w:r>
          </w:p>
          <w:bookmarkEnd w:id="65"/>
        </w:tc>
      </w:tr>
    </w:tbl>
    <w:p>
      <w:r>
        <w:br w:type="page"/>
      </w:r>
    </w:p>
    <w:bookmarkEnd w:id="66"/>
    <w:bookmarkStart w:id="70" w:name="supplemental-material"/>
    <w:p>
      <w:pPr>
        <w:pStyle w:val="Heading1"/>
      </w:pPr>
      <w:r>
        <w:t xml:space="preserve">Supplemental material</w:t>
      </w:r>
    </w:p>
    <w:bookmarkStart w:id="69" w:name="supplemental-tables"/>
    <w:p>
      <w:pPr>
        <w:pStyle w:val="Heading2"/>
      </w:pPr>
      <w:r>
        <w:t xml:space="preserve">Supplemental tables</w:t>
      </w:r>
    </w:p>
    <w:p>
      <w:pPr>
        <w:pStyle w:val="FirstParagraph"/>
      </w:pPr>
      <w:r>
        <w:t xml:space="preserve">Note: an additional header row with</w:t>
      </w:r>
      <w:r>
        <w:t xml:space="preserve"> </w:t>
      </w:r>
      <w:r>
        <w:t xml:space="preserve">“</w:t>
      </w:r>
      <w:r>
        <w:t xml:space="preserve">Survey effort</w:t>
      </w:r>
      <w:r>
        <w:t xml:space="preserve">”</w:t>
      </w:r>
      <w:r>
        <w:t xml:space="preserve"> </w:t>
      </w:r>
      <w:r>
        <w:t xml:space="preserve">and</w:t>
      </w:r>
      <w:r>
        <w:t xml:space="preserve"> </w:t>
      </w:r>
      <w:r>
        <w:t xml:space="preserve">“</w:t>
      </w:r>
      <w:r>
        <w:t xml:space="preserve">Ice conditions</w:t>
      </w:r>
      <w:r>
        <w:t xml:space="preserve">”</w:t>
      </w:r>
      <w:r>
        <w:t xml:space="preserve"> </w:t>
      </w:r>
      <w:r>
        <w:t xml:space="preserve">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67" w:name="supptbl-effortice"/>
          <w:p>
            <w:pPr>
              <w:jc w:val="center"/>
            </w:pPr>
            <w:pPr>
              <w:jc w:val="start"/>
              <w:spacing w:before="200"/>
              <w:pStyle w:val="ImageCaption"/>
            </w:pPr>
            <w:r>
              <w:t xml:space="preserve">Table S1: Survey effort and ice conditions by year. Under</w:t>
            </w:r>
            <w:r>
              <w:t xml:space="preserve"> </w:t>
            </w:r>
            <w:r>
              <w:rPr>
                <w:b/>
                <w:bCs/>
              </w:rPr>
              <w:t xml:space="preserve">Survey effort</w:t>
            </w:r>
            <w:r>
              <w:t xml:space="preserve">,</w:t>
            </w:r>
            <w:r>
              <w:t xml:space="preserve"> </w:t>
            </w:r>
            <w:r>
              <w:rPr>
                <w:b/>
                <w:bCs/>
              </w:rPr>
              <w:t xml:space="preserve">Stations sampled</w:t>
            </w:r>
            <w:r>
              <w:t xml:space="preserve"> </w:t>
            </w:r>
            <w:r>
              <w:t xml:space="preserve">and</w:t>
            </w:r>
            <w:r>
              <w:t xml:space="preserve"> </w:t>
            </w:r>
            <w:r>
              <w:rPr>
                <w:b/>
                <w:bCs/>
              </w:rPr>
              <w:t xml:space="preserve">Effort per station</w:t>
            </w:r>
            <w:r>
              <w:t xml:space="preserve"> </w:t>
            </w:r>
            <w:r>
              <w:t xml:space="preserve">indicate how many stations were sampled in that year and the amount of visual survey effort associated with each station (summarized as mean ± standard deviation). Under</w:t>
            </w:r>
            <w:r>
              <w:t xml:space="preserve"> </w:t>
            </w:r>
            <w:r>
              <w:rPr>
                <w:b/>
                <w:bCs/>
              </w:rPr>
              <w:t xml:space="preserve">Ice conditions</w:t>
            </w:r>
            <w:r>
              <w:t xml:space="preserve">, each column describes a different ice category, indicating the number of stations and the ice coverage (summarized as mean ± standard error). Note: some visual surveys did not record ice conditions, so the total number of stations under</w:t>
            </w:r>
            <w:r>
              <w:t xml:space="preserve"> </w:t>
            </w:r>
            <w:r>
              <w:rPr>
                <w:b/>
                <w:bCs/>
              </w:rPr>
              <w:t xml:space="preserve">Ice conditions</w:t>
            </w:r>
            <w:r>
              <w:t xml:space="preserve"> </w:t>
            </w:r>
            <w:r>
              <w:t xml:space="preserve">may not equal the</w:t>
            </w:r>
            <w:r>
              <w:t xml:space="preserve"> </w:t>
            </w:r>
            <w:r>
              <w:rPr>
                <w:b/>
                <w:bCs/>
              </w:rPr>
              <w:t xml:space="preserve">Stations sampled</w:t>
            </w:r>
            <w:r>
              <w:t xml:space="preserve">.</w:t>
            </w:r>
          </w:p>
          <w:tbl>
            <w:tblPr>
              <w:tblStyle w:val="Table"/>
              <w:tblW w:type="pct" w:w="5000"/>
              <w:tblLayout w:type="fixed"/>
              <w:tblLook w:firstRow="1" w:lastRow="0" w:firstColumn="0" w:lastColumn="0" w:noHBand="0" w:noVBand="0" w:val="0020"/>
            </w:tblPr>
            <w:tblGrid>
              <w:gridCol w:w="386"/>
              <w:gridCol w:w="1094"/>
              <w:gridCol w:w="1545"/>
              <w:gridCol w:w="386"/>
              <w:gridCol w:w="1094"/>
              <w:gridCol w:w="1159"/>
              <w:gridCol w:w="1159"/>
              <w:gridCol w:w="1094"/>
            </w:tblGrid>
            <w:tr>
              <w:trPr>
                <w:tblHeader w:val="on"/>
              </w:trPr>
              <w:tc>
                <w:tcPr/>
                <w:p>
                  <w:pPr>
                    <w:pStyle w:val="Compact"/>
                    <w:jc w:val="left"/>
                    <w:jc w:val="center"/>
                  </w:pPr>
                  <w:r>
                    <w:t xml:space="preserve">Year</w:t>
                  </w:r>
                </w:p>
              </w:tc>
              <w:tc>
                <w:tcPr/>
                <w:p>
                  <w:pPr>
                    <w:pStyle w:val="Compact"/>
                    <w:jc w:val="right"/>
                    <w:jc w:val="center"/>
                  </w:pPr>
                  <w:r>
                    <w:t xml:space="preserve">Stations sampled</w:t>
                  </w:r>
                </w:p>
              </w:tc>
              <w:tc>
                <w:tcPr/>
                <w:p>
                  <w:pPr>
                    <w:pStyle w:val="Compact"/>
                    <w:jc w:val="left"/>
                    <w:jc w:val="center"/>
                  </w:pPr>
                  <w:r>
                    <w:t xml:space="preserve">Effort per station (km)</w:t>
                  </w:r>
                </w:p>
              </w:tc>
              <w:tc>
                <w:tcPr/>
                <w:p>
                  <w:pPr>
                    <w:pStyle w:val="Compact"/>
                    <w:jc w:val="left"/>
                    <w:jc w:val="center"/>
                  </w:pPr>
                  <w:r>
                    <w:t xml:space="preserve">Year</w:t>
                  </w:r>
                </w:p>
              </w:tc>
              <w:tc>
                <w:tcPr/>
                <w:p>
                  <w:pPr>
                    <w:pStyle w:val="Compact"/>
                    <w:jc w:val="left"/>
                    <w:jc w:val="center"/>
                  </w:pPr>
                  <w:r>
                    <w:t xml:space="preserve">Open water</w:t>
                  </w:r>
                </w:p>
              </w:tc>
              <w:tc>
                <w:tcPr/>
                <w:p>
                  <w:pPr>
                    <w:pStyle w:val="Compact"/>
                    <w:jc w:val="left"/>
                    <w:jc w:val="center"/>
                  </w:pPr>
                  <w:r>
                    <w:t xml:space="preserve">Thin ice</w:t>
                  </w:r>
                </w:p>
              </w:tc>
              <w:tc>
                <w:tcPr/>
                <w:p>
                  <w:pPr>
                    <w:pStyle w:val="Compact"/>
                    <w:jc w:val="left"/>
                    <w:jc w:val="center"/>
                  </w:pPr>
                  <w:r>
                    <w:t xml:space="preserve">First-year ice</w:t>
                  </w:r>
                </w:p>
              </w:tc>
              <w:tc>
                <w:tcPr/>
                <w:p>
                  <w:pPr>
                    <w:pStyle w:val="Compact"/>
                    <w:jc w:val="left"/>
                    <w:jc w:val="center"/>
                  </w:pPr>
                  <w:r>
                    <w:t xml:space="preserve">Multi-year ice</w:t>
                  </w:r>
                </w:p>
              </w:tc>
            </w:tr>
            <w:tr>
              <w:tc>
                <w:tcPr/>
                <w:p>
                  <w:pPr>
                    <w:pStyle w:val="Compact"/>
                    <w:jc w:val="left"/>
                    <w:jc w:val="center"/>
                  </w:pPr>
                  <w:r>
                    <w:t xml:space="preserve">2012</w:t>
                  </w:r>
                </w:p>
              </w:tc>
              <w:tc>
                <w:tcPr/>
                <w:p>
                  <w:pPr>
                    <w:pStyle w:val="Compact"/>
                    <w:jc w:val="right"/>
                    <w:jc w:val="center"/>
                  </w:pPr>
                  <w:r>
                    <w:t xml:space="preserve">19</w:t>
                  </w:r>
                </w:p>
              </w:tc>
              <w:tc>
                <w:tcPr/>
                <w:p>
                  <w:pPr>
                    <w:pStyle w:val="Compact"/>
                    <w:jc w:val="left"/>
                    <w:jc w:val="center"/>
                  </w:pPr>
                  <w:r>
                    <w:t xml:space="preserve">34.9 ± 8.8</w:t>
                  </w:r>
                </w:p>
              </w:tc>
              <w:tc>
                <w:tcPr/>
                <w:p>
                  <w:pPr>
                    <w:pStyle w:val="Compact"/>
                    <w:jc w:val="left"/>
                    <w:jc w:val="center"/>
                  </w:pPr>
                  <w:r>
                    <w:t xml:space="preserve">2012</w:t>
                  </w:r>
                </w:p>
              </w:tc>
              <w:tc>
                <w:tcPr/>
                <w:p>
                  <w:pPr>
                    <w:pStyle w:val="Compact"/>
                    <w:jc w:val="left"/>
                    <w:jc w:val="center"/>
                  </w:pPr>
                  <w:r>
                    <w:t xml:space="preserve">14 (2.4% ± 0.0%)</w:t>
                  </w:r>
                </w:p>
              </w:tc>
              <w:tc>
                <w:tcPr/>
                <w:p>
                  <w:pPr>
                    <w:pStyle w:val="Compact"/>
                    <w:jc w:val="left"/>
                    <w:jc w:val="center"/>
                  </w:pPr>
                  <w:r>
                    <w:t xml:space="preserve">1 (10.0% ± 0.3%)</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2013</w:t>
                  </w:r>
                </w:p>
              </w:tc>
              <w:tc>
                <w:tcPr/>
                <w:p>
                  <w:pPr>
                    <w:pStyle w:val="Compact"/>
                    <w:jc w:val="right"/>
                    <w:jc w:val="center"/>
                  </w:pPr>
                  <w:r>
                    <w:t xml:space="preserve">47</w:t>
                  </w:r>
                </w:p>
              </w:tc>
              <w:tc>
                <w:tcPr/>
                <w:p>
                  <w:pPr>
                    <w:pStyle w:val="Compact"/>
                    <w:jc w:val="left"/>
                    <w:jc w:val="center"/>
                  </w:pPr>
                  <w:r>
                    <w:t xml:space="preserve">38.5 ± 13.5</w:t>
                  </w:r>
                </w:p>
              </w:tc>
              <w:tc>
                <w:tcPr/>
                <w:p>
                  <w:pPr>
                    <w:pStyle w:val="Compact"/>
                    <w:jc w:val="left"/>
                    <w:jc w:val="center"/>
                  </w:pPr>
                  <w:r>
                    <w:t xml:space="preserve">2013</w:t>
                  </w:r>
                </w:p>
              </w:tc>
              <w:tc>
                <w:tcPr/>
                <w:p>
                  <w:pPr>
                    <w:pStyle w:val="Compact"/>
                    <w:jc w:val="left"/>
                    <w:jc w:val="center"/>
                  </w:pPr>
                  <w:r>
                    <w:t xml:space="preserve">3 (16.3% ± 0.2%)</w:t>
                  </w:r>
                </w:p>
              </w:tc>
              <w:tc>
                <w:tcPr/>
                <w:p>
                  <w:pPr>
                    <w:pStyle w:val="Compact"/>
                    <w:jc w:val="left"/>
                    <w:jc w:val="center"/>
                  </w:pPr>
                  <w:r>
                    <w:t xml:space="preserve">22 (51.2% ± 0.1%)</w:t>
                  </w:r>
                </w:p>
              </w:tc>
              <w:tc>
                <w:tcPr/>
                <w:p>
                  <w:pPr>
                    <w:pStyle w:val="Compact"/>
                    <w:jc w:val="left"/>
                    <w:jc w:val="center"/>
                  </w:pPr>
                  <w:r>
                    <w:t xml:space="preserve">20 (67.0% ± 0.1%)</w:t>
                  </w:r>
                </w:p>
              </w:tc>
              <w:tc>
                <w:tcPr/>
                <w:p>
                  <w:pPr>
                    <w:pStyle w:val="Compact"/>
                    <w:jc w:val="left"/>
                    <w:jc w:val="center"/>
                  </w:pPr>
                  <w:r>
                    <w:t xml:space="preserve">0</w:t>
                  </w:r>
                </w:p>
              </w:tc>
            </w:tr>
            <w:tr>
              <w:tc>
                <w:tcPr/>
                <w:p>
                  <w:pPr>
                    <w:pStyle w:val="Compact"/>
                    <w:jc w:val="left"/>
                    <w:jc w:val="center"/>
                  </w:pPr>
                  <w:r>
                    <w:t xml:space="preserve">2014</w:t>
                  </w:r>
                </w:p>
              </w:tc>
              <w:tc>
                <w:tcPr/>
                <w:p>
                  <w:pPr>
                    <w:pStyle w:val="Compact"/>
                    <w:jc w:val="right"/>
                    <w:jc w:val="center"/>
                  </w:pPr>
                  <w:r>
                    <w:t xml:space="preserve">68</w:t>
                  </w:r>
                </w:p>
              </w:tc>
              <w:tc>
                <w:tcPr/>
                <w:p>
                  <w:pPr>
                    <w:pStyle w:val="Compact"/>
                    <w:jc w:val="left"/>
                    <w:jc w:val="center"/>
                  </w:pPr>
                  <w:r>
                    <w:t xml:space="preserve">26.6 ± 7.0</w:t>
                  </w:r>
                </w:p>
              </w:tc>
              <w:tc>
                <w:tcPr/>
                <w:p>
                  <w:pPr>
                    <w:pStyle w:val="Compact"/>
                    <w:jc w:val="left"/>
                    <w:jc w:val="center"/>
                  </w:pPr>
                  <w:r>
                    <w:t xml:space="preserve">2014</w:t>
                  </w:r>
                </w:p>
              </w:tc>
              <w:tc>
                <w:tcPr/>
                <w:p>
                  <w:pPr>
                    <w:pStyle w:val="Compact"/>
                    <w:jc w:val="left"/>
                    <w:jc w:val="center"/>
                  </w:pPr>
                  <w:r>
                    <w:t xml:space="preserve">9 (10.5% ± 0.1%)</w:t>
                  </w:r>
                </w:p>
              </w:tc>
              <w:tc>
                <w:tcPr/>
                <w:p>
                  <w:pPr>
                    <w:pStyle w:val="Compact"/>
                    <w:jc w:val="left"/>
                    <w:jc w:val="center"/>
                  </w:pPr>
                  <w:r>
                    <w:t xml:space="preserve">10 (55.2% ± 0.2%)</w:t>
                  </w:r>
                </w:p>
              </w:tc>
              <w:tc>
                <w:tcPr/>
                <w:p>
                  <w:pPr>
                    <w:pStyle w:val="Compact"/>
                    <w:jc w:val="left"/>
                    <w:jc w:val="center"/>
                  </w:pPr>
                  <w:r>
                    <w:t xml:space="preserve">48 (44.8% ± 0.1%)</w:t>
                  </w:r>
                </w:p>
              </w:tc>
              <w:tc>
                <w:tcPr/>
                <w:p>
                  <w:pPr>
                    <w:pStyle w:val="Compact"/>
                    <w:jc w:val="left"/>
                    <w:jc w:val="center"/>
                  </w:pPr>
                  <w:r>
                    <w:t xml:space="preserve">0</w:t>
                  </w:r>
                </w:p>
              </w:tc>
            </w:tr>
            <w:tr>
              <w:tc>
                <w:tcPr/>
                <w:p>
                  <w:pPr>
                    <w:pStyle w:val="Compact"/>
                    <w:jc w:val="left"/>
                    <w:jc w:val="center"/>
                  </w:pPr>
                  <w:r>
                    <w:t xml:space="preserve">2015</w:t>
                  </w:r>
                </w:p>
              </w:tc>
              <w:tc>
                <w:tcPr/>
                <w:p>
                  <w:pPr>
                    <w:pStyle w:val="Compact"/>
                    <w:jc w:val="right"/>
                    <w:jc w:val="center"/>
                  </w:pPr>
                  <w:r>
                    <w:t xml:space="preserve">60</w:t>
                  </w:r>
                </w:p>
              </w:tc>
              <w:tc>
                <w:tcPr/>
                <w:p>
                  <w:pPr>
                    <w:pStyle w:val="Compact"/>
                    <w:jc w:val="left"/>
                    <w:jc w:val="center"/>
                  </w:pPr>
                  <w:r>
                    <w:t xml:space="preserve">27.8 ± 8.5</w:t>
                  </w:r>
                </w:p>
              </w:tc>
              <w:tc>
                <w:tcPr/>
                <w:p>
                  <w:pPr>
                    <w:pStyle w:val="Compact"/>
                    <w:jc w:val="left"/>
                    <w:jc w:val="center"/>
                  </w:pPr>
                  <w:r>
                    <w:t xml:space="preserve">2015</w:t>
                  </w:r>
                </w:p>
              </w:tc>
              <w:tc>
                <w:tcPr/>
                <w:p>
                  <w:pPr>
                    <w:pStyle w:val="Compact"/>
                    <w:jc w:val="left"/>
                    <w:jc w:val="center"/>
                  </w:pPr>
                  <w:r>
                    <w:t xml:space="preserve">13 (4.6% ± 0.1%)</w:t>
                  </w:r>
                </w:p>
              </w:tc>
              <w:tc>
                <w:tcPr/>
                <w:p>
                  <w:pPr>
                    <w:pStyle w:val="Compact"/>
                    <w:jc w:val="left"/>
                    <w:jc w:val="center"/>
                  </w:pPr>
                  <w:r>
                    <w:t xml:space="preserve">36 (56.6% ± 0.1%)</w:t>
                  </w:r>
                </w:p>
              </w:tc>
              <w:tc>
                <w:tcPr/>
                <w:p>
                  <w:pPr>
                    <w:pStyle w:val="Compact"/>
                    <w:jc w:val="left"/>
                    <w:jc w:val="center"/>
                  </w:pPr>
                  <w:r>
                    <w:t xml:space="preserve">10 (73.1% ± 0.1%)</w:t>
                  </w:r>
                </w:p>
              </w:tc>
              <w:tc>
                <w:tcPr/>
                <w:p>
                  <w:pPr>
                    <w:pStyle w:val="Compact"/>
                    <w:jc w:val="left"/>
                    <w:jc w:val="center"/>
                  </w:pPr>
                  <w:r>
                    <w:t xml:space="preserve">0</w:t>
                  </w:r>
                </w:p>
              </w:tc>
            </w:tr>
            <w:tr>
              <w:tc>
                <w:tcPr/>
                <w:p>
                  <w:pPr>
                    <w:pStyle w:val="Compact"/>
                    <w:jc w:val="left"/>
                    <w:jc w:val="center"/>
                  </w:pPr>
                  <w:r>
                    <w:t xml:space="preserve">2016</w:t>
                  </w:r>
                </w:p>
              </w:tc>
              <w:tc>
                <w:tcPr/>
                <w:p>
                  <w:pPr>
                    <w:pStyle w:val="Compact"/>
                    <w:jc w:val="right"/>
                    <w:jc w:val="center"/>
                  </w:pPr>
                  <w:r>
                    <w:t xml:space="preserve">51</w:t>
                  </w:r>
                </w:p>
              </w:tc>
              <w:tc>
                <w:tcPr/>
                <w:p>
                  <w:pPr>
                    <w:pStyle w:val="Compact"/>
                    <w:jc w:val="left"/>
                    <w:jc w:val="center"/>
                  </w:pPr>
                  <w:r>
                    <w:t xml:space="preserve">28.4 ± 8.3</w:t>
                  </w:r>
                </w:p>
              </w:tc>
              <w:tc>
                <w:tcPr/>
                <w:p>
                  <w:pPr>
                    <w:pStyle w:val="Compact"/>
                    <w:jc w:val="left"/>
                    <w:jc w:val="center"/>
                  </w:pPr>
                  <w:r>
                    <w:t xml:space="preserve">2016</w:t>
                  </w:r>
                </w:p>
              </w:tc>
              <w:tc>
                <w:tcPr/>
                <w:p>
                  <w:pPr>
                    <w:pStyle w:val="Compact"/>
                    <w:jc w:val="left"/>
                    <w:jc w:val="center"/>
                  </w:pPr>
                  <w:r>
                    <w:t xml:space="preserve">7 (8.9% ± 0.1%)</w:t>
                  </w:r>
                </w:p>
              </w:tc>
              <w:tc>
                <w:tcPr/>
                <w:p>
                  <w:pPr>
                    <w:pStyle w:val="Compact"/>
                    <w:jc w:val="left"/>
                    <w:jc w:val="center"/>
                  </w:pPr>
                  <w:r>
                    <w:t xml:space="preserve">30 (59.3% ± 0.1%)</w:t>
                  </w:r>
                </w:p>
              </w:tc>
              <w:tc>
                <w:tcPr/>
                <w:p>
                  <w:pPr>
                    <w:pStyle w:val="Compact"/>
                    <w:jc w:val="left"/>
                    <w:jc w:val="center"/>
                  </w:pPr>
                  <w:r>
                    <w:t xml:space="preserve">12 (75.8% ± 0.1%)</w:t>
                  </w:r>
                </w:p>
              </w:tc>
              <w:tc>
                <w:tcPr/>
                <w:p>
                  <w:pPr>
                    <w:pStyle w:val="Compact"/>
                    <w:jc w:val="left"/>
                    <w:jc w:val="center"/>
                  </w:pPr>
                  <w:r>
                    <w:t xml:space="preserve">1 (13.0% ± 0.3%)</w:t>
                  </w:r>
                </w:p>
              </w:tc>
            </w:tr>
            <w:tr>
              <w:tc>
                <w:tcPr/>
                <w:p>
                  <w:pPr>
                    <w:pStyle w:val="Compact"/>
                    <w:jc w:val="left"/>
                    <w:jc w:val="center"/>
                  </w:pPr>
                  <w:r>
                    <w:t xml:space="preserve">Total</w:t>
                  </w:r>
                </w:p>
              </w:tc>
              <w:tc>
                <w:tcPr/>
                <w:p>
                  <w:pPr>
                    <w:pStyle w:val="Compact"/>
                    <w:jc w:val="right"/>
                    <w:jc w:val="center"/>
                  </w:pPr>
                  <w:r>
                    <w:t xml:space="preserve">245</w:t>
                  </w:r>
                </w:p>
              </w:tc>
              <w:tc>
                <w:tcPr/>
                <w:p>
                  <w:pPr>
                    <w:pStyle w:val="Compact"/>
                    <w:jc w:val="left"/>
                    <w:jc w:val="center"/>
                  </w:pPr>
                  <w:r>
                    <w:t xml:space="preserve">30.2 ± 10.3</w:t>
                  </w:r>
                </w:p>
              </w:tc>
              <w:tc>
                <w:tcPr/>
                <w:p>
                  <w:pPr>
                    <w:pStyle w:val="Compact"/>
                    <w:jc w:val="left"/>
                    <w:jc w:val="center"/>
                  </w:pPr>
                  <w:r>
                    <w:t xml:space="preserve">Total</w:t>
                  </w:r>
                </w:p>
              </w:tc>
              <w:tc>
                <w:tcPr/>
                <w:p>
                  <w:pPr>
                    <w:pStyle w:val="Compact"/>
                    <w:jc w:val="left"/>
                    <w:jc w:val="center"/>
                  </w:pPr>
                  <w:r>
                    <w:t xml:space="preserve">46 (6.5% ± 0.0%)</w:t>
                  </w:r>
                </w:p>
              </w:tc>
              <w:tc>
                <w:tcPr/>
                <w:p>
                  <w:pPr>
                    <w:pStyle w:val="Compact"/>
                    <w:jc w:val="left"/>
                    <w:jc w:val="center"/>
                  </w:pPr>
                  <w:r>
                    <w:t xml:space="preserve">99 (55.6% ± 0.0%)</w:t>
                  </w:r>
                </w:p>
              </w:tc>
              <w:tc>
                <w:tcPr/>
                <w:p>
                  <w:pPr>
                    <w:pStyle w:val="Compact"/>
                    <w:jc w:val="left"/>
                    <w:jc w:val="center"/>
                  </w:pPr>
                  <w:r>
                    <w:t xml:space="preserve">90 (57.0% ± 0.1%)</w:t>
                  </w:r>
                </w:p>
              </w:tc>
              <w:tc>
                <w:tcPr/>
                <w:p>
                  <w:pPr>
                    <w:pStyle w:val="Compact"/>
                    <w:jc w:val="left"/>
                    <w:jc w:val="center"/>
                  </w:pPr>
                  <w:r>
                    <w:t xml:space="preserve">1 (13.0% ± 0.3%)</w:t>
                  </w:r>
                </w:p>
              </w:tc>
            </w:tr>
          </w:tbl>
          <w:bookmarkEnd w:id="67"/>
          <w:p/>
        </w:tc>
      </w:tr>
    </w:tbl>
    <w:p>
      <w:r>
        <w:br w:type="page"/>
      </w:r>
    </w:p>
    <w:tbl>
      <w:tblPr>
        <w:tblStyle w:val="Table"/>
        <w:tblW w:type="pct" w:w="5000"/>
        <w:tblLayout w:type="fixed"/>
        <w:tblLook w:firstRow="0" w:lastRow="0" w:firstColumn="0" w:lastColumn="0" w:noHBand="0" w:noVBand="0" w:val="0000"/>
      </w:tblPr>
      <w:tblGrid>
        <w:gridCol w:w="7920"/>
      </w:tblGrid>
      <w:tr>
        <w:tc>
          <w:tcPr/>
          <w:bookmarkStart w:id="68" w:name="supptbl-densfreq"/>
          <w:p>
            <w:pPr>
              <w:jc w:val="center"/>
            </w:pPr>
            <w:pPr>
              <w:jc w:val="start"/>
              <w:spacing w:before="200"/>
              <w:pStyle w:val="ImageCaption"/>
            </w:pPr>
            <w:r>
              <w:t xml:space="preserve">Table S2: Density (ind km</w:t>
            </w:r>
            <w:r>
              <w:rPr>
                <w:vertAlign w:val="superscript"/>
              </w:rPr>
              <w:t xml:space="preserve">-1</w:t>
            </w:r>
            <w:r>
              <w:t xml:space="preserve">) and frequency (% sites present) of predators within and across clusters. See</w:t>
            </w:r>
            <w:r>
              <w:t xml:space="preserve"> </w:t>
            </w:r>
            <w:hyperlink w:anchor="tbl-predators">
              <w:r>
                <w:rPr>
                  <w:rStyle w:val="Hyperlink"/>
                </w:rPr>
                <w:t xml:space="preserve">Table 2</w:t>
              </w:r>
            </w:hyperlink>
            <w:r>
              <w:t xml:space="preserve"> </w:t>
            </w:r>
            <w:r>
              <w:t xml:space="preserve">for scientific names. Note: we removed sites with no observed predators from the cluster analysis, so the frequencies in the</w:t>
            </w:r>
            <w:r>
              <w:t xml:space="preserve"> </w:t>
            </w:r>
            <w:r>
              <w:rPr>
                <w:b/>
                <w:bCs/>
              </w:rPr>
              <w:t xml:space="preserve">All clusters</w:t>
            </w:r>
            <w:r>
              <w:t xml:space="preserve"> </w:t>
            </w:r>
            <w:r>
              <w:t xml:space="preserve">column are greater than the frequencies in</w:t>
            </w:r>
            <w:r>
              <w:t xml:space="preserve"> </w:t>
            </w:r>
            <w:hyperlink w:anchor="tbl-predators">
              <w:r>
                <w:rPr>
                  <w:rStyle w:val="Hyperlink"/>
                </w:rPr>
                <w:t xml:space="preserve">Table 2</w:t>
              </w:r>
            </w:hyperlink>
            <w:r>
              <w:t xml:space="preserve"> </w:t>
            </w:r>
            <w:r>
              <w:t xml:space="preserve">(which included sites without predators).</w:t>
            </w:r>
          </w:p>
          <w:tbl>
            <w:tblPr>
              <w:tblStyle w:val="Table"/>
              <w:tblW w:type="pct" w:w="5000"/>
              <w:tblLayout w:type="fixed"/>
              <w:tblLook w:firstRow="1" w:lastRow="0" w:firstColumn="0" w:lastColumn="0" w:noHBand="0" w:noVBand="0" w:val="0020"/>
            </w:tblPr>
            <w:tblGrid>
              <w:gridCol w:w="2205"/>
              <w:gridCol w:w="1403"/>
              <w:gridCol w:w="1503"/>
              <w:gridCol w:w="1403"/>
              <w:gridCol w:w="1403"/>
            </w:tblGrid>
            <w:tr>
              <w:trPr>
                <w:tblHeader w:val="on"/>
              </w:trPr>
              <w:tc>
                <w:tcPr/>
                <w:p>
                  <w:pPr>
                    <w:pStyle w:val="Compact"/>
                    <w:jc w:val="left"/>
                    <w:jc w:val="center"/>
                  </w:pPr>
                  <w:r>
                    <w:t xml:space="preserve">Species</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c>
                <w:tcPr/>
                <w:p>
                  <w:pPr>
                    <w:pStyle w:val="Compact"/>
                    <w:jc w:val="left"/>
                    <w:jc w:val="center"/>
                  </w:pPr>
                  <w:r>
                    <w:t xml:space="preserve">All clusters</w:t>
                  </w:r>
                </w:p>
              </w:tc>
            </w:tr>
            <w:tr>
              <w:tc>
                <w:tcPr/>
                <w:p>
                  <w:pPr>
                    <w:pStyle w:val="Compact"/>
                    <w:jc w:val="left"/>
                    <w:jc w:val="center"/>
                  </w:pPr>
                  <w:r>
                    <w:t xml:space="preserve">Snow petrel</w:t>
                  </w:r>
                </w:p>
              </w:tc>
              <w:tc>
                <w:tcPr/>
                <w:p>
                  <w:pPr>
                    <w:pStyle w:val="Compact"/>
                    <w:jc w:val="left"/>
                    <w:jc w:val="center"/>
                  </w:pPr>
                  <w:r>
                    <w:t xml:space="preserve">1.554 (95.7%)</w:t>
                  </w:r>
                </w:p>
              </w:tc>
              <w:tc>
                <w:tcPr/>
                <w:p>
                  <w:pPr>
                    <w:pStyle w:val="Compact"/>
                    <w:jc w:val="left"/>
                    <w:jc w:val="center"/>
                  </w:pPr>
                  <w:r>
                    <w:t xml:space="preserve">3.116 (96.3%)</w:t>
                  </w:r>
                </w:p>
              </w:tc>
              <w:tc>
                <w:tcPr/>
                <w:p>
                  <w:pPr>
                    <w:pStyle w:val="Compact"/>
                    <w:jc w:val="left"/>
                    <w:jc w:val="center"/>
                  </w:pPr>
                  <w:r>
                    <w:t xml:space="preserve">0.463 (92.5%)</w:t>
                  </w:r>
                </w:p>
              </w:tc>
              <w:tc>
                <w:tcPr/>
                <w:p>
                  <w:pPr>
                    <w:pStyle w:val="Compact"/>
                    <w:jc w:val="left"/>
                    <w:jc w:val="center"/>
                  </w:pPr>
                  <w:r>
                    <w:t xml:space="preserve">1.665 (95.1%)</w:t>
                  </w:r>
                </w:p>
              </w:tc>
            </w:tr>
            <w:tr>
              <w:tc>
                <w:tcPr/>
                <w:p>
                  <w:pPr>
                    <w:pStyle w:val="Compact"/>
                    <w:jc w:val="left"/>
                    <w:jc w:val="center"/>
                  </w:pPr>
                  <w:r>
                    <w:t xml:space="preserve">Adélie penguin</w:t>
                  </w:r>
                </w:p>
              </w:tc>
              <w:tc>
                <w:tcPr/>
                <w:p>
                  <w:pPr>
                    <w:pStyle w:val="Compact"/>
                    <w:jc w:val="left"/>
                    <w:jc w:val="center"/>
                  </w:pPr>
                  <w:r>
                    <w:t xml:space="preserve">0.004 (6.5%)</w:t>
                  </w:r>
                </w:p>
              </w:tc>
              <w:tc>
                <w:tcPr/>
                <w:p>
                  <w:pPr>
                    <w:pStyle w:val="Compact"/>
                    <w:jc w:val="left"/>
                    <w:jc w:val="center"/>
                  </w:pPr>
                  <w:r>
                    <w:t xml:space="preserve">4.036 (42.6%)</w:t>
                  </w:r>
                </w:p>
              </w:tc>
              <w:tc>
                <w:tcPr/>
                <w:p>
                  <w:pPr>
                    <w:pStyle w:val="Compact"/>
                    <w:jc w:val="left"/>
                    <w:jc w:val="center"/>
                  </w:pPr>
                  <w:r>
                    <w:t xml:space="preserve">0.948 (67.9%)</w:t>
                  </w:r>
                </w:p>
              </w:tc>
              <w:tc>
                <w:tcPr/>
                <w:p>
                  <w:pPr>
                    <w:pStyle w:val="Compact"/>
                    <w:jc w:val="left"/>
                    <w:jc w:val="center"/>
                  </w:pPr>
                  <w:r>
                    <w:t xml:space="preserve">1.153 (27.8%)</w:t>
                  </w:r>
                </w:p>
              </w:tc>
            </w:tr>
            <w:tr>
              <w:tc>
                <w:tcPr/>
                <w:p>
                  <w:pPr>
                    <w:pStyle w:val="Compact"/>
                    <w:jc w:val="left"/>
                    <w:jc w:val="center"/>
                  </w:pPr>
                  <w:r>
                    <w:t xml:space="preserve">Antarctic fur seal</w:t>
                  </w:r>
                </w:p>
              </w:tc>
              <w:tc>
                <w:tcPr/>
                <w:p>
                  <w:pPr>
                    <w:pStyle w:val="Compact"/>
                    <w:jc w:val="left"/>
                    <w:jc w:val="center"/>
                  </w:pPr>
                  <w:r>
                    <w:t xml:space="preserve">0.073 (50.7%)</w:t>
                  </w:r>
                </w:p>
              </w:tc>
              <w:tc>
                <w:tcPr/>
                <w:p>
                  <w:pPr>
                    <w:pStyle w:val="Compact"/>
                    <w:jc w:val="left"/>
                    <w:jc w:val="center"/>
                  </w:pPr>
                  <w:r>
                    <w:t xml:space="preserve">2.892 (100.0%)</w:t>
                  </w:r>
                </w:p>
              </w:tc>
              <w:tc>
                <w:tcPr/>
                <w:p>
                  <w:pPr>
                    <w:pStyle w:val="Compact"/>
                    <w:jc w:val="left"/>
                    <w:jc w:val="center"/>
                  </w:pPr>
                  <w:r>
                    <w:t xml:space="preserve">0.121 (52.8%)</w:t>
                  </w:r>
                </w:p>
              </w:tc>
              <w:tc>
                <w:tcPr/>
                <w:p>
                  <w:pPr>
                    <w:pStyle w:val="Compact"/>
                    <w:jc w:val="left"/>
                    <w:jc w:val="center"/>
                  </w:pPr>
                  <w:r>
                    <w:t xml:space="preserve">0.736 (62.0%)</w:t>
                  </w:r>
                </w:p>
              </w:tc>
            </w:tr>
            <w:tr>
              <w:tc>
                <w:tcPr/>
                <w:p>
                  <w:pPr>
                    <w:pStyle w:val="Compact"/>
                    <w:jc w:val="left"/>
                    <w:jc w:val="center"/>
                  </w:pPr>
                  <w:r>
                    <w:t xml:space="preserve">Crabeater seal</w:t>
                  </w:r>
                </w:p>
              </w:tc>
              <w:tc>
                <w:tcPr/>
                <w:p>
                  <w:pPr>
                    <w:pStyle w:val="Compact"/>
                    <w:jc w:val="left"/>
                    <w:jc w:val="center"/>
                  </w:pPr>
                  <w:r>
                    <w:t xml:space="preserve">0.005 (6.5%)</w:t>
                  </w:r>
                </w:p>
              </w:tc>
              <w:tc>
                <w:tcPr/>
                <w:p>
                  <w:pPr>
                    <w:pStyle w:val="Compact"/>
                    <w:jc w:val="left"/>
                    <w:jc w:val="center"/>
                  </w:pPr>
                  <w:r>
                    <w:t xml:space="preserve">0.437 (38.9%)</w:t>
                  </w:r>
                </w:p>
              </w:tc>
              <w:tc>
                <w:tcPr/>
                <w:p>
                  <w:pPr>
                    <w:pStyle w:val="Compact"/>
                    <w:jc w:val="left"/>
                    <w:jc w:val="center"/>
                  </w:pPr>
                  <w:r>
                    <w:t xml:space="preserve">1.380 (52.8%)</w:t>
                  </w:r>
                </w:p>
              </w:tc>
              <w:tc>
                <w:tcPr/>
                <w:p>
                  <w:pPr>
                    <w:pStyle w:val="Compact"/>
                    <w:jc w:val="left"/>
                    <w:jc w:val="center"/>
                  </w:pPr>
                  <w:r>
                    <w:t xml:space="preserve">0.421 (23.7%)</w:t>
                  </w:r>
                </w:p>
              </w:tc>
            </w:tr>
            <w:tr>
              <w:tc>
                <w:tcPr/>
                <w:p>
                  <w:pPr>
                    <w:pStyle w:val="Compact"/>
                    <w:jc w:val="left"/>
                    <w:jc w:val="center"/>
                  </w:pPr>
                  <w:r>
                    <w:t xml:space="preserve">Antarctic petrel</w:t>
                  </w:r>
                </w:p>
              </w:tc>
              <w:tc>
                <w:tcPr/>
                <w:p>
                  <w:pPr>
                    <w:pStyle w:val="Compact"/>
                    <w:jc w:val="left"/>
                    <w:jc w:val="center"/>
                  </w:pPr>
                  <w:r>
                    <w:t xml:space="preserve">0.404 (92.8%)</w:t>
                  </w:r>
                </w:p>
              </w:tc>
              <w:tc>
                <w:tcPr/>
                <w:p>
                  <w:pPr>
                    <w:pStyle w:val="Compact"/>
                    <w:jc w:val="left"/>
                    <w:jc w:val="center"/>
                  </w:pPr>
                  <w:r>
                    <w:t xml:space="preserve">0.258 (85.2%)</w:t>
                  </w:r>
                </w:p>
              </w:tc>
              <w:tc>
                <w:tcPr/>
                <w:p>
                  <w:pPr>
                    <w:pStyle w:val="Compact"/>
                    <w:jc w:val="left"/>
                    <w:jc w:val="center"/>
                  </w:pPr>
                  <w:r>
                    <w:t xml:space="preserve">0.177 (66.0%)</w:t>
                  </w:r>
                </w:p>
              </w:tc>
              <w:tc>
                <w:tcPr/>
                <w:p>
                  <w:pPr>
                    <w:pStyle w:val="Compact"/>
                    <w:jc w:val="left"/>
                    <w:jc w:val="center"/>
                  </w:pPr>
                  <w:r>
                    <w:t xml:space="preserve">0.318 (85.3%)</w:t>
                  </w:r>
                </w:p>
              </w:tc>
            </w:tr>
            <w:tr>
              <w:tc>
                <w:tcPr/>
                <w:p>
                  <w:pPr>
                    <w:pStyle w:val="Compact"/>
                    <w:jc w:val="left"/>
                    <w:jc w:val="center"/>
                  </w:pPr>
                  <w:r>
                    <w:t xml:space="preserve">Southern fulmar</w:t>
                  </w:r>
                </w:p>
              </w:tc>
              <w:tc>
                <w:tcPr/>
                <w:p>
                  <w:pPr>
                    <w:pStyle w:val="Compact"/>
                    <w:jc w:val="left"/>
                    <w:jc w:val="center"/>
                  </w:pPr>
                  <w:r>
                    <w:t xml:space="preserve">0.240 (59.4%)</w:t>
                  </w:r>
                </w:p>
              </w:tc>
              <w:tc>
                <w:tcPr/>
                <w:p>
                  <w:pPr>
                    <w:pStyle w:val="Compact"/>
                    <w:jc w:val="left"/>
                    <w:jc w:val="center"/>
                  </w:pPr>
                  <w:r>
                    <w:t xml:space="preserve">0.033 (29.6%)</w:t>
                  </w:r>
                </w:p>
              </w:tc>
              <w:tc>
                <w:tcPr/>
                <w:p>
                  <w:pPr>
                    <w:pStyle w:val="Compact"/>
                    <w:jc w:val="left"/>
                    <w:jc w:val="center"/>
                  </w:pPr>
                  <w:r>
                    <w:t xml:space="preserve">0.045 (18.9%)</w:t>
                  </w:r>
                </w:p>
              </w:tc>
              <w:tc>
                <w:tcPr/>
                <w:p>
                  <w:pPr>
                    <w:pStyle w:val="Compact"/>
                    <w:jc w:val="left"/>
                    <w:jc w:val="center"/>
                  </w:pPr>
                  <w:r>
                    <w:t xml:space="preserve">0.147 (44.1%)</w:t>
                  </w:r>
                </w:p>
              </w:tc>
            </w:tr>
            <w:tr>
              <w:tc>
                <w:tcPr/>
                <w:p>
                  <w:pPr>
                    <w:pStyle w:val="Compact"/>
                    <w:jc w:val="left"/>
                    <w:jc w:val="center"/>
                  </w:pPr>
                  <w:r>
                    <w:t xml:space="preserve">Kelp gull</w:t>
                  </w:r>
                </w:p>
              </w:tc>
              <w:tc>
                <w:tcPr/>
                <w:p>
                  <w:pPr>
                    <w:pStyle w:val="Compact"/>
                    <w:jc w:val="left"/>
                    <w:jc w:val="center"/>
                  </w:pPr>
                  <w:r>
                    <w:t xml:space="preserve">0.056 (44.2%)</w:t>
                  </w:r>
                </w:p>
              </w:tc>
              <w:tc>
                <w:tcPr/>
                <w:p>
                  <w:pPr>
                    <w:pStyle w:val="Compact"/>
                    <w:jc w:val="left"/>
                    <w:jc w:val="center"/>
                  </w:pPr>
                  <w:r>
                    <w:t xml:space="preserve">0.158 (74.1%)</w:t>
                  </w:r>
                </w:p>
              </w:tc>
              <w:tc>
                <w:tcPr/>
                <w:p>
                  <w:pPr>
                    <w:pStyle w:val="Compact"/>
                    <w:jc w:val="left"/>
                    <w:jc w:val="center"/>
                  </w:pPr>
                  <w:r>
                    <w:t xml:space="preserve">0.108 (49.1%)</w:t>
                  </w:r>
                </w:p>
              </w:tc>
              <w:tc>
                <w:tcPr/>
                <w:p>
                  <w:pPr>
                    <w:pStyle w:val="Compact"/>
                    <w:jc w:val="left"/>
                    <w:jc w:val="center"/>
                  </w:pPr>
                  <w:r>
                    <w:t xml:space="preserve">0.092 (51.8%)</w:t>
                  </w:r>
                </w:p>
              </w:tc>
            </w:tr>
            <w:tr>
              <w:tc>
                <w:tcPr/>
                <w:p>
                  <w:pPr>
                    <w:pStyle w:val="Compact"/>
                    <w:jc w:val="left"/>
                    <w:jc w:val="center"/>
                  </w:pPr>
                  <w:r>
                    <w:t xml:space="preserve">Blue petrel</w:t>
                  </w:r>
                </w:p>
              </w:tc>
              <w:tc>
                <w:tcPr/>
                <w:p>
                  <w:pPr>
                    <w:pStyle w:val="Compact"/>
                    <w:jc w:val="left"/>
                    <w:jc w:val="center"/>
                  </w:pPr>
                  <w:r>
                    <w:t xml:space="preserve">0.125 (32.6%)</w:t>
                  </w:r>
                </w:p>
              </w:tc>
              <w:tc>
                <w:tcPr/>
                <w:p>
                  <w:pPr>
                    <w:pStyle w:val="Compact"/>
                    <w:jc w:val="left"/>
                    <w:jc w:val="center"/>
                  </w:pPr>
                  <w:r>
                    <w:t xml:space="preserve">0.090 (13.0%)</w:t>
                  </w:r>
                </w:p>
              </w:tc>
              <w:tc>
                <w:tcPr/>
                <w:p>
                  <w:pPr>
                    <w:pStyle w:val="Compact"/>
                    <w:jc w:val="left"/>
                    <w:jc w:val="center"/>
                  </w:pPr>
                  <w:r>
                    <w:t xml:space="preserve">&lt;0.001 (1.9%)</w:t>
                  </w:r>
                </w:p>
              </w:tc>
              <w:tc>
                <w:tcPr/>
                <w:p>
                  <w:pPr>
                    <w:pStyle w:val="Compact"/>
                    <w:jc w:val="left"/>
                    <w:jc w:val="center"/>
                  </w:pPr>
                  <w:r>
                    <w:t xml:space="preserve">0.089 (21.6%)</w:t>
                  </w:r>
                </w:p>
              </w:tc>
            </w:tr>
            <w:tr>
              <w:tc>
                <w:tcPr/>
                <w:p>
                  <w:pPr>
                    <w:pStyle w:val="Compact"/>
                    <w:jc w:val="left"/>
                    <w:jc w:val="center"/>
                  </w:pPr>
                  <w:r>
                    <w:t xml:space="preserve">Southern giant petrel</w:t>
                  </w:r>
                </w:p>
              </w:tc>
              <w:tc>
                <w:tcPr/>
                <w:p>
                  <w:pPr>
                    <w:pStyle w:val="Compact"/>
                    <w:jc w:val="left"/>
                    <w:jc w:val="center"/>
                  </w:pPr>
                  <w:r>
                    <w:t xml:space="preserve">0.084 (73.2%)</w:t>
                  </w:r>
                </w:p>
              </w:tc>
              <w:tc>
                <w:tcPr/>
                <w:p>
                  <w:pPr>
                    <w:pStyle w:val="Compact"/>
                    <w:jc w:val="left"/>
                    <w:jc w:val="center"/>
                  </w:pPr>
                  <w:r>
                    <w:t xml:space="preserve">0.101 (88.9%)</w:t>
                  </w:r>
                </w:p>
              </w:tc>
              <w:tc>
                <w:tcPr/>
                <w:p>
                  <w:pPr>
                    <w:pStyle w:val="Compact"/>
                    <w:jc w:val="left"/>
                    <w:jc w:val="center"/>
                  </w:pPr>
                  <w:r>
                    <w:t xml:space="preserve">0.066 (52.8%)</w:t>
                  </w:r>
                </w:p>
              </w:tc>
              <w:tc>
                <w:tcPr/>
                <w:p>
                  <w:pPr>
                    <w:pStyle w:val="Compact"/>
                    <w:jc w:val="left"/>
                    <w:jc w:val="center"/>
                  </w:pPr>
                  <w:r>
                    <w:t xml:space="preserve">0.084 (72.2%)</w:t>
                  </w:r>
                </w:p>
              </w:tc>
            </w:tr>
            <w:tr>
              <w:tc>
                <w:tcPr/>
                <w:p>
                  <w:pPr>
                    <w:pStyle w:val="Compact"/>
                    <w:jc w:val="left"/>
                    <w:jc w:val="center"/>
                  </w:pPr>
                  <w:r>
                    <w:t xml:space="preserve">Cape petrel</w:t>
                  </w:r>
                </w:p>
              </w:tc>
              <w:tc>
                <w:tcPr/>
                <w:p>
                  <w:pPr>
                    <w:pStyle w:val="Compact"/>
                    <w:jc w:val="left"/>
                    <w:jc w:val="center"/>
                  </w:pPr>
                  <w:r>
                    <w:t xml:space="preserve">0.084 (47.8%)</w:t>
                  </w:r>
                </w:p>
              </w:tc>
              <w:tc>
                <w:tcPr/>
                <w:p>
                  <w:pPr>
                    <w:pStyle w:val="Compact"/>
                    <w:jc w:val="left"/>
                    <w:jc w:val="center"/>
                  </w:pPr>
                  <w:r>
                    <w:t xml:space="preserve">0.116 (20.4%)</w:t>
                  </w:r>
                </w:p>
              </w:tc>
              <w:tc>
                <w:tcPr/>
                <w:p>
                  <w:pPr>
                    <w:pStyle w:val="Compact"/>
                    <w:jc w:val="left"/>
                    <w:jc w:val="center"/>
                  </w:pPr>
                  <w:r>
                    <w:t xml:space="preserve">0.006 (13.2%)</w:t>
                  </w:r>
                </w:p>
              </w:tc>
              <w:tc>
                <w:tcPr/>
                <w:p>
                  <w:pPr>
                    <w:pStyle w:val="Compact"/>
                    <w:jc w:val="left"/>
                    <w:jc w:val="center"/>
                  </w:pPr>
                  <w:r>
                    <w:t xml:space="preserve">0.074 (34.3%)</w:t>
                  </w:r>
                </w:p>
              </w:tc>
            </w:tr>
            <w:tr>
              <w:tc>
                <w:tcPr/>
                <w:p>
                  <w:pPr>
                    <w:pStyle w:val="Compact"/>
                    <w:jc w:val="left"/>
                    <w:jc w:val="center"/>
                  </w:pPr>
                  <w:r>
                    <w:t xml:space="preserve">Leopard seal</w:t>
                  </w:r>
                </w:p>
              </w:tc>
              <w:tc>
                <w:tcPr/>
                <w:p>
                  <w:pPr>
                    <w:pStyle w:val="Compact"/>
                    <w:jc w:val="left"/>
                    <w:jc w:val="center"/>
                  </w:pPr>
                  <w:r>
                    <w:t xml:space="preserve">0.004 (8.7%)</w:t>
                  </w:r>
                </w:p>
              </w:tc>
              <w:tc>
                <w:tcPr/>
                <w:p>
                  <w:pPr>
                    <w:pStyle w:val="Compact"/>
                    <w:jc w:val="left"/>
                    <w:jc w:val="center"/>
                  </w:pPr>
                  <w:r>
                    <w:t xml:space="preserve">0.080 (38.9%)</w:t>
                  </w:r>
                </w:p>
              </w:tc>
              <w:tc>
                <w:tcPr/>
                <w:p>
                  <w:pPr>
                    <w:pStyle w:val="Compact"/>
                    <w:jc w:val="left"/>
                    <w:jc w:val="center"/>
                  </w:pPr>
                  <w:r>
                    <w:t xml:space="preserve">0.025 (30.2%)</w:t>
                  </w:r>
                </w:p>
              </w:tc>
              <w:tc>
                <w:tcPr/>
                <w:p>
                  <w:pPr>
                    <w:pStyle w:val="Compact"/>
                    <w:jc w:val="left"/>
                    <w:jc w:val="center"/>
                  </w:pPr>
                  <w:r>
                    <w:t xml:space="preserve">0.026 (20.0%)</w:t>
                  </w:r>
                </w:p>
              </w:tc>
            </w:tr>
            <w:tr>
              <w:tc>
                <w:tcPr/>
                <w:p>
                  <w:pPr>
                    <w:pStyle w:val="Compact"/>
                    <w:jc w:val="left"/>
                    <w:jc w:val="center"/>
                  </w:pPr>
                  <w:r>
                    <w:t xml:space="preserve">Antarctic tern</w:t>
                  </w:r>
                </w:p>
              </w:tc>
              <w:tc>
                <w:tcPr/>
                <w:p>
                  <w:pPr>
                    <w:pStyle w:val="Compact"/>
                    <w:jc w:val="left"/>
                    <w:jc w:val="center"/>
                  </w:pPr>
                  <w:r>
                    <w:t xml:space="preserve">0.012 (9.4%)</w:t>
                  </w:r>
                </w:p>
              </w:tc>
              <w:tc>
                <w:tcPr/>
                <w:p>
                  <w:pPr>
                    <w:pStyle w:val="Compact"/>
                    <w:jc w:val="left"/>
                    <w:jc w:val="center"/>
                  </w:pPr>
                  <w:r>
                    <w:t xml:space="preserve">0.061 (38.9%)</w:t>
                  </w:r>
                </w:p>
              </w:tc>
              <w:tc>
                <w:tcPr/>
                <w:p>
                  <w:pPr>
                    <w:pStyle w:val="Compact"/>
                    <w:jc w:val="left"/>
                    <w:jc w:val="center"/>
                  </w:pPr>
                  <w:r>
                    <w:t xml:space="preserve">0.003 (5.7%)</w:t>
                  </w:r>
                </w:p>
              </w:tc>
              <w:tc>
                <w:tcPr/>
                <w:p>
                  <w:pPr>
                    <w:pStyle w:val="Compact"/>
                    <w:jc w:val="left"/>
                    <w:jc w:val="center"/>
                  </w:pPr>
                  <w:r>
                    <w:t xml:space="preserve">0.021 (15.1%)</w:t>
                  </w:r>
                </w:p>
              </w:tc>
            </w:tr>
            <w:tr>
              <w:tc>
                <w:tcPr/>
                <w:p>
                  <w:pPr>
                    <w:pStyle w:val="Compact"/>
                    <w:jc w:val="left"/>
                    <w:jc w:val="center"/>
                  </w:pPr>
                  <w:r>
                    <w:t xml:space="preserve">Gentoo penguin</w:t>
                  </w:r>
                </w:p>
              </w:tc>
              <w:tc>
                <w:tcPr/>
                <w:p>
                  <w:pPr>
                    <w:pStyle w:val="Compact"/>
                    <w:jc w:val="left"/>
                    <w:jc w:val="center"/>
                  </w:pPr>
                  <w:r>
                    <w:t xml:space="preserve">0.005 (2.2%)</w:t>
                  </w:r>
                </w:p>
              </w:tc>
              <w:tc>
                <w:tcPr/>
                <w:p>
                  <w:pPr>
                    <w:pStyle w:val="Compact"/>
                    <w:jc w:val="left"/>
                    <w:jc w:val="center"/>
                  </w:pPr>
                  <w:r>
                    <w:t xml:space="preserve">0.054 (5.6%)</w:t>
                  </w:r>
                </w:p>
              </w:tc>
              <w:tc>
                <w:tcPr/>
                <w:p>
                  <w:pPr>
                    <w:pStyle w:val="Compact"/>
                    <w:jc w:val="left"/>
                    <w:jc w:val="center"/>
                  </w:pPr>
                  <w:r>
                    <w:t xml:space="preserve">0.017 (11.3%)</w:t>
                  </w:r>
                </w:p>
              </w:tc>
              <w:tc>
                <w:tcPr/>
                <w:p>
                  <w:pPr>
                    <w:pStyle w:val="Compact"/>
                    <w:jc w:val="left"/>
                    <w:jc w:val="center"/>
                  </w:pPr>
                  <w:r>
                    <w:t xml:space="preserve">0.019 (4.9%)</w:t>
                  </w:r>
                </w:p>
              </w:tc>
            </w:tr>
            <w:tr>
              <w:tc>
                <w:tcPr/>
                <w:p>
                  <w:pPr>
                    <w:pStyle w:val="Compact"/>
                    <w:jc w:val="left"/>
                    <w:jc w:val="center"/>
                  </w:pPr>
                  <w:r>
                    <w:t xml:space="preserve">Antarctic shag</w:t>
                  </w:r>
                </w:p>
              </w:tc>
              <w:tc>
                <w:tcPr/>
                <w:p>
                  <w:pPr>
                    <w:pStyle w:val="Compact"/>
                    <w:jc w:val="left"/>
                    <w:jc w:val="center"/>
                  </w:pPr>
                  <w:r>
                    <w:t xml:space="preserve">0.022 (0.7%)</w:t>
                  </w:r>
                </w:p>
              </w:tc>
              <w:tc>
                <w:tcPr/>
                <w:p>
                  <w:pPr>
                    <w:pStyle w:val="Compact"/>
                    <w:jc w:val="left"/>
                    <w:jc w:val="center"/>
                  </w:pPr>
                  <w:r>
                    <w:t xml:space="preserve">0.000 (0.0%)</w:t>
                  </w:r>
                </w:p>
              </w:tc>
              <w:tc>
                <w:tcPr/>
                <w:p>
                  <w:pPr>
                    <w:pStyle w:val="Compact"/>
                    <w:jc w:val="left"/>
                    <w:jc w:val="center"/>
                  </w:pPr>
                  <w:r>
                    <w:t xml:space="preserve">0.000 (0.0%)</w:t>
                  </w:r>
                </w:p>
              </w:tc>
              <w:tc>
                <w:tcPr/>
                <w:p>
                  <w:pPr>
                    <w:pStyle w:val="Compact"/>
                    <w:jc w:val="left"/>
                    <w:jc w:val="center"/>
                  </w:pPr>
                  <w:r>
                    <w:t xml:space="preserve">0.012 (0.4%)</w:t>
                  </w:r>
                </w:p>
              </w:tc>
            </w:tr>
            <w:tr>
              <w:tc>
                <w:tcPr/>
                <w:p>
                  <w:pPr>
                    <w:pStyle w:val="Compact"/>
                    <w:jc w:val="left"/>
                    <w:jc w:val="center"/>
                  </w:pPr>
                  <w:r>
                    <w:t xml:space="preserve">Killer whale</w:t>
                  </w:r>
                </w:p>
              </w:tc>
              <w:tc>
                <w:tcPr/>
                <w:p>
                  <w:pPr>
                    <w:pStyle w:val="Compact"/>
                    <w:jc w:val="left"/>
                    <w:jc w:val="center"/>
                  </w:pPr>
                  <w:r>
                    <w:t xml:space="preserve">0.000 (0.0%)</w:t>
                  </w:r>
                </w:p>
              </w:tc>
              <w:tc>
                <w:tcPr/>
                <w:p>
                  <w:pPr>
                    <w:pStyle w:val="Compact"/>
                    <w:jc w:val="left"/>
                    <w:jc w:val="center"/>
                  </w:pPr>
                  <w:r>
                    <w:t xml:space="preserve">0.023 (5.6%)</w:t>
                  </w:r>
                </w:p>
              </w:tc>
              <w:tc>
                <w:tcPr/>
                <w:p>
                  <w:pPr>
                    <w:pStyle w:val="Compact"/>
                    <w:jc w:val="left"/>
                    <w:jc w:val="center"/>
                  </w:pPr>
                  <w:r>
                    <w:t xml:space="preserve">0.005 (3.8%)</w:t>
                  </w:r>
                </w:p>
              </w:tc>
              <w:tc>
                <w:tcPr/>
                <w:p>
                  <w:pPr>
                    <w:pStyle w:val="Compact"/>
                    <w:jc w:val="left"/>
                    <w:jc w:val="center"/>
                  </w:pPr>
                  <w:r>
                    <w:t xml:space="preserve">0.006 (2.0%)</w:t>
                  </w:r>
                </w:p>
              </w:tc>
            </w:tr>
            <w:tr>
              <w:tc>
                <w:tcPr/>
                <w:p>
                  <w:pPr>
                    <w:pStyle w:val="Compact"/>
                    <w:jc w:val="left"/>
                    <w:jc w:val="center"/>
                  </w:pPr>
                  <w:r>
                    <w:t xml:space="preserve">Minke whale</w:t>
                  </w:r>
                </w:p>
              </w:tc>
              <w:tc>
                <w:tcPr/>
                <w:p>
                  <w:pPr>
                    <w:pStyle w:val="Compact"/>
                    <w:jc w:val="left"/>
                    <w:jc w:val="center"/>
                  </w:pPr>
                  <w:r>
                    <w:t xml:space="preserve">0.002 (3.6%)</w:t>
                  </w:r>
                </w:p>
              </w:tc>
              <w:tc>
                <w:tcPr/>
                <w:p>
                  <w:pPr>
                    <w:pStyle w:val="Compact"/>
                    <w:jc w:val="left"/>
                    <w:jc w:val="center"/>
                  </w:pPr>
                  <w:r>
                    <w:t xml:space="preserve">0.018 (13.0%)</w:t>
                  </w:r>
                </w:p>
              </w:tc>
              <w:tc>
                <w:tcPr/>
                <w:p>
                  <w:pPr>
                    <w:pStyle w:val="Compact"/>
                    <w:jc w:val="left"/>
                    <w:jc w:val="center"/>
                  </w:pPr>
                  <w:r>
                    <w:t xml:space="preserve">0.003 (9.4%)</w:t>
                  </w:r>
                </w:p>
              </w:tc>
              <w:tc>
                <w:tcPr/>
                <w:p>
                  <w:pPr>
                    <w:pStyle w:val="Compact"/>
                    <w:jc w:val="left"/>
                    <w:jc w:val="center"/>
                  </w:pPr>
                  <w:r>
                    <w:t xml:space="preserve">0.006 (6.9%)</w:t>
                  </w:r>
                </w:p>
              </w:tc>
            </w:tr>
            <w:tr>
              <w:tc>
                <w:tcPr/>
                <w:p>
                  <w:pPr>
                    <w:pStyle w:val="Compact"/>
                    <w:jc w:val="left"/>
                    <w:jc w:val="center"/>
                  </w:pPr>
                  <w:r>
                    <w:t xml:space="preserve">Pale-faced sheathbill</w:t>
                  </w:r>
                </w:p>
              </w:tc>
              <w:tc>
                <w:tcPr/>
                <w:p>
                  <w:pPr>
                    <w:pStyle w:val="Compact"/>
                    <w:jc w:val="left"/>
                    <w:jc w:val="center"/>
                  </w:pPr>
                  <w:r>
                    <w:t xml:space="preserve">0.002 (5.8%)</w:t>
                  </w:r>
                </w:p>
              </w:tc>
              <w:tc>
                <w:tcPr/>
                <w:p>
                  <w:pPr>
                    <w:pStyle w:val="Compact"/>
                    <w:jc w:val="left"/>
                    <w:jc w:val="center"/>
                  </w:pPr>
                  <w:r>
                    <w:t xml:space="preserve">0.006 (18.5%)</w:t>
                  </w:r>
                </w:p>
              </w:tc>
              <w:tc>
                <w:tcPr/>
                <w:p>
                  <w:pPr>
                    <w:pStyle w:val="Compact"/>
                    <w:jc w:val="left"/>
                    <w:jc w:val="center"/>
                  </w:pPr>
                  <w:r>
                    <w:t xml:space="preserve">0.006 (13.2%)</w:t>
                  </w:r>
                </w:p>
              </w:tc>
              <w:tc>
                <w:tcPr/>
                <w:p>
                  <w:pPr>
                    <w:pStyle w:val="Compact"/>
                    <w:jc w:val="left"/>
                    <w:jc w:val="center"/>
                  </w:pPr>
                  <w:r>
                    <w:t xml:space="preserve">0.004 (10.2%)</w:t>
                  </w:r>
                </w:p>
              </w:tc>
            </w:tr>
            <w:tr>
              <w:tc>
                <w:tcPr/>
                <w:p>
                  <w:pPr>
                    <w:pStyle w:val="Compact"/>
                    <w:jc w:val="left"/>
                    <w:jc w:val="center"/>
                  </w:pPr>
                  <w:r>
                    <w:t xml:space="preserve">Weddell seal</w:t>
                  </w:r>
                </w:p>
              </w:tc>
              <w:tc>
                <w:tcPr/>
                <w:p>
                  <w:pPr>
                    <w:pStyle w:val="Compact"/>
                    <w:jc w:val="left"/>
                    <w:jc w:val="center"/>
                  </w:pPr>
                  <w:r>
                    <w:t xml:space="preserve">0.002 (5.1%)</w:t>
                  </w:r>
                </w:p>
              </w:tc>
              <w:tc>
                <w:tcPr/>
                <w:p>
                  <w:pPr>
                    <w:pStyle w:val="Compact"/>
                    <w:jc w:val="left"/>
                    <w:jc w:val="center"/>
                  </w:pPr>
                  <w:r>
                    <w:t xml:space="preserve">&lt;0.001 (1.9%)</w:t>
                  </w:r>
                </w:p>
              </w:tc>
              <w:tc>
                <w:tcPr/>
                <w:p>
                  <w:pPr>
                    <w:pStyle w:val="Compact"/>
                    <w:jc w:val="left"/>
                    <w:jc w:val="center"/>
                  </w:pPr>
                  <w:r>
                    <w:t xml:space="preserve">0.006 (15.1%)</w:t>
                  </w:r>
                </w:p>
              </w:tc>
              <w:tc>
                <w:tcPr/>
                <w:p>
                  <w:pPr>
                    <w:pStyle w:val="Compact"/>
                    <w:jc w:val="left"/>
                    <w:jc w:val="center"/>
                  </w:pPr>
                  <w:r>
                    <w:t xml:space="preserve">0.003 (6.5%)</w:t>
                  </w:r>
                </w:p>
              </w:tc>
            </w:tr>
            <w:tr>
              <w:tc>
                <w:tcPr/>
                <w:p>
                  <w:pPr>
                    <w:pStyle w:val="Compact"/>
                    <w:jc w:val="left"/>
                    <w:jc w:val="center"/>
                  </w:pPr>
                  <w:r>
                    <w:t xml:space="preserve">Elephant seal</w:t>
                  </w:r>
                </w:p>
              </w:tc>
              <w:tc>
                <w:tcPr/>
                <w:p>
                  <w:pPr>
                    <w:pStyle w:val="Compact"/>
                    <w:jc w:val="left"/>
                    <w:jc w:val="center"/>
                  </w:pPr>
                  <w:r>
                    <w:t xml:space="preserve">0.004 (5.8%)</w:t>
                  </w:r>
                </w:p>
              </w:tc>
              <w:tc>
                <w:tcPr/>
                <w:p>
                  <w:pPr>
                    <w:pStyle w:val="Compact"/>
                    <w:jc w:val="left"/>
                    <w:jc w:val="center"/>
                  </w:pPr>
                  <w:r>
                    <w:t xml:space="preserve">0.000 (0.0%)</w:t>
                  </w:r>
                </w:p>
              </w:tc>
              <w:tc>
                <w:tcPr/>
                <w:p>
                  <w:pPr>
                    <w:pStyle w:val="Compact"/>
                    <w:jc w:val="left"/>
                    <w:jc w:val="center"/>
                  </w:pPr>
                  <w:r>
                    <w:t xml:space="preserve">0.002 (5.7%)</w:t>
                  </w:r>
                </w:p>
              </w:tc>
              <w:tc>
                <w:tcPr/>
                <w:p>
                  <w:pPr>
                    <w:pStyle w:val="Compact"/>
                    <w:jc w:val="left"/>
                    <w:jc w:val="center"/>
                  </w:pPr>
                  <w:r>
                    <w:t xml:space="preserve">0.002 (4.5%)</w:t>
                  </w:r>
                </w:p>
              </w:tc>
            </w:tr>
            <w:tr>
              <w:tc>
                <w:tcPr/>
                <w:p>
                  <w:pPr>
                    <w:pStyle w:val="Compact"/>
                    <w:jc w:val="left"/>
                    <w:jc w:val="center"/>
                  </w:pPr>
                  <w:r>
                    <w:t xml:space="preserve">Bottlenose whale</w:t>
                  </w:r>
                </w:p>
              </w:tc>
              <w:tc>
                <w:tcPr/>
                <w:p>
                  <w:pPr>
                    <w:pStyle w:val="Compact"/>
                    <w:jc w:val="left"/>
                    <w:jc w:val="center"/>
                  </w:pPr>
                  <w:r>
                    <w:t xml:space="preserve">0.001 (1.4%)</w:t>
                  </w:r>
                </w:p>
              </w:tc>
              <w:tc>
                <w:tcPr/>
                <w:p>
                  <w:pPr>
                    <w:pStyle w:val="Compact"/>
                    <w:jc w:val="left"/>
                    <w:jc w:val="center"/>
                  </w:pPr>
                  <w:r>
                    <w:t xml:space="preserve">0.000 (0.0%)</w:t>
                  </w:r>
                </w:p>
              </w:tc>
              <w:tc>
                <w:tcPr/>
                <w:p>
                  <w:pPr>
                    <w:pStyle w:val="Compact"/>
                    <w:jc w:val="left"/>
                    <w:jc w:val="center"/>
                  </w:pPr>
                  <w:r>
                    <w:t xml:space="preserve">0.000 (0.0%)</w:t>
                  </w:r>
                </w:p>
              </w:tc>
              <w:tc>
                <w:tcPr/>
                <w:p>
                  <w:pPr>
                    <w:pStyle w:val="Compact"/>
                    <w:jc w:val="left"/>
                    <w:jc w:val="center"/>
                  </w:pPr>
                  <w:r>
                    <w:t xml:space="preserve">&lt;0.001 (0.8%)</w:t>
                  </w:r>
                </w:p>
              </w:tc>
            </w:tr>
            <w:tr>
              <w:tc>
                <w:tcPr/>
                <w:p>
                  <w:pPr>
                    <w:pStyle w:val="Compact"/>
                    <w:jc w:val="left"/>
                    <w:jc w:val="center"/>
                  </w:pPr>
                  <w:r>
                    <w:t xml:space="preserve">Emperor penguin</w:t>
                  </w:r>
                </w:p>
              </w:tc>
              <w:tc>
                <w:tcPr/>
                <w:p>
                  <w:pPr>
                    <w:pStyle w:val="Compact"/>
                    <w:jc w:val="left"/>
                    <w:jc w:val="center"/>
                  </w:pPr>
                  <w:r>
                    <w:t xml:space="preserve">&lt;0.001 (0.7%)</w:t>
                  </w:r>
                </w:p>
              </w:tc>
              <w:tc>
                <w:tcPr/>
                <w:p>
                  <w:pPr>
                    <w:pStyle w:val="Compact"/>
                    <w:jc w:val="left"/>
                    <w:jc w:val="center"/>
                  </w:pPr>
                  <w:r>
                    <w:t xml:space="preserve">0.000 (0.0%)</w:t>
                  </w:r>
                </w:p>
              </w:tc>
              <w:tc>
                <w:tcPr/>
                <w:p>
                  <w:pPr>
                    <w:pStyle w:val="Compact"/>
                    <w:jc w:val="left"/>
                    <w:jc w:val="center"/>
                  </w:pPr>
                  <w:r>
                    <w:t xml:space="preserve">0.002 (1.9%)</w:t>
                  </w:r>
                </w:p>
              </w:tc>
              <w:tc>
                <w:tcPr/>
                <w:p>
                  <w:pPr>
                    <w:pStyle w:val="Compact"/>
                    <w:jc w:val="left"/>
                    <w:jc w:val="center"/>
                  </w:pPr>
                  <w:r>
                    <w:t xml:space="preserve">&lt;0.001 (0.8%)</w:t>
                  </w:r>
                </w:p>
              </w:tc>
            </w:tr>
            <w:tr>
              <w:tc>
                <w:tcPr/>
                <w:p>
                  <w:pPr>
                    <w:pStyle w:val="Compact"/>
                    <w:jc w:val="left"/>
                    <w:jc w:val="center"/>
                  </w:pPr>
                  <w:r>
                    <w:t xml:space="preserve">Ross seal</w:t>
                  </w:r>
                </w:p>
              </w:tc>
              <w:tc>
                <w:tcPr/>
                <w:p>
                  <w:pPr>
                    <w:pStyle w:val="Compact"/>
                    <w:jc w:val="left"/>
                    <w:jc w:val="center"/>
                  </w:pPr>
                  <w:r>
                    <w:t xml:space="preserve">&lt;0.001 (0.7%)</w:t>
                  </w:r>
                </w:p>
              </w:tc>
              <w:tc>
                <w:tcPr/>
                <w:p>
                  <w:pPr>
                    <w:pStyle w:val="Compact"/>
                    <w:jc w:val="left"/>
                    <w:jc w:val="center"/>
                  </w:pPr>
                  <w:r>
                    <w:t xml:space="preserve">0.000 (0.0%)</w:t>
                  </w:r>
                </w:p>
              </w:tc>
              <w:tc>
                <w:tcPr/>
                <w:p>
                  <w:pPr>
                    <w:pStyle w:val="Compact"/>
                    <w:jc w:val="left"/>
                    <w:jc w:val="center"/>
                  </w:pPr>
                  <w:r>
                    <w:t xml:space="preserve">0.000 (0.0%)</w:t>
                  </w:r>
                </w:p>
              </w:tc>
              <w:tc>
                <w:tcPr/>
                <w:p>
                  <w:pPr>
                    <w:pStyle w:val="Compact"/>
                    <w:jc w:val="left"/>
                    <w:jc w:val="center"/>
                  </w:pPr>
                  <w:r>
                    <w:t xml:space="preserve">&lt;0.001 (0.4%)</w:t>
                  </w:r>
                </w:p>
              </w:tc>
            </w:tr>
          </w:tbl>
          <w:bookmarkEnd w:id="68"/>
          <w:p/>
        </w:tc>
      </w:tr>
    </w:tbl>
    <w:p>
      <w:r>
        <w:br w:type="page"/>
      </w:r>
    </w:p>
    <w:bookmarkEnd w:id="69"/>
    <w:bookmarkEnd w:id="70"/>
    <w:bookmarkStart w:id="265" w:name="references"/>
    <w:p>
      <w:pPr>
        <w:pStyle w:val="Heading1"/>
      </w:pPr>
      <w:r>
        <w:t xml:space="preserve">References</w:t>
      </w:r>
    </w:p>
    <w:bookmarkStart w:id="264" w:name="refs"/>
    <w:bookmarkStart w:id="72" w:name="ref-ainleyCetaceanOccurrencePatterns2007"/>
    <w:p>
      <w:pPr>
        <w:pStyle w:val="Bibliography"/>
      </w:pPr>
      <w:r>
        <w:t xml:space="preserve">Ainley DG, Dugger KM, Toniolo V, Gaffney I (2007)</w:t>
      </w:r>
      <w:r>
        <w:t xml:space="preserve"> </w:t>
      </w:r>
      <w:hyperlink r:id="rId71">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72"/>
    <w:bookmarkStart w:id="74" w:name="Xac6cc9b5548384d047e782284cbfcbce89c30ee"/>
    <w:p>
      <w:pPr>
        <w:pStyle w:val="Bibliography"/>
      </w:pPr>
      <w:r>
        <w:t xml:space="preserve">Ainley DG, Fraser WR, Sullivan CW, Torres JJ, Hopkins TL, Smith WO (1986)</w:t>
      </w:r>
      <w:r>
        <w:t xml:space="preserve"> </w:t>
      </w:r>
      <w:hyperlink r:id="rId73">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74"/>
    <w:bookmarkStart w:id="75"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75"/>
    <w:bookmarkStart w:id="77" w:name="X2071f06785f6d0fe678e9b514dbc8172dc84050"/>
    <w:p>
      <w:pPr>
        <w:pStyle w:val="Bibliography"/>
      </w:pPr>
      <w:r>
        <w:t xml:space="preserve">Ainley DG, Ribic CA, Spear LB (1993)</w:t>
      </w:r>
      <w:r>
        <w:t xml:space="preserve"> </w:t>
      </w:r>
      <w:hyperlink r:id="rId76">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77"/>
    <w:bookmarkStart w:id="79" w:name="ref-ainleyBirdsAntarcticSea2017"/>
    <w:p>
      <w:pPr>
        <w:pStyle w:val="Bibliography"/>
      </w:pPr>
      <w:r>
        <w:t xml:space="preserve">Ainley DG, Woehler EJ, Lescroël A (2017)</w:t>
      </w:r>
      <w:r>
        <w:t xml:space="preserve"> </w:t>
      </w:r>
      <w:hyperlink r:id="rId78">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570–582</w:t>
      </w:r>
    </w:p>
    <w:bookmarkEnd w:id="79"/>
    <w:bookmarkStart w:id="81" w:name="X08b337b9df47b5311c88de9b41f7f7ad5271474"/>
    <w:p>
      <w:pPr>
        <w:pStyle w:val="Bibliography"/>
      </w:pPr>
      <w:r>
        <w:t xml:space="preserve">Bathmann UV, Makarov RR, Spiridonov VA, Rohardt G (1993)</w:t>
      </w:r>
      <w:r>
        <w:t xml:space="preserve"> </w:t>
      </w:r>
      <w:hyperlink r:id="rId80">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
            <w:iCs/>
          </w:rPr>
          <w:t xml:space="preserve">Calanoides</w:t>
        </w:r>
        <w:r>
          <w:rPr>
            <w:rStyle w:val="Hyperlink"/>
          </w:rPr>
          <w:t xml:space="preserve"> </w:t>
        </w:r>
        <w:r>
          <w:rPr>
            <w:rStyle w:val="Hyperlink"/>
            <w:i/>
            <w:iCs/>
          </w:rPr>
          <w:t xml:space="preserve">Acutus</w:t>
        </w:r>
        <w:r>
          <w:rPr>
            <w:rStyle w:val="Hyperlink"/>
          </w:rPr>
          <w:t xml:space="preserve">,</w:t>
        </w:r>
        <w:r>
          <w:rPr>
            <w:rStyle w:val="Hyperlink"/>
          </w:rPr>
          <w:t xml:space="preserve"> </w:t>
        </w:r>
        <w:r>
          <w:rPr>
            <w:rStyle w:val="Hyperlink"/>
            <w:i/>
            <w:iCs/>
          </w:rPr>
          <w:t xml:space="preserve">Rhincalanus</w:t>
        </w:r>
        <w:r>
          <w:rPr>
            <w:rStyle w:val="Hyperlink"/>
          </w:rPr>
          <w:t xml:space="preserve"> </w:t>
        </w:r>
        <w:r>
          <w:rPr>
            <w:rStyle w:val="Hyperlink"/>
            <w:i/>
            <w:iCs/>
          </w:rPr>
          <w:t xml:space="preserve">Gigas</w:t>
        </w:r>
        <w:r>
          <w:rPr>
            <w:rStyle w:val="Hyperlink"/>
          </w:rPr>
          <w:t xml:space="preserve"> </w:t>
        </w:r>
        <w:r>
          <w:rPr>
            <w:rStyle w:val="Hyperlink"/>
          </w:rPr>
          <w:t xml:space="preserve">and</w:t>
        </w:r>
        <w:r>
          <w:rPr>
            <w:rStyle w:val="Hyperlink"/>
          </w:rPr>
          <w:t xml:space="preserve"> </w:t>
        </w:r>
        <w:r>
          <w:rPr>
            <w:rStyle w:val="Hyperlink"/>
            <w:i/>
            <w:iCs/>
          </w:rPr>
          <w:t xml:space="preserve">Calanus</w:t>
        </w:r>
        <w:r>
          <w:rPr>
            <w:rStyle w:val="Hyperlink"/>
          </w:rPr>
          <w:t xml:space="preserve"> </w:t>
        </w:r>
        <w:r>
          <w:rPr>
            <w:rStyle w:val="Hyperlink"/>
            <w:i/>
            <w:iCs/>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81"/>
    <w:bookmarkStart w:id="83" w:name="ref-besterAntarcticMarineMammals2017"/>
    <w:p>
      <w:pPr>
        <w:pStyle w:val="Bibliography"/>
      </w:pPr>
      <w:r>
        <w:t xml:space="preserve">Bester MN, Bornemann H, McIntyre T (2017)</w:t>
      </w:r>
      <w:r>
        <w:t xml:space="preserve"> </w:t>
      </w:r>
      <w:hyperlink r:id="rId82">
        <w:r>
          <w:rPr>
            <w:rStyle w:val="Hyperlink"/>
          </w:rPr>
          <w:t xml:space="preserve">Antarctic marine mammals and 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534–555</w:t>
      </w:r>
    </w:p>
    <w:bookmarkEnd w:id="83"/>
    <w:bookmarkStart w:id="85"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84">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85"/>
    <w:bookmarkStart w:id="87" w:name="ref-blixRossSealOmmatophoca2007"/>
    <w:p>
      <w:pPr>
        <w:pStyle w:val="Bibliography"/>
      </w:pPr>
      <w:r>
        <w:t xml:space="preserve">Blix AS, Nordøy ES (2007)</w:t>
      </w:r>
      <w:r>
        <w:t xml:space="preserve"> </w:t>
      </w:r>
      <w:hyperlink r:id="rId86">
        <w:r>
          <w:rPr>
            <w:rStyle w:val="Hyperlink"/>
          </w:rPr>
          <w:t xml:space="preserve">Ross Seal (</w:t>
        </w:r>
        <w:r>
          <w:rPr>
            <w:rStyle w:val="Hyperlink"/>
            <w:i/>
            <w:iCs/>
          </w:rPr>
          <w:t xml:space="preserve">Ommatophoca</w:t>
        </w:r>
        <w:r>
          <w:rPr>
            <w:rStyle w:val="Hyperlink"/>
          </w:rPr>
          <w:t xml:space="preserve"> </w:t>
        </w:r>
        <w:r>
          <w:rPr>
            <w:rStyle w:val="Hyperlink"/>
            <w:i/>
            <w:iCs/>
          </w:rPr>
          <w:t xml:space="preserve">Rossii</w:t>
        </w:r>
        <w:r>
          <w:rPr>
            <w:rStyle w:val="Hyperlink"/>
          </w:rPr>
          <w:t xml:space="preserve">) Annual Distribution, Diving Behaviour, Breeding and Moulting, Off</w:t>
        </w:r>
        <w:r>
          <w:rPr>
            <w:rStyle w:val="Hyperlink"/>
          </w:rPr>
          <w:t xml:space="preserve"> </w:t>
        </w:r>
        <w:r>
          <w:rPr>
            <w:rStyle w:val="Hyperlink"/>
          </w:rPr>
          <w:t xml:space="preserve">Queen Maud Land</w:t>
        </w:r>
        <w:r>
          <w:rPr>
            <w:rStyle w:val="Hyperlink"/>
          </w:rPr>
          <w:t xml:space="preserve">,</w:t>
        </w:r>
        <w:r>
          <w:rPr>
            <w:rStyle w:val="Hyperlink"/>
          </w:rPr>
          <w:t xml:space="preserve"> </w:t>
        </w:r>
        <w:r>
          <w:rPr>
            <w:rStyle w:val="Hyperlink"/>
          </w:rPr>
          <w:t xml:space="preserve">Antarctica</w:t>
        </w:r>
      </w:hyperlink>
      <w:r>
        <w:t xml:space="preserve">. Polar Biology 30:1449–1458.</w:t>
      </w:r>
    </w:p>
    <w:bookmarkEnd w:id="87"/>
    <w:bookmarkStart w:id="89" w:name="ref-burnsWinterHabitatUse2004"/>
    <w:p>
      <w:pPr>
        <w:pStyle w:val="Bibliography"/>
      </w:pPr>
      <w:r>
        <w:t xml:space="preserve">Burns JM, Costa DP, Fedak MA, Hindell MA, Bradshaw CJA, Gales NJ, McDonald B, Trumble SJ, Crocker DE (2004)</w:t>
      </w:r>
      <w:r>
        <w:t xml:space="preserve"> </w:t>
      </w:r>
      <w:hyperlink r:id="rId88">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89"/>
    <w:bookmarkStart w:id="91" w:name="ref-casauxDietLeopardSeal2009"/>
    <w:p>
      <w:pPr>
        <w:pStyle w:val="Bibliography"/>
      </w:pPr>
      <w:r>
        <w:t xml:space="preserve">Casaux R, Baroni A, Ramón A, Carlini A, Bertolin M, DiPrinzio CY (2009)</w:t>
      </w:r>
      <w:r>
        <w:t xml:space="preserve"> </w:t>
      </w:r>
      <w:hyperlink r:id="rId90">
        <w:r>
          <w:rPr>
            <w:rStyle w:val="Hyperlink"/>
          </w:rPr>
          <w:t xml:space="preserve">Diet of the</w:t>
        </w:r>
        <w:r>
          <w:rPr>
            <w:rStyle w:val="Hyperlink"/>
          </w:rPr>
          <w:t xml:space="preserve"> </w:t>
        </w:r>
        <w:r>
          <w:rPr>
            <w:rStyle w:val="Hyperlink"/>
          </w:rPr>
          <w:t xml:space="preserve">Leopard Seal</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at the</w:t>
        </w:r>
        <w:r>
          <w:rPr>
            <w:rStyle w:val="Hyperlink"/>
          </w:rPr>
          <w:t xml:space="preserve"> </w:t>
        </w:r>
        <w:r>
          <w:rPr>
            <w:rStyle w:val="Hyperlink"/>
          </w:rPr>
          <w:t xml:space="preserve">Danco Coast</w:t>
        </w:r>
        <w:r>
          <w:rPr>
            <w:rStyle w:val="Hyperlink"/>
          </w:rPr>
          <w:t xml:space="preserve">,</w:t>
        </w:r>
        <w:r>
          <w:rPr>
            <w:rStyle w:val="Hyperlink"/>
          </w:rPr>
          <w:t xml:space="preserve"> </w:t>
        </w:r>
        <w:r>
          <w:rPr>
            <w:rStyle w:val="Hyperlink"/>
          </w:rPr>
          <w:t xml:space="preserve">Antarctic Peninsula</w:t>
        </w:r>
      </w:hyperlink>
      <w:r>
        <w:t xml:space="preserve">. Polar Biology 32:307–310.</w:t>
      </w:r>
    </w:p>
    <w:bookmarkEnd w:id="91"/>
    <w:bookmarkStart w:id="93" w:name="ref-casauxShagsAntarcticaTheir2006"/>
    <w:p>
      <w:pPr>
        <w:pStyle w:val="Bibliography"/>
      </w:pPr>
      <w:r>
        <w:t xml:space="preserve">Casaux R, Barrera-Oro E (2006)</w:t>
      </w:r>
      <w:r>
        <w:t xml:space="preserve"> </w:t>
      </w:r>
      <w:hyperlink r:id="rId92">
        <w:r>
          <w:rPr>
            <w:rStyle w:val="Hyperlink"/>
          </w:rPr>
          <w:t xml:space="preserve">Shags in</w:t>
        </w:r>
        <w:r>
          <w:rPr>
            <w:rStyle w:val="Hyperlink"/>
          </w:rPr>
          <w:t xml:space="preserve"> </w:t>
        </w:r>
        <w:r>
          <w:rPr>
            <w:rStyle w:val="Hyperlink"/>
          </w:rPr>
          <w:t xml:space="preserve">Antarctica</w:t>
        </w:r>
        <w:r>
          <w:rPr>
            <w:rStyle w:val="Hyperlink"/>
          </w:rPr>
          <w:t xml:space="preserve">: Their Feeding Behaviour and Ecological Role in the Marine Food Web</w:t>
        </w:r>
      </w:hyperlink>
      <w:r>
        <w:t xml:space="preserve">. Antarctic Science 18:3–14.</w:t>
      </w:r>
    </w:p>
    <w:bookmarkEnd w:id="93"/>
    <w:bookmarkStart w:id="95" w:name="ref-ciminoClimatedrivenSympatryMay2016"/>
    <w:p>
      <w:pPr>
        <w:pStyle w:val="Bibliography"/>
      </w:pPr>
      <w:r>
        <w:t xml:space="preserve">Cimino MA, Moline MA, Fraser WR, Patterson-Fraser DL, Oliver MJ (2016)</w:t>
      </w:r>
      <w:r>
        <w:t xml:space="preserve"> </w:t>
      </w:r>
      <w:hyperlink r:id="rId94">
        <w:r>
          <w:rPr>
            <w:rStyle w:val="Hyperlink"/>
          </w:rPr>
          <w:t xml:space="preserve">Climate-Driven Sympatry May Not Lead to Foraging Competition Between Congeneric Top-Predators</w:t>
        </w:r>
      </w:hyperlink>
      <w:r>
        <w:t xml:space="preserve">. Scientific Reports 6:18820.</w:t>
      </w:r>
    </w:p>
    <w:bookmarkEnd w:id="95"/>
    <w:bookmarkStart w:id="97" w:name="ref-clarkeClimateChangeMarine2007"/>
    <w:p>
      <w:pPr>
        <w:pStyle w:val="Bibliography"/>
      </w:pPr>
      <w:r>
        <w:t xml:space="preserve">Clarke A, Murphy EJ, Meredith MP, King JC, Peck LS, Barnes DKA, Smith RC (2007)</w:t>
      </w:r>
      <w:r>
        <w:t xml:space="preserve"> </w:t>
      </w:r>
      <w:hyperlink r:id="rId96">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97"/>
    <w:bookmarkStart w:id="99" w:name="ref-corsoClimateDrivesLongterm2022"/>
    <w:p>
      <w:pPr>
        <w:pStyle w:val="Bibliography"/>
      </w:pPr>
      <w:r>
        <w:t xml:space="preserve">Corso AD, Steinberg DK, Stammerjohn SE, Hilton EJ (2022)</w:t>
      </w:r>
      <w:r>
        <w:t xml:space="preserve"> </w:t>
      </w:r>
      <w:hyperlink r:id="rId98">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99"/>
    <w:bookmarkStart w:id="101" w:name="ref-costaLargeDiatomBloom2021"/>
    <w:p>
      <w:pPr>
        <w:pStyle w:val="Bibliography"/>
      </w:pPr>
      <w:r>
        <w:t xml:space="preserve">Costa RR, Mendes CRB, Ferreira A, Tavano VM, Dotto TS, Secchi ER (2021)</w:t>
      </w:r>
      <w:r>
        <w:t xml:space="preserve"> </w:t>
      </w:r>
      <w:hyperlink r:id="rId100">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101"/>
    <w:bookmarkStart w:id="103" w:name="ref-croxallFoodFeedingEcology1980"/>
    <w:p>
      <w:pPr>
        <w:pStyle w:val="Bibliography"/>
      </w:pPr>
      <w:r>
        <w:t xml:space="preserve">Croxall JP, Prince PA (1980)</w:t>
      </w:r>
      <w:r>
        <w:t xml:space="preserve"> </w:t>
      </w:r>
      <w:hyperlink r:id="rId102">
        <w:r>
          <w:rPr>
            <w:rStyle w:val="Hyperlink"/>
          </w:rPr>
          <w:t xml:space="preserve">Food, Feeding Ecology and Ecological Segregation of Seabirds at</w:t>
        </w:r>
        <w:r>
          <w:rPr>
            <w:rStyle w:val="Hyperlink"/>
          </w:rPr>
          <w:t xml:space="preserve"> </w:t>
        </w:r>
        <w:r>
          <w:rPr>
            <w:rStyle w:val="Hyperlink"/>
          </w:rPr>
          <w:t xml:space="preserve">South Georgia</w:t>
        </w:r>
      </w:hyperlink>
      <w:r>
        <w:t xml:space="preserve">. Biological Journal of the Linnean Society 14:103–131.</w:t>
      </w:r>
    </w:p>
    <w:bookmarkEnd w:id="103"/>
    <w:bookmarkStart w:id="105" w:name="ref-croxallImportancePatagonianShelf2002"/>
    <w:p>
      <w:pPr>
        <w:pStyle w:val="Bibliography"/>
      </w:pPr>
      <w:r>
        <w:t xml:space="preserve">Croxall JP, Wood AG (2002)</w:t>
      </w:r>
      <w:r>
        <w:t xml:space="preserve"> </w:t>
      </w:r>
      <w:hyperlink r:id="rId104">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105"/>
    <w:bookmarkStart w:id="107" w:name="ref-dakosCriticalSlowingEarly2014"/>
    <w:p>
      <w:pPr>
        <w:pStyle w:val="Bibliography"/>
      </w:pPr>
      <w:r>
        <w:t xml:space="preserve">Dakos V, Bascompte J (2014)</w:t>
      </w:r>
      <w:r>
        <w:t xml:space="preserve"> </w:t>
      </w:r>
      <w:hyperlink r:id="rId106">
        <w:r>
          <w:rPr>
            <w:rStyle w:val="Hyperlink"/>
          </w:rPr>
          <w:t xml:space="preserve">Critical Slowing down as Early Warning for the Onset of Collapse in Mutualistic Communities</w:t>
        </w:r>
      </w:hyperlink>
      <w:r>
        <w:t xml:space="preserve">. Proceedings of the National Academy of Sciences 111:17546–17551.</w:t>
      </w:r>
    </w:p>
    <w:bookmarkEnd w:id="107"/>
    <w:bookmarkStart w:id="109" w:name="ref-daneriDietAntarcticFur2005"/>
    <w:p>
      <w:pPr>
        <w:pStyle w:val="Bibliography"/>
      </w:pPr>
      <w:r>
        <w:t xml:space="preserve">Daneri GA, Carlini AR, Hernandez CM, Harrington A (2005)</w:t>
      </w:r>
      <w:r>
        <w:t xml:space="preserve"> </w:t>
      </w:r>
      <w:hyperlink r:id="rId108">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109"/>
    <w:bookmarkStart w:id="111" w:name="ref-daneriFeedingHabitsSouthern2015"/>
    <w:p>
      <w:pPr>
        <w:pStyle w:val="Bibliography"/>
      </w:pPr>
      <w:r>
        <w:t xml:space="preserve">Daneri GA, Carlini AR, Marschoff ER, Harrington A, Negrete J, Mennucci JA, Márquez MEI (2015)</w:t>
      </w:r>
      <w:r>
        <w:t xml:space="preserve"> </w:t>
      </w:r>
      <w:hyperlink r:id="rId110">
        <w:r>
          <w:rPr>
            <w:rStyle w:val="Hyperlink"/>
          </w:rPr>
          <w:t xml:space="preserve">The Feeding Habits of the</w:t>
        </w:r>
        <w:r>
          <w:rPr>
            <w:rStyle w:val="Hyperlink"/>
          </w:rPr>
          <w:t xml:space="preserve"> </w:t>
        </w:r>
        <w:r>
          <w:rPr>
            <w:rStyle w:val="Hyperlink"/>
          </w:rPr>
          <w:t xml:space="preserve">Southern</w:t>
        </w:r>
        <w:r>
          <w:rPr>
            <w:rStyle w:val="Hyperlink"/>
          </w:rPr>
          <w:t xml:space="preserve"> </w:t>
        </w:r>
        <w:r>
          <w:rPr>
            <w:rStyle w:val="Hyperlink"/>
          </w:rPr>
          <w:t xml:space="preserve">Elephant Seal,</w:t>
        </w:r>
        <w:r>
          <w:rPr>
            <w:rStyle w:val="Hyperlink"/>
          </w:rPr>
          <w:t xml:space="preserve"> </w:t>
        </w:r>
        <w:r>
          <w:rPr>
            <w:rStyle w:val="Hyperlink"/>
            <w:i/>
            <w:iCs/>
          </w:rPr>
          <w:t xml:space="preserve">Mirounga</w:t>
        </w:r>
        <w:r>
          <w:rPr>
            <w:rStyle w:val="Hyperlink"/>
          </w:rPr>
          <w:t xml:space="preserve"> </w:t>
        </w:r>
        <w:r>
          <w:rPr>
            <w:rStyle w:val="Hyperlink"/>
            <w:i/>
            <w:iCs/>
          </w:rPr>
          <w:t xml:space="preserve">Leonina</w:t>
        </w:r>
        <w:r>
          <w:rPr>
            <w:rStyle w:val="Hyperlink"/>
          </w:rPr>
          <w:t xml:space="preserve">, at</w:t>
        </w:r>
        <w:r>
          <w:rPr>
            <w:rStyle w:val="Hyperlink"/>
          </w:rPr>
          <w:t xml:space="preserve"> </w:t>
        </w:r>
        <w:r>
          <w:rPr>
            <w:rStyle w:val="Hyperlink"/>
          </w:rPr>
          <w:t xml:space="preserve">Isla</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South Shetland Islands</w:t>
        </w:r>
      </w:hyperlink>
      <w:r>
        <w:t xml:space="preserve">. Polar Biology 38:665–676.</w:t>
      </w:r>
    </w:p>
    <w:bookmarkEnd w:id="111"/>
    <w:bookmarkStart w:id="113" w:name="ref-delordAntarcticPetrelsIce2020"/>
    <w:p>
      <w:pPr>
        <w:pStyle w:val="Bibliography"/>
      </w:pPr>
      <w:r>
        <w:t xml:space="preserve">Delord K, Kato A, Tarroux A, Orgeret F, Cotté C, Ropert-Coudert Y, Cherel Y, Descamps S (2020)</w:t>
      </w:r>
      <w:r>
        <w:t xml:space="preserve"> </w:t>
      </w:r>
      <w:hyperlink r:id="rId112">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113"/>
    <w:bookmarkStart w:id="115" w:name="ref-delordSpeciesSpecificForaging2016"/>
    <w:p>
      <w:pPr>
        <w:pStyle w:val="Bibliography"/>
      </w:pPr>
      <w:r>
        <w:t xml:space="preserve">Delord K, Pinet P, Pinaud D, Barbraud C, De Grissac S, Lewden A, Cherel Y, Weimerskirch H (2016)</w:t>
      </w:r>
      <w:r>
        <w:t xml:space="preserve"> </w:t>
      </w:r>
      <w:hyperlink r:id="rId114">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115"/>
    <w:bookmarkStart w:id="117" w:name="ref-descalzoRelevanceFishSummer2023"/>
    <w:p>
      <w:pPr>
        <w:pStyle w:val="Bibliography"/>
      </w:pPr>
      <w:r>
        <w:t xml:space="preserve">Descalzo M, Daneri GA, Harrington A, Negrete J, Negri A, Corbalán A, Barrera-Oro E (2023)</w:t>
      </w:r>
      <w:r>
        <w:t xml:space="preserve"> </w:t>
      </w:r>
      <w:hyperlink r:id="rId116">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117"/>
    <w:bookmarkStart w:id="118"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118"/>
    <w:bookmarkStart w:id="120" w:name="X62706a2b55eb9f534cdc2f902b2e8e47c40ba0e"/>
    <w:p>
      <w:pPr>
        <w:pStyle w:val="Bibliography"/>
      </w:pPr>
      <w:r>
        <w:t xml:space="preserve">Dominello T, Širović A (2016)</w:t>
      </w:r>
      <w:r>
        <w:t xml:space="preserve"> </w:t>
      </w:r>
      <w:hyperlink r:id="rId119">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120"/>
    <w:bookmarkStart w:id="122"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121">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122"/>
    <w:bookmarkStart w:id="124" w:name="ref-ducklowMarinePelagicEcosystem2022"/>
    <w:p>
      <w:pPr>
        <w:pStyle w:val="Bibliography"/>
      </w:pPr>
      <w:r>
        <w:t xml:space="preserve">Ducklow HW, Cimino MA, Dunton KH, Fraser WR, Hopcroft RR, Ji R, Miller AJ, Ohman MD, Sosik HM (2022)</w:t>
      </w:r>
      <w:r>
        <w:t xml:space="preserve"> </w:t>
      </w:r>
      <w:hyperlink r:id="rId123">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124"/>
    <w:bookmarkStart w:id="125"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125"/>
    <w:bookmarkStart w:id="126" w:name="ref-dufrene1997species"/>
    <w:p>
      <w:pPr>
        <w:pStyle w:val="Bibliography"/>
      </w:pPr>
      <w:r>
        <w:t xml:space="preserve">Dufrêne M, Legendre P (1997) Species Assemblages and Indicator Species: The Need for a Flexible Asymmetrical Approach. Ecological monographs 67:345–366.</w:t>
      </w:r>
    </w:p>
    <w:bookmarkEnd w:id="126"/>
    <w:bookmarkStart w:id="128" w:name="ref-eayrsRapidDeclineAntarctic2021"/>
    <w:p>
      <w:pPr>
        <w:pStyle w:val="Bibliography"/>
      </w:pPr>
      <w:r>
        <w:t xml:space="preserve">Eayrs C, Li X, Raphael MN, Holland DM (2021)</w:t>
      </w:r>
      <w:r>
        <w:t xml:space="preserve"> </w:t>
      </w:r>
      <w:hyperlink r:id="rId127">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28"/>
    <w:bookmarkStart w:id="130" w:name="ref-espositoFirstSightingsAntarctic2021"/>
    <w:p>
      <w:pPr>
        <w:pStyle w:val="Bibliography"/>
      </w:pPr>
      <w:r>
        <w:t xml:space="preserve">Esposito C, Bichet O, Petit M (2021)</w:t>
      </w:r>
      <w:r>
        <w:t xml:space="preserve"> </w:t>
      </w:r>
      <w:hyperlink r:id="rId129">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30"/>
    <w:bookmarkStart w:id="132" w:name="X8c7b19fc498333ce938afcd0a312f17e5a08b2f"/>
    <w:p>
      <w:pPr>
        <w:pStyle w:val="Bibliography"/>
      </w:pPr>
      <w:r>
        <w:t xml:space="preserve">Evans PGH (1982)</w:t>
      </w:r>
      <w:r>
        <w:t xml:space="preserve"> </w:t>
      </w:r>
      <w:hyperlink r:id="rId131">
        <w:r>
          <w:rPr>
            <w:rStyle w:val="Hyperlink"/>
          </w:rPr>
          <w:t xml:space="preserve">Associations Between Seabirds and Cetaceans: A Review</w:t>
        </w:r>
      </w:hyperlink>
      <w:r>
        <w:t xml:space="preserve">. Mammal Review 12:187–206.</w:t>
      </w:r>
    </w:p>
    <w:bookmarkEnd w:id="132"/>
    <w:bookmarkStart w:id="134" w:name="ref-faveroForagingEcologyPaleFaced1996"/>
    <w:p>
      <w:pPr>
        <w:pStyle w:val="Bibliography"/>
      </w:pPr>
      <w:r>
        <w:t xml:space="preserve">Favero M (1996)</w:t>
      </w:r>
      <w:r>
        <w:t xml:space="preserve"> </w:t>
      </w:r>
      <w:hyperlink r:id="rId133">
        <w:r>
          <w:rPr>
            <w:rStyle w:val="Hyperlink"/>
          </w:rPr>
          <w:t xml:space="preserve">Foraging</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Pale-Faced Sheathbills</w:t>
        </w:r>
        <w:r>
          <w:rPr>
            <w:rStyle w:val="Hyperlink"/>
          </w:rPr>
          <w:t xml:space="preserve"> </w:t>
        </w:r>
        <w:r>
          <w:rPr>
            <w:rStyle w:val="Hyperlink"/>
          </w:rPr>
          <w:t xml:space="preserve">in</w:t>
        </w:r>
        <w:r>
          <w:rPr>
            <w:rStyle w:val="Hyperlink"/>
          </w:rPr>
          <w:t xml:space="preserve"> </w:t>
        </w:r>
        <w:r>
          <w:rPr>
            <w:rStyle w:val="Hyperlink"/>
          </w:rPr>
          <w:t xml:space="preserve">Colonies</w:t>
        </w:r>
        <w:r>
          <w:rPr>
            <w:rStyle w:val="Hyperlink"/>
          </w:rPr>
          <w:t xml:space="preserve"> </w:t>
        </w:r>
        <w:r>
          <w:rPr>
            <w:rStyle w:val="Hyperlink"/>
          </w:rPr>
          <w:t xml:space="preserve">of</w:t>
        </w:r>
        <w:r>
          <w:rPr>
            <w:rStyle w:val="Hyperlink"/>
          </w:rPr>
          <w:t xml:space="preserve"> </w:t>
        </w:r>
        <w:r>
          <w:rPr>
            <w:rStyle w:val="Hyperlink"/>
          </w:rPr>
          <w:t xml:space="preserve">Southern Elephant Seals</w:t>
        </w:r>
        <w:r>
          <w:rPr>
            <w:rStyle w:val="Hyperlink"/>
          </w:rPr>
          <w:t xml:space="preserve"> </w:t>
        </w:r>
        <w:r>
          <w:rPr>
            <w:rStyle w:val="Hyperlink"/>
          </w:rPr>
          <w:t xml:space="preserve">at</w:t>
        </w:r>
        <w:r>
          <w:rPr>
            <w:rStyle w:val="Hyperlink"/>
          </w:rPr>
          <w:t xml:space="preserve"> </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w:t>
        </w:r>
        <w:r>
          <w:rPr>
            <w:rStyle w:val="Hyperlink"/>
          </w:rPr>
          <w:t xml:space="preserve">(</w:t>
        </w:r>
        <w:r>
          <w:rPr>
            <w:rStyle w:val="Hyperlink"/>
          </w:rPr>
          <w:t xml:space="preserve">La Ecolog</w:t>
        </w:r>
        <w:r>
          <w:rPr>
            <w:rStyle w:val="Hyperlink"/>
          </w:rPr>
          <w:t xml:space="preserve">í</w:t>
        </w:r>
        <w:r>
          <w:rPr>
            <w:rStyle w:val="Hyperlink"/>
          </w:rPr>
          <w:t xml:space="preserve">a</w:t>
        </w:r>
        <w:r>
          <w:rPr>
            <w:rStyle w:val="Hyperlink"/>
          </w:rPr>
          <w:t xml:space="preserve"> </w:t>
        </w:r>
        <w:r>
          <w:rPr>
            <w:rStyle w:val="Hyperlink"/>
          </w:rPr>
          <w:t xml:space="preserve">de La</w:t>
        </w:r>
        <w:r>
          <w:rPr>
            <w:rStyle w:val="Hyperlink"/>
          </w:rPr>
          <w:t xml:space="preserve"> </w:t>
        </w:r>
        <w:r>
          <w:rPr>
            <w:rStyle w:val="Hyperlink"/>
          </w:rPr>
          <w:t xml:space="preserve">Alimentaci</w:t>
        </w:r>
        <w:r>
          <w:rPr>
            <w:rStyle w:val="Hyperlink"/>
          </w:rPr>
          <w:t xml:space="preserve">ó</w:t>
        </w:r>
        <w:r>
          <w:rPr>
            <w:rStyle w:val="Hyperlink"/>
          </w:rPr>
          <w:t xml:space="preserve">n</w:t>
        </w:r>
        <w:r>
          <w:rPr>
            <w:rStyle w:val="Hyperlink"/>
          </w:rPr>
          <w:t xml:space="preserve"> </w:t>
        </w:r>
        <w:r>
          <w:rPr>
            <w:rStyle w:val="Hyperlink"/>
          </w:rPr>
          <w:t xml:space="preserve">de La</w:t>
        </w:r>
        <w:r>
          <w:rPr>
            <w:rStyle w:val="Hyperlink"/>
          </w:rPr>
          <w:t xml:space="preserve"> </w:t>
        </w:r>
        <w:r>
          <w:rPr>
            <w:rStyle w:val="Hyperlink"/>
          </w:rPr>
          <w:t xml:space="preserve">Chionis</w:t>
        </w:r>
        <w:r>
          <w:rPr>
            <w:rStyle w:val="Hyperlink"/>
          </w:rPr>
          <w:t xml:space="preserve"> </w:t>
        </w:r>
        <w:r>
          <w:rPr>
            <w:rStyle w:val="Hyperlink"/>
          </w:rPr>
          <w:t xml:space="preserve">Alba En Los</w:t>
        </w:r>
        <w:r>
          <w:rPr>
            <w:rStyle w:val="Hyperlink"/>
          </w:rPr>
          <w:t xml:space="preserve"> </w:t>
        </w:r>
        <w:r>
          <w:rPr>
            <w:rStyle w:val="Hyperlink"/>
          </w:rPr>
          <w:t xml:space="preserve">Harenes</w:t>
        </w:r>
        <w:r>
          <w:rPr>
            <w:rStyle w:val="Hyperlink"/>
          </w:rPr>
          <w:t xml:space="preserve"> </w:t>
        </w:r>
        <w:r>
          <w:rPr>
            <w:rStyle w:val="Hyperlink"/>
          </w:rPr>
          <w:t xml:space="preserve">de</w:t>
        </w:r>
        <w:r>
          <w:rPr>
            <w:rStyle w:val="Hyperlink"/>
          </w:rPr>
          <w:t xml:space="preserve"> </w:t>
        </w:r>
        <w:r>
          <w:rPr>
            <w:rStyle w:val="Hyperlink"/>
          </w:rPr>
          <w:t xml:space="preserve">Elefantes Marinos</w:t>
        </w:r>
        <w:r>
          <w:rPr>
            <w:rStyle w:val="Hyperlink"/>
          </w:rPr>
          <w:t xml:space="preserve"> </w:t>
        </w:r>
        <w:r>
          <w:rPr>
            <w:rStyle w:val="Hyperlink"/>
          </w:rPr>
          <w:t xml:space="preserve">En La</w:t>
        </w:r>
        <w:r>
          <w:rPr>
            <w:rStyle w:val="Hyperlink"/>
          </w:rPr>
          <w:t xml:space="preserve"> </w:t>
        </w:r>
        <w:r>
          <w:rPr>
            <w:rStyle w:val="Hyperlink"/>
          </w:rPr>
          <w:t xml:space="preserve">Isla King George</w:t>
        </w:r>
        <w:r>
          <w:rPr>
            <w:rStyle w:val="Hyperlink"/>
          </w:rPr>
          <w:t xml:space="preserve">,</w:t>
        </w:r>
        <w:r>
          <w:rPr>
            <w:rStyle w:val="Hyperlink"/>
          </w:rPr>
          <w:t xml:space="preserve"> </w:t>
        </w:r>
        <w:r>
          <w:rPr>
            <w:rStyle w:val="Hyperlink"/>
          </w:rPr>
          <w:t xml:space="preserve">Antarctica</w:t>
        </w:r>
        <w:r>
          <w:rPr>
            <w:rStyle w:val="Hyperlink"/>
          </w:rPr>
          <w:t xml:space="preserve">)</w:t>
        </w:r>
      </w:hyperlink>
      <w:r>
        <w:t xml:space="preserve">. Journal of Field Ornithology 67:292–299.</w:t>
      </w:r>
    </w:p>
    <w:bookmarkEnd w:id="134"/>
    <w:bookmarkStart w:id="136" w:name="ref-filunFrozenVersesAntarctic2020"/>
    <w:p>
      <w:pPr>
        <w:pStyle w:val="Bibliography"/>
      </w:pPr>
      <w:r>
        <w:t xml:space="preserve">Filun D, Thomisch K, Boebel O, Brey T, Širović A, Spiesecke S, Van Opzeeland I (2020)</w:t>
      </w:r>
      <w:r>
        <w:t xml:space="preserve"> </w:t>
      </w:r>
      <w:hyperlink r:id="rId135">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 Predominantly During Austral Winter</w:t>
        </w:r>
      </w:hyperlink>
      <w:r>
        <w:t xml:space="preserve">. Royal Society Open Science 7:192112.</w:t>
      </w:r>
    </w:p>
    <w:bookmarkEnd w:id="136"/>
    <w:bookmarkStart w:id="138" w:name="ref-floresSeasonalChangesVertical2014"/>
    <w:p>
      <w:pPr>
        <w:pStyle w:val="Bibliography"/>
      </w:pPr>
      <w:r>
        <w:t xml:space="preserve">Flores H, Hunt BPV, Kruse S, Pakhomov EA, Siegel V, Van Franeker JA, Strass V, Van De Putte AP, Meesters EHWG, Bathmann U (2014)</w:t>
      </w:r>
      <w:r>
        <w:t xml:space="preserve"> </w:t>
      </w:r>
      <w:hyperlink r:id="rId137">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38"/>
    <w:bookmarkStart w:id="140" w:name="ref-forcadaNinetyYearsChange2023"/>
    <w:p>
      <w:pPr>
        <w:pStyle w:val="Bibliography"/>
      </w:pPr>
      <w:r>
        <w:t xml:space="preserve">Forcada J, Hoffman JI, Gimenez O, Staniland IJ, Bucktrout P, Wood AG (2023)</w:t>
      </w:r>
      <w:r>
        <w:t xml:space="preserve"> </w:t>
      </w:r>
      <w:hyperlink r:id="rId139">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40"/>
    <w:bookmarkStart w:id="142" w:name="ref-fraserIceEdgesSeabird1986"/>
    <w:p>
      <w:pPr>
        <w:pStyle w:val="Bibliography"/>
      </w:pPr>
      <w:r>
        <w:t xml:space="preserve">Fraser WR, Ainley DG (1986)</w:t>
      </w:r>
      <w:r>
        <w:t xml:space="preserve"> </w:t>
      </w:r>
      <w:hyperlink r:id="rId141">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42"/>
    <w:bookmarkStart w:id="144" w:name="ref-friedlaenderFeedingRatesUnderice2014"/>
    <w:p>
      <w:pPr>
        <w:pStyle w:val="Bibliography"/>
      </w:pPr>
      <w:r>
        <w:t xml:space="preserve">Friedlaender AS, Goldbogen JA, Nowacek DP, Read AJ, Johnston D, Gales N (2014)</w:t>
      </w:r>
      <w:r>
        <w:t xml:space="preserve"> </w:t>
      </w:r>
      <w:hyperlink r:id="rId143">
        <w:r>
          <w:rPr>
            <w:rStyle w:val="Hyperlink"/>
          </w:rPr>
          <w:t xml:space="preserve">Feeding Rates and Under-Ice Foraging Strategies of the Smallest Lunge Filter Feeder, the</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rPr>
          <w:t xml:space="preserv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w:t>
        </w:r>
        <w:r>
          <w:rPr>
            <w:rStyle w:val="Hyperlink"/>
          </w:rPr>
          <w:t xml:space="preserve">)</w:t>
        </w:r>
      </w:hyperlink>
      <w:r>
        <w:t xml:space="preserve">. Journal of Experimental Biology 217:2851–2854.</w:t>
      </w:r>
    </w:p>
    <w:bookmarkEnd w:id="144"/>
    <w:bookmarkStart w:id="146" w:name="ref-guinetSouthernElephantSeal2014"/>
    <w:p>
      <w:pPr>
        <w:pStyle w:val="Bibliography"/>
      </w:pPr>
      <w:r>
        <w:t xml:space="preserve">Guinet C, Vacquié-Garcia J, Picard B, Bessigneul G, Lebras Y, Dragon A, Viviant M, Arnould J, Bailleul F (2014)</w:t>
      </w:r>
      <w:r>
        <w:t xml:space="preserve"> </w:t>
      </w:r>
      <w:hyperlink r:id="rId145">
        <w:r>
          <w:rPr>
            <w:rStyle w:val="Hyperlink"/>
          </w:rPr>
          <w:t xml:space="preserve">Southern Elephant Seal Foraging Success in Relation to Temperature and Light Conditions: Insight into Prey Distribution</w:t>
        </w:r>
      </w:hyperlink>
      <w:r>
        <w:t xml:space="preserve">. Marine Ecology Progress Series 499:285–301.</w:t>
      </w:r>
    </w:p>
    <w:bookmarkEnd w:id="146"/>
    <w:bookmarkStart w:id="148" w:name="X409c036d0f4a92a430fe83cccc66fe7f5473dbb"/>
    <w:p>
      <w:pPr>
        <w:pStyle w:val="Bibliography"/>
      </w:pPr>
      <w:r>
        <w:t xml:space="preserve">Harrison NM, Whitehouse MJ, Heinemann D, Prince PA, Hunt GL Jr., Veit RR (1991)</w:t>
      </w:r>
      <w:r>
        <w:t xml:space="preserve"> </w:t>
      </w:r>
      <w:hyperlink r:id="rId147">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48"/>
    <w:bookmarkStart w:id="150" w:name="ref-herrAerialSurveysAntarctic2019"/>
    <w:p>
      <w:pPr>
        <w:pStyle w:val="Bibliography"/>
      </w:pPr>
      <w:r>
        <w:t xml:space="preserve">Herr H, Kelly N, Dorschel B, Huntemann M, Kock K-H, Lehnert LS, Siebert U, Viquerat S, Williams R, Scheidat M (2019)</w:t>
      </w:r>
      <w:r>
        <w:t xml:space="preserve"> </w:t>
      </w:r>
      <w:hyperlink r:id="rId149">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Reveal Sea Ice Dependent Distribution Patterns</w:t>
        </w:r>
      </w:hyperlink>
      <w:r>
        <w:t xml:space="preserve">. Ecology and Evolution 9:5664–5682.</w:t>
      </w:r>
    </w:p>
    <w:bookmarkEnd w:id="150"/>
    <w:bookmarkStart w:id="152" w:name="ref-hinkeIdentifyingRiskConcurrent2017"/>
    <w:p>
      <w:pPr>
        <w:pStyle w:val="Bibliography"/>
      </w:pPr>
      <w:r>
        <w:t xml:space="preserve">Hinke JT, Cossio AM, Goebel ME, Reiss CS, Trivelpiece WZ, Watters GM (2017)</w:t>
      </w:r>
      <w:r>
        <w:t xml:space="preserve"> </w:t>
      </w:r>
      <w:hyperlink r:id="rId151">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52"/>
    <w:bookmarkStart w:id="154" w:name="ref-hinkeDailyActivityMinimum2011"/>
    <w:p>
      <w:pPr>
        <w:pStyle w:val="Bibliography"/>
      </w:pPr>
      <w:r>
        <w:t xml:space="preserve">Hinke JT, Trivelpiece WZ (2011)</w:t>
      </w:r>
      <w:r>
        <w:t xml:space="preserve"> </w:t>
      </w:r>
      <w:hyperlink r:id="rId153">
        <w:r>
          <w:rPr>
            <w:rStyle w:val="Hyperlink"/>
          </w:rPr>
          <w:t xml:space="preserve">Daily Activity and Minimum Food Requirements During Winter for Gentoo Penguins (</w:t>
        </w:r>
        <w:r>
          <w:rPr>
            <w:rStyle w:val="Hyperlink"/>
            <w:i/>
            <w:iCs/>
          </w:rPr>
          <w:t xml:space="preserve">Pygoscelis</w:t>
        </w:r>
        <w:r>
          <w:rPr>
            <w:rStyle w:val="Hyperlink"/>
          </w:rPr>
          <w:t xml:space="preserve"> </w:t>
        </w:r>
        <w:r>
          <w:rPr>
            <w:rStyle w:val="Hyperlink"/>
            <w:i/>
            <w:iCs/>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54"/>
    <w:bookmarkStart w:id="156" w:name="ref-hoffmanEcologySeabirdFeeding1981"/>
    <w:p>
      <w:pPr>
        <w:pStyle w:val="Bibliography"/>
      </w:pPr>
      <w:r>
        <w:t xml:space="preserve">Hoffman W, Heinemann D, Wiens JA (1981)</w:t>
      </w:r>
      <w:r>
        <w:t xml:space="preserve"> </w:t>
      </w:r>
      <w:hyperlink r:id="rId155">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56"/>
    <w:bookmarkStart w:id="158" w:name="Xc7b0d5d508b6adc1cd448cf31bbf62b0ea27fe0"/>
    <w:p>
      <w:pPr>
        <w:pStyle w:val="Bibliography"/>
      </w:pPr>
      <w:r>
        <w:t xml:space="preserve">Hopkins TL, Torres JJ (1988)</w:t>
      </w:r>
      <w:r>
        <w:t xml:space="preserve"> </w:t>
      </w:r>
      <w:hyperlink r:id="rId157">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58"/>
    <w:bookmarkStart w:id="160" w:name="ref-huckstadtDietSpecialistChanging2012"/>
    <w:p>
      <w:pPr>
        <w:pStyle w:val="Bibliography"/>
      </w:pPr>
      <w:r>
        <w:t xml:space="preserve">Hückstädt LA, Burns JM, Koch PL, McDonald BI, Crocker DE, Costa DP (2012)</w:t>
      </w:r>
      <w:r>
        <w:t xml:space="preserve"> </w:t>
      </w:r>
      <w:hyperlink r:id="rId159">
        <w:r>
          <w:rPr>
            <w:rStyle w:val="Hyperlink"/>
          </w:rPr>
          <w:t xml:space="preserve">Diet of a Specialist in a Changing Environment: The Crabeater Seal Along the Western</w:t>
        </w:r>
        <w:r>
          <w:rPr>
            <w:rStyle w:val="Hyperlink"/>
          </w:rPr>
          <w:t xml:space="preserve"> </w:t>
        </w:r>
        <w:r>
          <w:rPr>
            <w:rStyle w:val="Hyperlink"/>
          </w:rPr>
          <w:t xml:space="preserve">Antarctic Peninsula</w:t>
        </w:r>
      </w:hyperlink>
      <w:r>
        <w:t xml:space="preserve">. Marine Ecology Progress Series 455:287–301.</w:t>
      </w:r>
    </w:p>
    <w:bookmarkEnd w:id="160"/>
    <w:bookmarkStart w:id="162" w:name="X9fbe8ab1970b9f1e81cccc43ab3cd1ac8d76be7"/>
    <w:p>
      <w:pPr>
        <w:pStyle w:val="Bibliography"/>
      </w:pPr>
      <w:r>
        <w:t xml:space="preserve">Hunt GL, Heinemann D, Veit RR, Heywood RB, Everson I (1990)</w:t>
      </w:r>
      <w:r>
        <w:t xml:space="preserve"> </w:t>
      </w:r>
      <w:hyperlink r:id="rId161">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62"/>
    <w:bookmarkStart w:id="164" w:name="ref-hunterFoodFeedingEcology1983"/>
    <w:p>
      <w:pPr>
        <w:pStyle w:val="Bibliography"/>
      </w:pPr>
      <w:r>
        <w:t xml:space="preserve">Hunter S (1983)</w:t>
      </w:r>
      <w:r>
        <w:t xml:space="preserve"> </w:t>
      </w:r>
      <w:hyperlink r:id="rId163">
        <w:r>
          <w:rPr>
            <w:rStyle w:val="Hyperlink"/>
          </w:rPr>
          <w:t xml:space="preserve">The Food and Feeding Ecology of the Giant Petrels</w:t>
        </w:r>
        <w:r>
          <w:rPr>
            <w:rStyle w:val="Hyperlink"/>
          </w:rPr>
          <w:t xml:space="preserve"> </w:t>
        </w:r>
        <w:r>
          <w:rPr>
            <w:rStyle w:val="Hyperlink"/>
            <w:i/>
            <w:iCs/>
          </w:rPr>
          <w:t xml:space="preserve">Macronectes</w:t>
        </w:r>
        <w:r>
          <w:rPr>
            <w:rStyle w:val="Hyperlink"/>
          </w:rPr>
          <w:t xml:space="preserve"> </w:t>
        </w:r>
        <w:r>
          <w:rPr>
            <w:rStyle w:val="Hyperlink"/>
            <w:i/>
            <w:iCs/>
          </w:rPr>
          <w:t xml:space="preserve">Halli</w:t>
        </w:r>
        <w:r>
          <w:rPr>
            <w:rStyle w:val="Hyperlink"/>
          </w:rPr>
          <w:t xml:space="preserve"> </w:t>
        </w:r>
        <w:r>
          <w:rPr>
            <w:rStyle w:val="Hyperlink"/>
          </w:rPr>
          <w:t xml:space="preserve">and</w:t>
        </w:r>
        <w:r>
          <w:rPr>
            <w:rStyle w:val="Hyperlink"/>
          </w:rPr>
          <w:t xml:space="preserve"> </w:t>
        </w:r>
        <w:r>
          <w:rPr>
            <w:rStyle w:val="Hyperlink"/>
            <w:i/>
            <w:iCs/>
          </w:rPr>
          <w:t xml:space="preserve">M</w:t>
        </w:r>
        <w:r>
          <w:rPr>
            <w:rStyle w:val="Hyperlink"/>
            <w:i/>
            <w:iCs/>
          </w:rPr>
          <w:t xml:space="preserve">. Giganteus</w:t>
        </w:r>
        <w:r>
          <w:rPr>
            <w:rStyle w:val="Hyperlink"/>
          </w:rPr>
          <w:t xml:space="preserve"> </w:t>
        </w:r>
        <w:r>
          <w:rPr>
            <w:rStyle w:val="Hyperlink"/>
          </w:rPr>
          <w:t xml:space="preserve">at</w:t>
        </w:r>
        <w:r>
          <w:rPr>
            <w:rStyle w:val="Hyperlink"/>
          </w:rPr>
          <w:t xml:space="preserve"> </w:t>
        </w:r>
        <w:r>
          <w:rPr>
            <w:rStyle w:val="Hyperlink"/>
          </w:rPr>
          <w:t xml:space="preserve">South Georgia</w:t>
        </w:r>
      </w:hyperlink>
      <w:r>
        <w:t xml:space="preserve">. Journal of Zoology 200:521–538.</w:t>
      </w:r>
    </w:p>
    <w:bookmarkEnd w:id="164"/>
    <w:bookmarkStart w:id="166" w:name="ref-jonesSixtyYearsWidespread2019"/>
    <w:p>
      <w:pPr>
        <w:pStyle w:val="Bibliography"/>
      </w:pPr>
      <w:r>
        <w:t xml:space="preserve">Jones ME, Bromwich DH, Nicolas JP, Carrasco J, Plavcová E, Zou X, Wang S-H (2019)</w:t>
      </w:r>
      <w:r>
        <w:t xml:space="preserve"> </w:t>
      </w:r>
      <w:hyperlink r:id="rId165">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66"/>
    <w:bookmarkStart w:id="168" w:name="ref-juaresDietAdeliePenguins2018"/>
    <w:p>
      <w:pPr>
        <w:pStyle w:val="Bibliography"/>
      </w:pPr>
      <w:r>
        <w:t xml:space="preserve">Juáres MA, Casaux R, Corbalán A, Blanco G, Pereira GA, Perchivale PJ, Coria NR, Santos MM (2018)</w:t>
      </w:r>
      <w:r>
        <w:t xml:space="preserve"> </w:t>
      </w:r>
      <w:hyperlink r:id="rId167">
        <w:r>
          <w:rPr>
            <w:rStyle w:val="Hyperlink"/>
          </w:rPr>
          <w:t xml:space="preserve">Diet of</w:t>
        </w:r>
        <w:r>
          <w:rPr>
            <w:rStyle w:val="Hyperlink"/>
          </w:rPr>
          <w:t xml:space="preserve"> </w:t>
        </w:r>
        <w:r>
          <w:rPr>
            <w:rStyle w:val="Hyperlink"/>
          </w:rPr>
          <w:t xml:space="preserve">Ad</w:t>
        </w:r>
        <w:r>
          <w:rPr>
            <w:rStyle w:val="Hyperlink"/>
          </w:rPr>
          <w:t xml:space="preserve">é</w:t>
        </w:r>
        <w:r>
          <w:rPr>
            <w:rStyle w:val="Hyperlink"/>
          </w:rPr>
          <w:t xml:space="preserve">lie</w:t>
        </w:r>
        <w:r>
          <w:rPr>
            <w:rStyle w:val="Hyperlink"/>
          </w:rPr>
          <w:t xml:space="preserve"> </w:t>
        </w:r>
        <w:r>
          <w:rPr>
            <w:rStyle w:val="Hyperlink"/>
          </w:rPr>
          <w:t xml:space="preserve">Penguins (</w:t>
        </w:r>
        <w:r>
          <w:rPr>
            <w:rStyle w:val="Hyperlink"/>
            <w:i/>
            <w:iCs/>
          </w:rPr>
          <w:t xml:space="preserve">Pygoscelis</w:t>
        </w:r>
        <w:r>
          <w:rPr>
            <w:rStyle w:val="Hyperlink"/>
          </w:rPr>
          <w:t xml:space="preserve"> </w:t>
        </w:r>
        <w:r>
          <w:rPr>
            <w:rStyle w:val="Hyperlink"/>
            <w:i/>
            <w:iCs/>
          </w:rPr>
          <w:t xml:space="preserve">Adeliae</w:t>
        </w:r>
        <w:r>
          <w:rPr>
            <w:rStyle w:val="Hyperlink"/>
          </w:rPr>
          <w:t xml:space="preserve">) at</w:t>
        </w:r>
        <w:r>
          <w:rPr>
            <w:rStyle w:val="Hyperlink"/>
          </w:rPr>
          <w:t xml:space="preserve"> </w:t>
        </w:r>
        <w:r>
          <w:rPr>
            <w:rStyle w:val="Hyperlink"/>
          </w:rPr>
          <w:t xml:space="preserve">Stranger Point</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over a 13-Year Period (2003–2015)</w:t>
        </w:r>
      </w:hyperlink>
      <w:r>
        <w:t xml:space="preserve">. Polar Biology 41:303–311.</w:t>
      </w:r>
    </w:p>
    <w:bookmarkEnd w:id="168"/>
    <w:bookmarkStart w:id="169" w:name="ref-kawaguchi2020krill"/>
    <w:p>
      <w:pPr>
        <w:pStyle w:val="Bibliography"/>
      </w:pPr>
      <w:r>
        <w:t xml:space="preserve">Kawaguchi S, Nicol S (2020) Krill Fishery. Fisheries and Aquaculture:137–158.</w:t>
      </w:r>
    </w:p>
    <w:bookmarkEnd w:id="169"/>
    <w:bookmarkStart w:id="171" w:name="ref-kirkwoodForagingEcologyFemale1997"/>
    <w:p>
      <w:pPr>
        <w:pStyle w:val="Bibliography"/>
      </w:pPr>
      <w:r>
        <w:t xml:space="preserve">Kirkwood R, Robertson G (1997)</w:t>
      </w:r>
      <w:r>
        <w:t xml:space="preserve"> </w:t>
      </w:r>
      <w:hyperlink r:id="rId170">
        <w:r>
          <w:rPr>
            <w:rStyle w:val="Hyperlink"/>
          </w:rPr>
          <w:t xml:space="preserve">The</w:t>
        </w:r>
        <w:r>
          <w:rPr>
            <w:rStyle w:val="Hyperlink"/>
          </w:rPr>
          <w:t xml:space="preserve"> </w:t>
        </w:r>
        <w:r>
          <w:rPr>
            <w:rStyle w:val="Hyperlink"/>
          </w:rPr>
          <w:t xml:space="preserve">Foraging Ecology</w:t>
        </w:r>
        <w:r>
          <w:rPr>
            <w:rStyle w:val="Hyperlink"/>
          </w:rPr>
          <w:t xml:space="preserve"> </w:t>
        </w:r>
        <w:r>
          <w:rPr>
            <w:rStyle w:val="Hyperlink"/>
          </w:rPr>
          <w:t xml:space="preserve">of</w:t>
        </w:r>
        <w:r>
          <w:rPr>
            <w:rStyle w:val="Hyperlink"/>
          </w:rPr>
          <w:t xml:space="preserve"> </w:t>
        </w:r>
        <w:r>
          <w:rPr>
            <w:rStyle w:val="Hyperlink"/>
          </w:rPr>
          <w:t xml:space="preserve">Female Emperor Penguins</w:t>
        </w:r>
        <w:r>
          <w:rPr>
            <w:rStyle w:val="Hyperlink"/>
          </w:rPr>
          <w:t xml:space="preserve"> </w:t>
        </w:r>
        <w:r>
          <w:rPr>
            <w:rStyle w:val="Hyperlink"/>
          </w:rPr>
          <w:t xml:space="preserve">in</w:t>
        </w:r>
        <w:r>
          <w:rPr>
            <w:rStyle w:val="Hyperlink"/>
          </w:rPr>
          <w:t xml:space="preserve"> </w:t>
        </w:r>
        <w:r>
          <w:rPr>
            <w:rStyle w:val="Hyperlink"/>
          </w:rPr>
          <w:t xml:space="preserve">Winter</w:t>
        </w:r>
      </w:hyperlink>
      <w:r>
        <w:t xml:space="preserve">. Ecological Monographs 67:155–176.</w:t>
      </w:r>
    </w:p>
    <w:bookmarkEnd w:id="171"/>
    <w:bookmarkStart w:id="173" w:name="ref-krauseRapidPopulationCollapse2022"/>
    <w:p>
      <w:pPr>
        <w:pStyle w:val="Bibliography"/>
      </w:pPr>
      <w:r>
        <w:t xml:space="preserve">Krause DJ, Bonin CA, Goebel ME, Reiss CS, Watters GM (2022)</w:t>
      </w:r>
      <w:r>
        <w:t xml:space="preserve"> </w:t>
      </w:r>
      <w:hyperlink r:id="rId172">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73"/>
    <w:bookmarkStart w:id="175" w:name="ref-krauseNovelForagingStrategies2015"/>
    <w:p>
      <w:pPr>
        <w:pStyle w:val="Bibliography"/>
      </w:pPr>
      <w:r>
        <w:t xml:space="preserve">Krause DJ, Goebel ME, Marshall GJ, Abernathy K (2015)</w:t>
      </w:r>
      <w:r>
        <w:t xml:space="preserve"> </w:t>
      </w:r>
      <w:hyperlink r:id="rId174">
        <w:r>
          <w:rPr>
            <w:rStyle w:val="Hyperlink"/>
          </w:rPr>
          <w:t xml:space="preserve">Novel Foraging Strategies Observed in a Growing Leopard Seal (</w:t>
        </w:r>
        <w:r>
          <w:rPr>
            <w:rStyle w:val="Hyperlink"/>
            <w:i/>
            <w:iCs/>
          </w:rPr>
          <w:t xml:space="preserve">Hydrurga</w:t>
        </w:r>
        <w:r>
          <w:rPr>
            <w:rStyle w:val="Hyperlink"/>
          </w:rPr>
          <w:t xml:space="preserve"> </w:t>
        </w:r>
        <w:r>
          <w:rPr>
            <w:rStyle w:val="Hyperlink"/>
            <w:i/>
            <w:iCs/>
          </w:rPr>
          <w:t xml:space="preserve">Leptonyx</w:t>
        </w:r>
        <w:r>
          <w:rPr>
            <w:rStyle w:val="Hyperlink"/>
          </w:rPr>
          <w:t xml:space="preserve">) Population at</w:t>
        </w:r>
        <w:r>
          <w:rPr>
            <w:rStyle w:val="Hyperlink"/>
          </w:rPr>
          <w:t xml:space="preserve"> </w:t>
        </w:r>
        <w:r>
          <w:rPr>
            <w:rStyle w:val="Hyperlink"/>
          </w:rPr>
          <w:t xml:space="preserve">Livingston Island</w:t>
        </w:r>
        <w:r>
          <w:rPr>
            <w:rStyle w:val="Hyperlink"/>
          </w:rPr>
          <w:t xml:space="preserve">,</w:t>
        </w:r>
        <w:r>
          <w:rPr>
            <w:rStyle w:val="Hyperlink"/>
          </w:rPr>
          <w:t xml:space="preserve"> </w:t>
        </w:r>
        <w:r>
          <w:rPr>
            <w:rStyle w:val="Hyperlink"/>
          </w:rPr>
          <w:t xml:space="preserve">Antarctic Peninsula</w:t>
        </w:r>
      </w:hyperlink>
      <w:r>
        <w:t xml:space="preserve">. Animal Biotelemetry 3:24.</w:t>
      </w:r>
    </w:p>
    <w:bookmarkEnd w:id="175"/>
    <w:bookmarkStart w:id="177" w:name="ref-lakeRegionalTemporalFinescale2003"/>
    <w:p>
      <w:pPr>
        <w:pStyle w:val="Bibliography"/>
      </w:pPr>
      <w:r>
        <w:t xml:space="preserve">Lake S, Burton H, Van Den Hoff G (2003)</w:t>
      </w:r>
      <w:r>
        <w:t xml:space="preserve"> </w:t>
      </w:r>
      <w:hyperlink r:id="rId176">
        <w:r>
          <w:rPr>
            <w:rStyle w:val="Hyperlink"/>
          </w:rPr>
          <w:t xml:space="preserve">Regional, Temporal and Fine-Scale Spatial Variation in</w:t>
        </w:r>
        <w:r>
          <w:rPr>
            <w:rStyle w:val="Hyperlink"/>
          </w:rPr>
          <w:t xml:space="preserve"> </w:t>
        </w:r>
        <w:r>
          <w:rPr>
            <w:rStyle w:val="Hyperlink"/>
          </w:rPr>
          <w:t xml:space="preserve">Weddell</w:t>
        </w:r>
        <w:r>
          <w:rPr>
            <w:rStyle w:val="Hyperlink"/>
          </w:rPr>
          <w:t xml:space="preserve"> </w:t>
        </w:r>
        <w:r>
          <w:rPr>
            <w:rStyle w:val="Hyperlink"/>
          </w:rPr>
          <w:t xml:space="preserve">Seal Diet at Four Coastal Locations in East</w:t>
        </w:r>
        <w:r>
          <w:rPr>
            <w:rStyle w:val="Hyperlink"/>
          </w:rPr>
          <w:t xml:space="preserve"> </w:t>
        </w:r>
        <w:r>
          <w:rPr>
            <w:rStyle w:val="Hyperlink"/>
          </w:rPr>
          <w:t xml:space="preserve">Antarctica</w:t>
        </w:r>
      </w:hyperlink>
      <w:r>
        <w:t xml:space="preserve">. Marine Ecology Progress Series 254:293–305.</w:t>
      </w:r>
    </w:p>
    <w:bookmarkEnd w:id="177"/>
    <w:bookmarkStart w:id="179" w:name="X1f0cd1eff7826728501a3a926460d8e2f3331f0"/>
    <w:p>
      <w:pPr>
        <w:pStyle w:val="Bibliography"/>
      </w:pPr>
      <w:r>
        <w:t xml:space="preserve">Lee JF, Friedlaender AS, Oliver MJ, DeLiberty TL (2017)</w:t>
      </w:r>
      <w:r>
        <w:t xml:space="preserve"> </w:t>
      </w:r>
      <w:hyperlink r:id="rId178">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79"/>
    <w:bookmarkStart w:id="181" w:name="X0e0342c3a11abb318ff8f43bb949991f70bdcc4"/>
    <w:p>
      <w:pPr>
        <w:pStyle w:val="Bibliography"/>
      </w:pPr>
      <w:r>
        <w:t xml:space="preserve">Levin PS, Fogarty MJ, Murawski SA, Fluharty D (2009)</w:t>
      </w:r>
      <w:r>
        <w:t xml:space="preserve"> </w:t>
      </w:r>
      <w:hyperlink r:id="rId180">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81"/>
    <w:bookmarkStart w:id="183" w:name="ref-linDeclinePlanktonDiversity2021"/>
    <w:p>
      <w:pPr>
        <w:pStyle w:val="Bibliography"/>
      </w:pPr>
      <w:r>
        <w:t xml:space="preserve">Lin Y, Moreno C, Marchetti A, Ducklow H, Schofield O, Delage E, Meredith M, Li Z, Eveillard D, Chaffron S, Cassar N (2021)</w:t>
      </w:r>
      <w:r>
        <w:t xml:space="preserve"> </w:t>
      </w:r>
      <w:hyperlink r:id="rId182">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83"/>
    <w:bookmarkStart w:id="184"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
          <w:iCs/>
        </w:rPr>
        <w:t xml:space="preserve">Thalassoica</w:t>
      </w:r>
      <w:r>
        <w:t xml:space="preserve"> </w:t>
      </w:r>
      <w:r>
        <w:rPr>
          <w:i/>
          <w:iCs/>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84"/>
    <w:bookmarkStart w:id="186" w:name="ref-macleodReviewDataDiets2003"/>
    <w:p>
      <w:pPr>
        <w:pStyle w:val="Bibliography"/>
      </w:pPr>
      <w:r>
        <w:t xml:space="preserve">MacLeod CD, Santos MB, Pierce GJ (2003)</w:t>
      </w:r>
      <w:r>
        <w:t xml:space="preserve"> </w:t>
      </w:r>
      <w:hyperlink r:id="rId185">
        <w:r>
          <w:rPr>
            <w:rStyle w:val="Hyperlink"/>
          </w:rPr>
          <w:t xml:space="preserve">Review of</w:t>
        </w:r>
        <w:r>
          <w:rPr>
            <w:rStyle w:val="Hyperlink"/>
          </w:rPr>
          <w:t xml:space="preserve"> </w:t>
        </w:r>
        <w:r>
          <w:rPr>
            <w:rStyle w:val="Hyperlink"/>
          </w:rPr>
          <w:t xml:space="preserve">Data</w:t>
        </w:r>
        <w:r>
          <w:rPr>
            <w:rStyle w:val="Hyperlink"/>
          </w:rPr>
          <w:t xml:space="preserve"> </w:t>
        </w:r>
        <w:r>
          <w:rPr>
            <w:rStyle w:val="Hyperlink"/>
          </w:rPr>
          <w:t xml:space="preserve">on</w:t>
        </w:r>
        <w:r>
          <w:rPr>
            <w:rStyle w:val="Hyperlink"/>
          </w:rPr>
          <w:t xml:space="preserve"> </w:t>
        </w:r>
        <w:r>
          <w:rPr>
            <w:rStyle w:val="Hyperlink"/>
          </w:rPr>
          <w:t xml:space="preserve">Diets</w:t>
        </w:r>
        <w:r>
          <w:rPr>
            <w:rStyle w:val="Hyperlink"/>
          </w:rPr>
          <w:t xml:space="preserve"> </w:t>
        </w:r>
        <w:r>
          <w:rPr>
            <w:rStyle w:val="Hyperlink"/>
          </w:rPr>
          <w:t xml:space="preserve">of</w:t>
        </w:r>
        <w:r>
          <w:rPr>
            <w:rStyle w:val="Hyperlink"/>
          </w:rPr>
          <w:t xml:space="preserve"> </w:t>
        </w:r>
        <w:r>
          <w:rPr>
            <w:rStyle w:val="Hyperlink"/>
          </w:rPr>
          <w:t xml:space="preserve">Beaked Whales</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Niche Separation</w:t>
        </w:r>
        <w:r>
          <w:rPr>
            <w:rStyle w:val="Hyperlink"/>
          </w:rPr>
          <w:t xml:space="preserve"> </w:t>
        </w:r>
        <w:r>
          <w:rPr>
            <w:rStyle w:val="Hyperlink"/>
          </w:rPr>
          <w:t xml:space="preserve">and</w:t>
        </w:r>
        <w:r>
          <w:rPr>
            <w:rStyle w:val="Hyperlink"/>
          </w:rPr>
          <w:t xml:space="preserve"> </w:t>
        </w:r>
        <w:r>
          <w:rPr>
            <w:rStyle w:val="Hyperlink"/>
          </w:rPr>
          <w:t xml:space="preserve">Geographic Segregation</w:t>
        </w:r>
      </w:hyperlink>
      <w:r>
        <w:t xml:space="preserve">. Journal of the Marine Biological Association of the United Kingdom 83:651–665.</w:t>
      </w:r>
    </w:p>
    <w:bookmarkEnd w:id="186"/>
    <w:bookmarkStart w:id="187"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87"/>
    <w:bookmarkStart w:id="189" w:name="ref-massomAntarcticSeaIce2010"/>
    <w:p>
      <w:pPr>
        <w:pStyle w:val="Bibliography"/>
      </w:pPr>
      <w:r>
        <w:t xml:space="preserve">Massom RA, Stammerjohn SE (2010)</w:t>
      </w:r>
      <w:r>
        <w:t xml:space="preserve"> </w:t>
      </w:r>
      <w:hyperlink r:id="rId188">
        <w:r>
          <w:rPr>
            <w:rStyle w:val="Hyperlink"/>
          </w:rPr>
          <w:t xml:space="preserve">Antarctic Sea Ice Change and Variability – Physical and Ecological Implications</w:t>
        </w:r>
      </w:hyperlink>
      <w:r>
        <w:t xml:space="preserve">. Polar Science 4:149–186.</w:t>
      </w:r>
    </w:p>
    <w:bookmarkEnd w:id="189"/>
    <w:bookmarkStart w:id="191"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90">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91"/>
    <w:bookmarkStart w:id="193" w:name="ref-mitchell1991"/>
    <w:p>
      <w:pPr>
        <w:pStyle w:val="Bibliography"/>
      </w:pPr>
      <w:r>
        <w:t xml:space="preserve">Mitchell BG, Holm-Hansen O (1991)</w:t>
      </w:r>
      <w:r>
        <w:t xml:space="preserve"> </w:t>
      </w:r>
      <w:hyperlink r:id="rId192">
        <w:r>
          <w:rPr>
            <w:rStyle w:val="Hyperlink"/>
          </w:rPr>
          <w:t xml:space="preserve">Observations of Modeling of the Antartic Phytoplankton Crop in Relation to Mixing Depth</w:t>
        </w:r>
      </w:hyperlink>
      <w:r>
        <w:t xml:space="preserve">. Deep Sea Research Part A Oceanographic Research Papers 38:981–1007.</w:t>
      </w:r>
    </w:p>
    <w:bookmarkEnd w:id="193"/>
    <w:bookmarkStart w:id="195" w:name="ref-moffatShelfOceanExchange2018"/>
    <w:p>
      <w:pPr>
        <w:pStyle w:val="Bibliography"/>
      </w:pPr>
      <w:r>
        <w:t xml:space="preserve">Moffat C, Meredith M (2018)</w:t>
      </w:r>
      <w:r>
        <w:t xml:space="preserve"> </w:t>
      </w:r>
      <w:hyperlink r:id="rId194">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95"/>
    <w:bookmarkStart w:id="197" w:name="X38d12e35d0c5f4398096933a7b2c121f1eae851"/>
    <w:p>
      <w:pPr>
        <w:pStyle w:val="Bibliography"/>
      </w:pPr>
      <w:r>
        <w:t xml:space="preserve">Monier SA, Veit RR, Manne LL (2020)</w:t>
      </w:r>
      <w:r>
        <w:t xml:space="preserve"> </w:t>
      </w:r>
      <w:hyperlink r:id="rId196">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97"/>
    <w:bookmarkStart w:id="199" w:name="Xfc6a34894b1f46f61ccdc914e6c90e15ab89c80"/>
    <w:p>
      <w:pPr>
        <w:pStyle w:val="Bibliography"/>
      </w:pPr>
      <w:r>
        <w:t xml:space="preserve">Montes-Hugo M, Doney SC, Ducklow HW, Fraser W, Martinson D, Stammerjohn SE, Schofield O (2009)</w:t>
      </w:r>
      <w:r>
        <w:t xml:space="preserve"> </w:t>
      </w:r>
      <w:hyperlink r:id="rId198">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99"/>
    <w:bookmarkStart w:id="200"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200"/>
    <w:bookmarkStart w:id="201"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201"/>
    <w:bookmarkStart w:id="203" w:name="ref-parkinson40yRecordReveals2019"/>
    <w:p>
      <w:pPr>
        <w:pStyle w:val="Bibliography"/>
      </w:pPr>
      <w:r>
        <w:t xml:space="preserve">Parkinson CL (2019)</w:t>
      </w:r>
      <w:r>
        <w:t xml:space="preserve"> </w:t>
      </w:r>
      <w:hyperlink r:id="rId202">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203"/>
    <w:bookmarkStart w:id="205" w:name="ref-pitmanThreeFormsKiller2003"/>
    <w:p>
      <w:pPr>
        <w:pStyle w:val="Bibliography"/>
      </w:pPr>
      <w:r>
        <w:t xml:space="preserve">Pitman RL, Ensor P (2003)</w:t>
      </w:r>
      <w:r>
        <w:t xml:space="preserve"> </w:t>
      </w:r>
      <w:hyperlink r:id="rId204">
        <w:r>
          <w:rPr>
            <w:rStyle w:val="Hyperlink"/>
          </w:rPr>
          <w:t xml:space="preserve">Three Forms of Killer Whales (</w:t>
        </w:r>
        <w:r>
          <w:rPr>
            <w:rStyle w:val="Hyperlink"/>
            <w:i/>
            <w:iCs/>
          </w:rPr>
          <w:t xml:space="preserve">Orcinus</w:t>
        </w:r>
        <w:r>
          <w:rPr>
            <w:rStyle w:val="Hyperlink"/>
          </w:rPr>
          <w:t xml:space="preserve"> </w:t>
        </w:r>
        <w:r>
          <w:rPr>
            <w:rStyle w:val="Hyperlink"/>
            <w:i/>
            <w:iCs/>
          </w:rPr>
          <w:t xml:space="preserve">Orca</w:t>
        </w:r>
        <w:r>
          <w:rPr>
            <w:rStyle w:val="Hyperlink"/>
          </w:rPr>
          <w:t xml:space="preserve">) in</w:t>
        </w:r>
        <w:r>
          <w:rPr>
            <w:rStyle w:val="Hyperlink"/>
          </w:rPr>
          <w:t xml:space="preserve"> </w:t>
        </w:r>
        <w:r>
          <w:rPr>
            <w:rStyle w:val="Hyperlink"/>
          </w:rPr>
          <w:t xml:space="preserve">Antarctic</w:t>
        </w:r>
        <w:r>
          <w:rPr>
            <w:rStyle w:val="Hyperlink"/>
          </w:rPr>
          <w:t xml:space="preserve"> </w:t>
        </w:r>
        <w:r>
          <w:rPr>
            <w:rStyle w:val="Hyperlink"/>
          </w:rPr>
          <w:t xml:space="preserve">Waters</w:t>
        </w:r>
      </w:hyperlink>
      <w:r>
        <w:t xml:space="preserve">. J Cetacean Res Manage 5:131–139.</w:t>
      </w:r>
    </w:p>
    <w:bookmarkEnd w:id="205"/>
    <w:bookmarkStart w:id="207" w:name="ref-politoInvestigatingUseStable2010"/>
    <w:p>
      <w:pPr>
        <w:pStyle w:val="Bibliography"/>
      </w:pPr>
      <w:r>
        <w:t xml:space="preserve">Polito MJ, Goebel ME (2010)</w:t>
      </w:r>
      <w:r>
        <w:t xml:space="preserve"> </w:t>
      </w:r>
      <w:hyperlink r:id="rId206">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207"/>
    <w:bookmarkStart w:id="209" w:name="ref-princeFoodFeedingEcology1980"/>
    <w:p>
      <w:pPr>
        <w:pStyle w:val="Bibliography"/>
      </w:pPr>
      <w:r>
        <w:t xml:space="preserve">Prince PA (1980)</w:t>
      </w:r>
      <w:r>
        <w:t xml:space="preserve"> </w:t>
      </w:r>
      <w:hyperlink r:id="rId208">
        <w:r>
          <w:rPr>
            <w:rStyle w:val="Hyperlink"/>
          </w:rPr>
          <w:t xml:space="preserve">The Food and Feeding Ecology of</w:t>
        </w:r>
        <w:r>
          <w:rPr>
            <w:rStyle w:val="Hyperlink"/>
          </w:rPr>
          <w:t xml:space="preserve"> </w:t>
        </w:r>
        <w:r>
          <w:rPr>
            <w:rStyle w:val="Hyperlink"/>
          </w:rPr>
          <w:t xml:space="preserve">Blue</w:t>
        </w:r>
        <w:r>
          <w:rPr>
            <w:rStyle w:val="Hyperlink"/>
          </w:rPr>
          <w:t xml:space="preserve"> </w:t>
        </w:r>
        <w:r>
          <w:rPr>
            <w:rStyle w:val="Hyperlink"/>
          </w:rPr>
          <w:t xml:space="preserve">Petrel (</w:t>
        </w:r>
        <w:r>
          <w:rPr>
            <w:rStyle w:val="Hyperlink"/>
          </w:rPr>
          <w:t xml:space="preserve"> </w:t>
        </w:r>
        <w:r>
          <w:rPr>
            <w:rStyle w:val="Hyperlink"/>
            <w:i/>
            <w:iCs/>
          </w:rPr>
          <w:t xml:space="preserve">Halobaena</w:t>
        </w:r>
        <w:r>
          <w:rPr>
            <w:rStyle w:val="Hyperlink"/>
          </w:rPr>
          <w:t xml:space="preserve"> </w:t>
        </w:r>
        <w:r>
          <w:rPr>
            <w:rStyle w:val="Hyperlink"/>
            <w:i/>
            <w:iCs/>
          </w:rPr>
          <w:t xml:space="preserve">Caerulea</w:t>
        </w:r>
        <w:r>
          <w:rPr>
            <w:rStyle w:val="Hyperlink"/>
          </w:rPr>
          <w:t xml:space="preserve"> </w:t>
        </w:r>
        <w:r>
          <w:rPr>
            <w:rStyle w:val="Hyperlink"/>
          </w:rPr>
          <w:t xml:space="preserve">) and</w:t>
        </w:r>
        <w:r>
          <w:rPr>
            <w:rStyle w:val="Hyperlink"/>
          </w:rPr>
          <w:t xml:space="preserve"> </w:t>
        </w:r>
        <w:r>
          <w:rPr>
            <w:rStyle w:val="Hyperlink"/>
          </w:rPr>
          <w:t xml:space="preserve">Dove</w:t>
        </w:r>
        <w:r>
          <w:rPr>
            <w:rStyle w:val="Hyperlink"/>
          </w:rPr>
          <w:t xml:space="preserve"> </w:t>
        </w:r>
        <w:r>
          <w:rPr>
            <w:rStyle w:val="Hyperlink"/>
          </w:rPr>
          <w:t xml:space="preserve">Prion (</w:t>
        </w:r>
        <w:r>
          <w:rPr>
            <w:rStyle w:val="Hyperlink"/>
          </w:rPr>
          <w:t xml:space="preserve"> </w:t>
        </w:r>
        <w:r>
          <w:rPr>
            <w:rStyle w:val="Hyperlink"/>
            <w:i/>
            <w:iCs/>
          </w:rPr>
          <w:t xml:space="preserve">Pachyptila</w:t>
        </w:r>
        <w:r>
          <w:rPr>
            <w:rStyle w:val="Hyperlink"/>
          </w:rPr>
          <w:t xml:space="preserve"> </w:t>
        </w:r>
        <w:r>
          <w:rPr>
            <w:rStyle w:val="Hyperlink"/>
            <w:i/>
            <w:iCs/>
          </w:rPr>
          <w:t xml:space="preserve">Desolata</w:t>
        </w:r>
        <w:r>
          <w:rPr>
            <w:rStyle w:val="Hyperlink"/>
          </w:rPr>
          <w:t xml:space="preserve"> </w:t>
        </w:r>
        <w:r>
          <w:rPr>
            <w:rStyle w:val="Hyperlink"/>
          </w:rPr>
          <w:t xml:space="preserve">)</w:t>
        </w:r>
      </w:hyperlink>
      <w:r>
        <w:t xml:space="preserve">. Journal of Zoology 190:59–76.</w:t>
      </w:r>
    </w:p>
    <w:bookmarkEnd w:id="209"/>
    <w:bookmarkStart w:id="211" w:name="ref-purichRecordLowAntarctic2023"/>
    <w:p>
      <w:pPr>
        <w:pStyle w:val="Bibliography"/>
      </w:pPr>
      <w:r>
        <w:t xml:space="preserve">Purich A, Doddridge EW (2023)</w:t>
      </w:r>
      <w:r>
        <w:t xml:space="preserve"> </w:t>
      </w:r>
      <w:hyperlink r:id="rId210">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211"/>
    <w:bookmarkStart w:id="213" w:name="ref-reissOverwinterHabitatSelection2017"/>
    <w:p>
      <w:pPr>
        <w:pStyle w:val="Bibliography"/>
      </w:pPr>
      <w:r>
        <w:t xml:space="preserve">Reiss CS, Cossio A, Santora JA, Dietrich KS, Murray A, Mitchell BG, Walsh J, Weiss EL, Gimpel C, Jones CD, Watters GM (2017)</w:t>
      </w:r>
      <w:r>
        <w:t xml:space="preserve"> </w:t>
      </w:r>
      <w:hyperlink r:id="rId212">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213"/>
    <w:bookmarkStart w:id="215" w:name="ref-ribicWaterMassesOcean2011"/>
    <w:p>
      <w:pPr>
        <w:pStyle w:val="Bibliography"/>
      </w:pPr>
      <w:r>
        <w:t xml:space="preserve">Ribic CA, Ainley DG, Glenn Ford R, Fraser WR, Tynan CT, Woehler EJ (2011)</w:t>
      </w:r>
      <w:r>
        <w:t xml:space="preserve"> </w:t>
      </w:r>
      <w:hyperlink r:id="rId214">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215"/>
    <w:bookmarkStart w:id="216"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216"/>
    <w:bookmarkStart w:id="218" w:name="ref-rischCommonAntarcticMinke2019"/>
    <w:p>
      <w:pPr>
        <w:pStyle w:val="Bibliography"/>
      </w:pPr>
      <w:r>
        <w:t xml:space="preserve">Risch D, Norris T, Curnock M, Friedlaender A (2019)</w:t>
      </w:r>
      <w:r>
        <w:t xml:space="preserve"> </w:t>
      </w:r>
      <w:hyperlink r:id="rId217">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218"/>
    <w:bookmarkStart w:id="219"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219"/>
    <w:bookmarkStart w:id="221" w:name="ref-rodaryBenthicDivingMale2000"/>
    <w:p>
      <w:pPr>
        <w:pStyle w:val="Bibliography"/>
      </w:pPr>
      <w:r>
        <w:t xml:space="preserve">Rodary D, Bonneau W, Maho YL, Bost CA (2000)</w:t>
      </w:r>
      <w:r>
        <w:t xml:space="preserve"> </w:t>
      </w:r>
      <w:hyperlink r:id="rId220">
        <w:r>
          <w:rPr>
            <w:rStyle w:val="Hyperlink"/>
          </w:rPr>
          <w:t xml:space="preserve">Benthic Diving in Male Emperor Penguins</w:t>
        </w:r>
        <w:r>
          <w:rPr>
            <w:rStyle w:val="Hyperlink"/>
          </w:rPr>
          <w:t xml:space="preserve"> </w:t>
        </w:r>
        <w:r>
          <w:rPr>
            <w:rStyle w:val="Hyperlink"/>
            <w:i/>
            <w:iCs/>
          </w:rPr>
          <w:t xml:space="preserve">Aptenodytes</w:t>
        </w:r>
        <w:r>
          <w:rPr>
            <w:rStyle w:val="Hyperlink"/>
          </w:rPr>
          <w:t xml:space="preserve"> </w:t>
        </w:r>
        <w:r>
          <w:rPr>
            <w:rStyle w:val="Hyperlink"/>
            <w:i/>
            <w:iCs/>
          </w:rPr>
          <w:t xml:space="preserve">Forsteri</w:t>
        </w:r>
        <w:r>
          <w:rPr>
            <w:rStyle w:val="Hyperlink"/>
          </w:rPr>
          <w:t xml:space="preserve"> </w:t>
        </w:r>
        <w:r>
          <w:rPr>
            <w:rStyle w:val="Hyperlink"/>
          </w:rPr>
          <w:t xml:space="preserve">Foraging in Winter</w:t>
        </w:r>
      </w:hyperlink>
      <w:r>
        <w:t xml:space="preserve">. Marine Ecology Progress Series 207:171–181.</w:t>
      </w:r>
    </w:p>
    <w:bookmarkEnd w:id="221"/>
    <w:bookmarkStart w:id="223"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222">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223"/>
    <w:bookmarkStart w:id="225" w:name="X01d6b3488954b98c3df02db88f49ae2d68c72a7"/>
    <w:p>
      <w:pPr>
        <w:pStyle w:val="Bibliography"/>
      </w:pPr>
      <w:r>
        <w:t xml:space="preserve">Santora JA (2014)</w:t>
      </w:r>
      <w:r>
        <w:t xml:space="preserve"> </w:t>
      </w:r>
      <w:hyperlink r:id="rId224">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225"/>
    <w:bookmarkStart w:id="227" w:name="Xd3d873ceeaf11ffa434a4dda2943421e4f51cd6"/>
    <w:p>
      <w:pPr>
        <w:pStyle w:val="Bibliography"/>
      </w:pPr>
      <w:r>
        <w:t xml:space="preserve">Santora JA, Veit RR (2013)</w:t>
      </w:r>
      <w:r>
        <w:t xml:space="preserve"> </w:t>
      </w:r>
      <w:hyperlink r:id="rId226">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227"/>
    <w:bookmarkStart w:id="228" w:name="ref-silvaDoesAccessHighquality2001"/>
    <w:p>
      <w:pPr>
        <w:pStyle w:val="Bibliography"/>
      </w:pPr>
      <w:r>
        <w:t xml:space="preserve">Silva MP, Favero M, Copello S, Bastida R (2001) Does Access to High-Quality Pelagic Prey Increase the Breeding Success of Kelp Gulls</w:t>
      </w:r>
      <w:r>
        <w:t xml:space="preserve"> </w:t>
      </w:r>
      <w:r>
        <w:rPr>
          <w:i/>
          <w:iCs/>
        </w:rPr>
        <w:t xml:space="preserve">Larus</w:t>
      </w:r>
      <w:r>
        <w:t xml:space="preserve"> </w:t>
      </w:r>
      <w:r>
        <w:rPr>
          <w:i/>
          <w:iCs/>
        </w:rPr>
        <w:t xml:space="preserve">Dominicanus</w:t>
      </w:r>
      <w:r>
        <w:t xml:space="preserve"> </w:t>
      </w:r>
      <w:r>
        <w:t xml:space="preserve">in the</w:t>
      </w:r>
      <w:r>
        <w:t xml:space="preserve"> </w:t>
      </w:r>
      <w:r>
        <w:t xml:space="preserve">Antarctic Peninsula</w:t>
      </w:r>
      <w:r>
        <w:t xml:space="preserve">? Marine Ornithology 29:85–88.</w:t>
      </w:r>
    </w:p>
    <w:bookmarkEnd w:id="228"/>
    <w:bookmarkStart w:id="229" w:name="ref-southwellReviewDataAbundance2012"/>
    <w:p>
      <w:pPr>
        <w:pStyle w:val="Bibliography"/>
      </w:pPr>
      <w:r>
        <w:t xml:space="preserve">Southwell C, Bengtson J, Bester M, Blix AS, Bornemann H, Boveng P, Cameron M, Forcada J, Laake J, Nordøy E, Plötz J, Rogers T, Southwell D, Steinhage D, Stewart BS, Trathan P (2012) A Review of Data on Abundance, Trends in Abundance, Habitat Use and Diet of Ice-Breeding Seals in the</w:t>
      </w:r>
      <w:r>
        <w:t xml:space="preserve"> </w:t>
      </w:r>
      <w:r>
        <w:t xml:space="preserve">Southern Ocean</w:t>
      </w:r>
      <w:r>
        <w:t xml:space="preserve">. CCAMLR Science 19:49–74.</w:t>
      </w:r>
    </w:p>
    <w:bookmarkEnd w:id="229"/>
    <w:bookmarkStart w:id="231" w:name="ref-southwellTimingPuppingPackice2003"/>
    <w:p>
      <w:pPr>
        <w:pStyle w:val="Bibliography"/>
      </w:pPr>
      <w:r>
        <w:t xml:space="preserve">Southwell C, Kerry K, Ensor P, Woehler EJ, Rogers T (2003)</w:t>
      </w:r>
      <w:r>
        <w:t xml:space="preserve"> </w:t>
      </w:r>
      <w:hyperlink r:id="rId230">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231"/>
    <w:bookmarkStart w:id="233" w:name="X171672f82c1547386eb0b080a9861a97d84d786"/>
    <w:p>
      <w:pPr>
        <w:pStyle w:val="Bibliography"/>
      </w:pPr>
      <w:r>
        <w:t xml:space="preserve">Spear LB, Ainley DG (1998)</w:t>
      </w:r>
      <w:r>
        <w:t xml:space="preserve"> </w:t>
      </w:r>
      <w:hyperlink r:id="rId232">
        <w:r>
          <w:rPr>
            <w:rStyle w:val="Hyperlink"/>
          </w:rPr>
          <w:t xml:space="preserve">Morphological</w:t>
        </w:r>
        <w:r>
          <w:rPr>
            <w:rStyle w:val="Hyperlink"/>
          </w:rPr>
          <w:t xml:space="preserve"> </w:t>
        </w:r>
        <w:r>
          <w:rPr>
            <w:rStyle w:val="Hyperlink"/>
          </w:rPr>
          <w:t xml:space="preserve">Differences Relative</w:t>
        </w:r>
        <w:r>
          <w:rPr>
            <w:rStyle w:val="Hyperlink"/>
          </w:rPr>
          <w:t xml:space="preserve"> </w:t>
        </w:r>
        <w:r>
          <w:rPr>
            <w:rStyle w:val="Hyperlink"/>
          </w:rPr>
          <w:t xml:space="preserve">to</w:t>
        </w:r>
        <w:r>
          <w:rPr>
            <w:rStyle w:val="Hyperlink"/>
          </w:rPr>
          <w:t xml:space="preserve"> </w:t>
        </w:r>
        <w:r>
          <w:rPr>
            <w:rStyle w:val="Hyperlink"/>
          </w:rPr>
          <w:t xml:space="preserve">Ecological Segregation</w:t>
        </w:r>
        <w:r>
          <w:rPr>
            <w:rStyle w:val="Hyperlink"/>
          </w:rPr>
          <w:t xml:space="preserve"> </w:t>
        </w:r>
        <w:r>
          <w:rPr>
            <w:rStyle w:val="Hyperlink"/>
          </w:rPr>
          <w:t xml:space="preserve">in</w:t>
        </w:r>
        <w:r>
          <w:rPr>
            <w:rStyle w:val="Hyperlink"/>
          </w:rPr>
          <w:t xml:space="preserve"> </w:t>
        </w:r>
        <w:r>
          <w:rPr>
            <w:rStyle w:val="Hyperlink"/>
          </w:rPr>
          <w:t xml:space="preserve">Petrels</w:t>
        </w:r>
        <w:r>
          <w:rPr>
            <w:rStyle w:val="Hyperlink"/>
          </w:rPr>
          <w:t xml:space="preserve"> </w:t>
        </w:r>
        <w:r>
          <w:rPr>
            <w:rStyle w:val="Hyperlink"/>
          </w:rPr>
          <w:t xml:space="preserve">(</w:t>
        </w:r>
        <w:r>
          <w:rPr>
            <w:rStyle w:val="Hyperlink"/>
          </w:rPr>
          <w:t xml:space="preserve">Family</w:t>
        </w:r>
        <w:r>
          <w:rPr>
            <w:rStyle w:val="Hyperlink"/>
          </w:rPr>
          <w:t xml:space="preserve">:</w:t>
        </w:r>
        <w:r>
          <w:rPr>
            <w:rStyle w:val="Hyperlink"/>
          </w:rPr>
          <w:t xml:space="preserve"> </w:t>
        </w:r>
        <w:r>
          <w:rPr>
            <w:rStyle w:val="Hyperlink"/>
          </w:rPr>
          <w:t xml:space="preserve">Procellariidae</w:t>
        </w:r>
        <w:r>
          <w:rPr>
            <w:rStyle w:val="Hyperlink"/>
          </w:rPr>
          <w:t xml:space="preserve">) of the</w:t>
        </w:r>
        <w:r>
          <w:rPr>
            <w:rStyle w:val="Hyperlink"/>
          </w:rPr>
          <w:t xml:space="preserve"> </w:t>
        </w:r>
        <w:r>
          <w:rPr>
            <w:rStyle w:val="Hyperlink"/>
          </w:rPr>
          <w:t xml:space="preserve">Southern Ocean</w:t>
        </w:r>
        <w:r>
          <w:rPr>
            <w:rStyle w:val="Hyperlink"/>
          </w:rPr>
          <w:t xml:space="preserve"> </w:t>
        </w:r>
        <w:r>
          <w:rPr>
            <w:rStyle w:val="Hyperlink"/>
          </w:rPr>
          <w:t xml:space="preserve">and</w:t>
        </w:r>
        <w:r>
          <w:rPr>
            <w:rStyle w:val="Hyperlink"/>
          </w:rPr>
          <w:t xml:space="preserve"> </w:t>
        </w:r>
        <w:r>
          <w:rPr>
            <w:rStyle w:val="Hyperlink"/>
          </w:rPr>
          <w:t xml:space="preserve">Tropical Pacific</w:t>
        </w:r>
      </w:hyperlink>
      <w:r>
        <w:t xml:space="preserve">. The Auk 115:1017–1033.</w:t>
      </w:r>
    </w:p>
    <w:bookmarkEnd w:id="233"/>
    <w:bookmarkStart w:id="235" w:name="Xd404d694a14fb6d14de33e5bf3ce07054064c00"/>
    <w:p>
      <w:pPr>
        <w:pStyle w:val="Bibliography"/>
      </w:pPr>
      <w:r>
        <w:t xml:space="preserve">Stachowicz JJ (2001)</w:t>
      </w:r>
      <w:r>
        <w:t xml:space="preserve"> </w:t>
      </w:r>
      <w:hyperlink r:id="rId234">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235"/>
    <w:bookmarkStart w:id="237" w:name="ref-stammerjohnSeaIceWestern2008"/>
    <w:p>
      <w:pPr>
        <w:pStyle w:val="Bibliography"/>
      </w:pPr>
      <w:r>
        <w:t xml:space="preserve">Stammerjohn SE, Martinson DG, Smith RC, Iannuzzi RA (2008)</w:t>
      </w:r>
      <w:r>
        <w:t xml:space="preserve"> </w:t>
      </w:r>
      <w:hyperlink r:id="rId236">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237"/>
    <w:bookmarkStart w:id="239" w:name="ref-stanilandForagingBehaviourTwo2011"/>
    <w:p>
      <w:pPr>
        <w:pStyle w:val="Bibliography"/>
      </w:pPr>
      <w:r>
        <w:t xml:space="preserve">Staniland I, Morton A, Robinson S, Malone D, Forcada J (2011)</w:t>
      </w:r>
      <w:r>
        <w:t xml:space="preserve"> </w:t>
      </w:r>
      <w:hyperlink r:id="rId238">
        <w:r>
          <w:rPr>
            <w:rStyle w:val="Hyperlink"/>
          </w:rPr>
          <w:t xml:space="preserve">Foraging Behaviour in Two</w:t>
        </w:r>
        <w:r>
          <w:rPr>
            <w:rStyle w:val="Hyperlink"/>
          </w:rPr>
          <w:t xml:space="preserve"> </w:t>
        </w:r>
        <w:r>
          <w:rPr>
            <w:rStyle w:val="Hyperlink"/>
          </w:rPr>
          <w:t xml:space="preserve">Antarctic</w:t>
        </w:r>
        <w:r>
          <w:rPr>
            <w:rStyle w:val="Hyperlink"/>
          </w:rPr>
          <w:t xml:space="preserve"> </w:t>
        </w:r>
        <w:r>
          <w:rPr>
            <w:rStyle w:val="Hyperlink"/>
          </w:rPr>
          <w:t xml:space="preserve">Fur Seal Colonies with Differing Population Recoveries</w:t>
        </w:r>
      </w:hyperlink>
      <w:r>
        <w:t xml:space="preserve">. Marine Ecology Progress Series 434:183–196.</w:t>
      </w:r>
    </w:p>
    <w:bookmarkEnd w:id="239"/>
    <w:bookmarkStart w:id="241" w:name="ref-testaOverwinterMovementsDiving1994"/>
    <w:p>
      <w:pPr>
        <w:pStyle w:val="Bibliography"/>
      </w:pPr>
      <w:r>
        <w:t xml:space="preserve">Testa JW (1994)</w:t>
      </w:r>
      <w:r>
        <w:t xml:space="preserve"> </w:t>
      </w:r>
      <w:hyperlink r:id="rId240">
        <w:r>
          <w:rPr>
            <w:rStyle w:val="Hyperlink"/>
          </w:rPr>
          <w:t xml:space="preserve">Over-Winter Movements and Diving Behavior of Female</w:t>
        </w:r>
        <w:r>
          <w:rPr>
            <w:rStyle w:val="Hyperlink"/>
          </w:rPr>
          <w:t xml:space="preserve"> </w:t>
        </w:r>
        <w:r>
          <w:rPr>
            <w:rStyle w:val="Hyperlink"/>
          </w:rPr>
          <w:t xml:space="preserve">Weddell</w:t>
        </w:r>
        <w:r>
          <w:rPr>
            <w:rStyle w:val="Hyperlink"/>
          </w:rPr>
          <w:t xml:space="preserve"> </w:t>
        </w:r>
        <w:r>
          <w:rPr>
            <w:rStyle w:val="Hyperlink"/>
          </w:rPr>
          <w:t xml:space="preserve">Seals (</w:t>
        </w:r>
        <w:r>
          <w:rPr>
            <w:rStyle w:val="Hyperlink"/>
          </w:rPr>
          <w:t xml:space="preserve"> </w:t>
        </w:r>
        <w:r>
          <w:rPr>
            <w:rStyle w:val="Hyperlink"/>
            <w:i/>
            <w:iCs/>
          </w:rPr>
          <w:t xml:space="preserve">Leptonychotes</w:t>
        </w:r>
        <w:r>
          <w:rPr>
            <w:rStyle w:val="Hyperlink"/>
          </w:rPr>
          <w:t xml:space="preserve"> </w:t>
        </w:r>
        <w:r>
          <w:rPr>
            <w:rStyle w:val="Hyperlink"/>
            <w:i/>
            <w:iCs/>
          </w:rPr>
          <w:t xml:space="preserve">Weddellii</w:t>
        </w:r>
        <w:r>
          <w:rPr>
            <w:rStyle w:val="Hyperlink"/>
          </w:rPr>
          <w:t xml:space="preserve"> </w:t>
        </w:r>
        <w:r>
          <w:rPr>
            <w:rStyle w:val="Hyperlink"/>
          </w:rPr>
          <w:t xml:space="preserve">) in the Southwestern</w:t>
        </w:r>
        <w:r>
          <w:rPr>
            <w:rStyle w:val="Hyperlink"/>
          </w:rPr>
          <w:t xml:space="preserve"> </w:t>
        </w:r>
        <w:r>
          <w:rPr>
            <w:rStyle w:val="Hyperlink"/>
          </w:rPr>
          <w:t xml:space="preserve">Ross Sea</w:t>
        </w:r>
        <w:r>
          <w:rPr>
            <w:rStyle w:val="Hyperlink"/>
          </w:rPr>
          <w:t xml:space="preserve">,</w:t>
        </w:r>
        <w:r>
          <w:rPr>
            <w:rStyle w:val="Hyperlink"/>
          </w:rPr>
          <w:t xml:space="preserve"> </w:t>
        </w:r>
        <w:r>
          <w:rPr>
            <w:rStyle w:val="Hyperlink"/>
          </w:rPr>
          <w:t xml:space="preserve">Antarctica</w:t>
        </w:r>
      </w:hyperlink>
      <w:r>
        <w:t xml:space="preserve">. Canadian Journal of Zoology 72:1700–1710.</w:t>
      </w:r>
    </w:p>
    <w:bookmarkEnd w:id="241"/>
    <w:bookmarkStart w:id="243" w:name="ref-thiebotAdeliePenguinsExtensive2019"/>
    <w:p>
      <w:pPr>
        <w:pStyle w:val="Bibliography"/>
      </w:pPr>
      <w:r>
        <w:t xml:space="preserve">Thiebot J-B, Ropert-Coudert Y, Raclot T, Poupart T, Kato A, Takahashi A (2019)</w:t>
      </w:r>
      <w:r>
        <w:t xml:space="preserve"> </w:t>
      </w:r>
      <w:hyperlink r:id="rId242">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243"/>
    <w:bookmarkStart w:id="245" w:name="X884756223ddc7b6713f766144366ec91913014d"/>
    <w:p>
      <w:pPr>
        <w:pStyle w:val="Bibliography"/>
      </w:pPr>
      <w:r>
        <w:t xml:space="preserve">Tibshirani R, Walther G, Hastie T (2001)</w:t>
      </w:r>
      <w:r>
        <w:t xml:space="preserve"> </w:t>
      </w:r>
      <w:hyperlink r:id="rId244">
        <w:r>
          <w:rPr>
            <w:rStyle w:val="Hyperlink"/>
          </w:rPr>
          <w:t xml:space="preserve">Estimating the Number of Clusters in a Data Set via the Gap Statistic</w:t>
        </w:r>
      </w:hyperlink>
      <w:r>
        <w:t xml:space="preserve">. Journal of the Royal Statistical Society: Series B (Statistical Methodology) 63:411–423.</w:t>
      </w:r>
    </w:p>
    <w:bookmarkEnd w:id="245"/>
    <w:bookmarkStart w:id="247" w:name="Xa0f6a34f550fc2bc1d1027319d9086ed136f03e"/>
    <w:p>
      <w:pPr>
        <w:pStyle w:val="Bibliography"/>
      </w:pPr>
      <w:r>
        <w:t xml:space="preserve">Trathan PN, Warwick-Evans V, Young EF, Friedlaender A, Kim JH, Kokubun N (2022)</w:t>
      </w:r>
      <w:r>
        <w:t xml:space="preserve"> </w:t>
      </w:r>
      <w:hyperlink r:id="rId246">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247"/>
    <w:bookmarkStart w:id="248"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248"/>
    <w:bookmarkStart w:id="250" w:name="ref-veitPositiveInteractionsForaging2017"/>
    <w:p>
      <w:pPr>
        <w:pStyle w:val="Bibliography"/>
      </w:pPr>
      <w:r>
        <w:t xml:space="preserve">Veit RR, Harrison NM (2017)</w:t>
      </w:r>
      <w:r>
        <w:t xml:space="preserve"> </w:t>
      </w:r>
      <w:hyperlink r:id="rId249">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250"/>
    <w:bookmarkStart w:id="252" w:name="ref-veitAggregationPatternsPelagic1993"/>
    <w:p>
      <w:pPr>
        <w:pStyle w:val="Bibliography"/>
      </w:pPr>
      <w:r>
        <w:t xml:space="preserve">Veit RR, Silverman ED, Everson I (1993)</w:t>
      </w:r>
      <w:r>
        <w:t xml:space="preserve"> </w:t>
      </w:r>
      <w:hyperlink r:id="rId251">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252"/>
    <w:bookmarkStart w:id="254" w:name="ref-walkerSeasonalOccurrenceDiet1998"/>
    <w:p>
      <w:pPr>
        <w:pStyle w:val="Bibliography"/>
      </w:pPr>
      <w:r>
        <w:t xml:space="preserve">Walker TR, Boyd IL, McCafferty DJ, Huin N, Taylor RI, Reid K (1998)</w:t>
      </w:r>
      <w:r>
        <w:t xml:space="preserve"> </w:t>
      </w:r>
      <w:hyperlink r:id="rId253">
        <w:r>
          <w:rPr>
            <w:rStyle w:val="Hyperlink"/>
          </w:rPr>
          <w:t xml:space="preserve">Seasonal Occurrence and Diet of Leopard Seals (</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 at</w:t>
        </w:r>
        <w:r>
          <w:rPr>
            <w:rStyle w:val="Hyperlink"/>
          </w:rPr>
          <w:t xml:space="preserve"> </w:t>
        </w:r>
        <w:r>
          <w:rPr>
            <w:rStyle w:val="Hyperlink"/>
          </w:rPr>
          <w:t xml:space="preserve">Bird Island</w:t>
        </w:r>
        <w:r>
          <w:rPr>
            <w:rStyle w:val="Hyperlink"/>
          </w:rPr>
          <w:t xml:space="preserve">,</w:t>
        </w:r>
        <w:r>
          <w:rPr>
            <w:rStyle w:val="Hyperlink"/>
          </w:rPr>
          <w:t xml:space="preserve"> </w:t>
        </w:r>
        <w:r>
          <w:rPr>
            <w:rStyle w:val="Hyperlink"/>
          </w:rPr>
          <w:t xml:space="preserve">South Georgia</w:t>
        </w:r>
      </w:hyperlink>
      <w:r>
        <w:t xml:space="preserve">. Antarctic Science 10:75–81.</w:t>
      </w:r>
    </w:p>
    <w:bookmarkEnd w:id="254"/>
    <w:bookmarkStart w:id="256" w:name="ref-walshExtremeNinoSouthern2023"/>
    <w:p>
      <w:pPr>
        <w:pStyle w:val="Bibliography"/>
      </w:pPr>
      <w:r>
        <w:t xml:space="preserve">Walsh J, Reiss C (2023)</w:t>
      </w:r>
      <w:r>
        <w:t xml:space="preserve"> </w:t>
      </w:r>
      <w:hyperlink r:id="rId255">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256"/>
    <w:bookmarkStart w:id="258" w:name="X03cfcb148327393cd810c628d97ec820b617595"/>
    <w:p>
      <w:pPr>
        <w:pStyle w:val="Bibliography"/>
      </w:pPr>
      <w:r>
        <w:t xml:space="preserve">Warwick-Evans V, A Santora J, Waggitt JJ, Trathan PN (2021)</w:t>
      </w:r>
      <w:r>
        <w:t xml:space="preserve"> </w:t>
      </w:r>
      <w:hyperlink r:id="rId257">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258"/>
    <w:bookmarkStart w:id="260" w:name="Xf9879b10b82788e9236df05ca18718254f72b7a"/>
    <w:p>
      <w:pPr>
        <w:pStyle w:val="Bibliography"/>
      </w:pPr>
      <w:r>
        <w:t xml:space="preserve">Watters GM, Hinke JT, Reiss CS (2020)</w:t>
      </w:r>
      <w:r>
        <w:t xml:space="preserve"> </w:t>
      </w:r>
      <w:hyperlink r:id="rId259">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260"/>
    <w:bookmarkStart w:id="262" w:name="Xedaeb889f386179efa19bcf5604dabf6940b893"/>
    <w:p>
      <w:pPr>
        <w:pStyle w:val="Bibliography"/>
      </w:pPr>
      <w:r>
        <w:t xml:space="preserve">Whitehouse MJ, Veit RR (1994)</w:t>
      </w:r>
      <w:r>
        <w:t xml:space="preserve"> </w:t>
      </w:r>
      <w:hyperlink r:id="rId261">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262"/>
    <w:bookmarkStart w:id="263"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
          <w:iCs/>
        </w:rPr>
        <w:t xml:space="preserve">A technique for making ship-based observations of</w:t>
      </w:r>
      <w:r>
        <w:rPr>
          <w:i/>
          <w:iCs/>
        </w:rPr>
        <w:t xml:space="preserve"> </w:t>
      </w:r>
      <w:r>
        <w:rPr>
          <w:i/>
          <w:iCs/>
        </w:rPr>
        <w:t xml:space="preserve">Antarctic</w:t>
      </w:r>
      <w:r>
        <w:rPr>
          <w:i/>
          <w:iCs/>
        </w:rPr>
        <w:t xml:space="preserve"> </w:t>
      </w:r>
      <w:r>
        <w:rPr>
          <w:i/>
          <w:iCs/>
        </w:rPr>
        <w:t xml:space="preserve">sea ice thickness and characteristics</w:t>
      </w:r>
      <w:r>
        <w:t xml:space="preserve">. Research report (</w:t>
      </w:r>
      <w:r>
        <w:t xml:space="preserve">Antarctic CRC</w:t>
      </w:r>
      <w:r>
        <w:t xml:space="preserve">), Antarctic CRC, Hobart, Tas.</w:t>
      </w:r>
    </w:p>
    <w:bookmarkEnd w:id="263"/>
    <w:bookmarkEnd w:id="264"/>
    <w:p>
      <w:r>
        <w:br w:type="page"/>
      </w:r>
    </w:p>
    <w:bookmarkEnd w:id="265"/>
    <w:sectPr w:rsidR="009F60EE"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819923358" w:numId="1">
    <w:abstractNumId w:val="2"/>
  </w:num>
  <w:num w16cid:durableId="1409887936" w:numId="2">
    <w:abstractNumId w:val="1"/>
  </w:num>
  <w:num w16cid:durableId="251284184"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0D0643"/>
    <w:rsid w:val="000E37BE"/>
    <w:rsid w:val="0025017B"/>
    <w:rsid w:val="003264DE"/>
    <w:rsid w:val="004212AE"/>
    <w:rsid w:val="004C579B"/>
    <w:rsid w:val="004E203A"/>
    <w:rsid w:val="004E29B3"/>
    <w:rsid w:val="00590D07"/>
    <w:rsid w:val="005A091B"/>
    <w:rsid w:val="00606278"/>
    <w:rsid w:val="00705E12"/>
    <w:rsid w:val="00784D58"/>
    <w:rsid w:val="00842134"/>
    <w:rsid w:val="00884F3F"/>
    <w:rsid w:val="008D6863"/>
    <w:rsid w:val="00970303"/>
    <w:rsid w:val="009F60EE"/>
    <w:rsid w:val="00B86B75"/>
    <w:rsid w:val="00BC48D5"/>
    <w:rsid w:val="00C36279"/>
    <w:rsid w:val="00DA425F"/>
    <w:rsid w:val="00E315A3"/>
    <w:rsid w:val="00F95C9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5017B"/>
    <w:rPr>
      <w:rFonts w:ascii="Times New Roman" w:hAnsi="Times New Roman"/>
    </w:rPr>
  </w:style>
  <w:style w:styleId="Heading1" w:type="paragraph">
    <w:name w:val="heading 1"/>
    <w:basedOn w:val="Normal"/>
    <w:next w:val="BodyText"/>
    <w:uiPriority w:val="9"/>
    <w:qFormat/>
    <w:rsid w:val="00F95C95"/>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F95C95"/>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F95C95"/>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rsid w:val="00F95C95"/>
    <w:pPr>
      <w:keepNext/>
      <w:keepLines/>
      <w:spacing w:after="0" w:before="200"/>
      <w:outlineLvl w:val="3"/>
    </w:pPr>
    <w:rPr>
      <w:rFonts w:cstheme="majorBidi" w:eastAsiaTheme="majorEastAsia"/>
      <w:b/>
      <w:bCs/>
      <w:i/>
      <w:iCs/>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5017B"/>
    <w:pPr>
      <w:spacing w:after="180" w:before="180"/>
    </w:pPr>
  </w:style>
  <w:style w:customStyle="1" w:styleId="FirstParagraph" w:type="paragraph">
    <w:name w:val="First Paragraph"/>
    <w:basedOn w:val="BodyText"/>
    <w:next w:val="BodyText"/>
    <w:qFormat/>
    <w:rsid w:val="0025017B"/>
  </w:style>
  <w:style w:customStyle="1" w:styleId="Compact" w:type="paragraph">
    <w:name w:val="Compact"/>
    <w:basedOn w:val="BodyText"/>
    <w:qFormat/>
    <w:rsid w:val="009F60EE"/>
    <w:pPr>
      <w:spacing w:after="36" w:before="36"/>
    </w:pPr>
    <w:rPr>
      <w:color w:themeColor="text1" w:val="000000"/>
      <w:sz w:val="20"/>
    </w:rPr>
  </w:style>
  <w:style w:styleId="Title" w:type="paragraph">
    <w:name w:val="Title"/>
    <w:basedOn w:val="Normal"/>
    <w:next w:val="BodyText"/>
    <w:qFormat/>
    <w:rsid w:val="003264DE"/>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264DE"/>
    <w:pPr>
      <w:keepNext/>
      <w:keepLines/>
      <w:jc w:val="center"/>
    </w:pPr>
    <w:rPr>
      <w:rFonts w:ascii="Times New Roman" w:hAnsi="Times New Roman"/>
      <w:color w:themeColor="text1" w:val="000000"/>
    </w:rPr>
  </w:style>
  <w:style w:styleId="Date" w:type="paragraph">
    <w:name w:val="Date"/>
    <w:next w:val="BodyText"/>
    <w:qFormat/>
    <w:rsid w:val="003264DE"/>
    <w:pPr>
      <w:keepNext/>
      <w:keepLines/>
      <w:jc w:val="center"/>
    </w:pPr>
    <w:rPr>
      <w:rFonts w:ascii="Times New Roman" w:hAnsi="Times New Roman"/>
      <w:color w:themeColor="text1" w:val="000000"/>
    </w:rPr>
  </w:style>
  <w:style w:customStyle="1" w:styleId="Abstract" w:type="paragraph">
    <w:name w:val="Abstract"/>
    <w:basedOn w:val="Normal"/>
    <w:next w:val="BodyText"/>
    <w:qFormat/>
    <w:rsid w:val="0025017B"/>
    <w:pPr>
      <w:keepNext/>
      <w:keepLines/>
      <w:spacing w:after="300" w:before="300"/>
    </w:pPr>
    <w:rPr>
      <w:sz w:val="20"/>
      <w:szCs w:val="20"/>
    </w:rPr>
  </w:style>
  <w:style w:styleId="Bibliography" w:type="paragraph">
    <w:name w:val="Bibliography"/>
    <w:basedOn w:val="Normal"/>
    <w:qFormat/>
    <w:rsid w:val="0025017B"/>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styleId="FollowedHyperlink" w:type="character">
    <w:name w:val="FollowedHyperlink"/>
    <w:basedOn w:val="DefaultParagraphFont"/>
    <w:semiHidden/>
    <w:unhideWhenUsed/>
    <w:rsid w:val="003264DE"/>
    <w:rPr>
      <w:color w:themeColor="followedHyperlink" w:val="800080"/>
      <w:u w:val="single"/>
    </w:rPr>
  </w:style>
  <w:style w:customStyle="1" w:styleId="Table" w:type="table">
    <w:name w:val="Table"/>
    <w:semiHidden/>
    <w:unhideWhenUsed/>
    <w:qFormat/>
    <w:rsid w:val="009F60EE"/>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hyperlink" Id="rId82" Target="https://doi.org/10.1002/9781118778371.ch22" TargetMode="External" /><Relationship Type="http://schemas.openxmlformats.org/officeDocument/2006/relationships/hyperlink" Id="rId78" Target="https://doi.org/10.1002/9781118778371.ch24" TargetMode="External" /><Relationship Type="http://schemas.openxmlformats.org/officeDocument/2006/relationships/hyperlink" Id="rId104" Target="https://doi.org/10.1002/aqc.480" TargetMode="External" /><Relationship Type="http://schemas.openxmlformats.org/officeDocument/2006/relationships/hyperlink" Id="rId149" Target="https://doi.org/10.1002/ece3.5149" TargetMode="External" /><Relationship Type="http://schemas.openxmlformats.org/officeDocument/2006/relationships/hyperlink" Id="rId80" Target="https://doi.org/10.1007/BF00238360" TargetMode="External" /><Relationship Type="http://schemas.openxmlformats.org/officeDocument/2006/relationships/hyperlink" Id="rId261" Target="https://doi.org/10.1007/BF00238448" TargetMode="External" /><Relationship Type="http://schemas.openxmlformats.org/officeDocument/2006/relationships/hyperlink" Id="rId157" Target="https://doi.org/10.1007/BF00442033" TargetMode="External" /><Relationship Type="http://schemas.openxmlformats.org/officeDocument/2006/relationships/hyperlink" Id="rId230" Target="https://doi.org/10.1007/s00300-003-0534-8" TargetMode="External" /><Relationship Type="http://schemas.openxmlformats.org/officeDocument/2006/relationships/hyperlink" Id="rId108" Target="https://doi.org/10.1007/s00300-004-0693-2" TargetMode="External" /><Relationship Type="http://schemas.openxmlformats.org/officeDocument/2006/relationships/hyperlink" Id="rId86" Target="https://doi.org/10.1007/s00300-007-0306-y" TargetMode="External" /><Relationship Type="http://schemas.openxmlformats.org/officeDocument/2006/relationships/hyperlink" Id="rId90" Target="https://doi.org/10.1007/s00300-008-0567-0" TargetMode="External" /><Relationship Type="http://schemas.openxmlformats.org/officeDocument/2006/relationships/hyperlink" Id="rId153" Target="https://doi.org/10.1007/s00300-011-1018-x" TargetMode="External" /><Relationship Type="http://schemas.openxmlformats.org/officeDocument/2006/relationships/hyperlink" Id="rId224" Target="https://doi.org/10.1007/s00300-014-1502-1" TargetMode="External" /><Relationship Type="http://schemas.openxmlformats.org/officeDocument/2006/relationships/hyperlink" Id="rId110" Target="https://doi.org/10.1007/s00300-014-1629-0" TargetMode="External" /><Relationship Type="http://schemas.openxmlformats.org/officeDocument/2006/relationships/hyperlink" Id="rId167" Target="https://doi.org/10.1007/s00300-017-2191-3" TargetMode="External" /><Relationship Type="http://schemas.openxmlformats.org/officeDocument/2006/relationships/hyperlink" Id="rId196" Target="https://doi.org/10.1007/s00300-020-02720-4" TargetMode="External" /><Relationship Type="http://schemas.openxmlformats.org/officeDocument/2006/relationships/hyperlink" Id="rId255" Target="https://doi.org/10.1007/s00300-023-03129-5" TargetMode="External" /><Relationship Type="http://schemas.openxmlformats.org/officeDocument/2006/relationships/hyperlink" Id="rId116" Target="https://doi.org/10.1007/s00300-023-03159-z" TargetMode="External" /><Relationship Type="http://schemas.openxmlformats.org/officeDocument/2006/relationships/hyperlink" Id="rId192" Target="https://doi.org/10.1016/0198-0149(91)90093-u" TargetMode="External" /><Relationship Type="http://schemas.openxmlformats.org/officeDocument/2006/relationships/hyperlink" Id="rId161" Target="https://doi.org/10.1016/0278-4343(90)90021-D" TargetMode="External" /><Relationship Type="http://schemas.openxmlformats.org/officeDocument/2006/relationships/hyperlink" Id="rId137" Target="https://doi.org/10.1016/j.dsr.2013.11.001" TargetMode="External" /><Relationship Type="http://schemas.openxmlformats.org/officeDocument/2006/relationships/hyperlink" Id="rId88" Target="https://doi.org/10.1016/j.dsr2.2004.07.021" TargetMode="External" /><Relationship Type="http://schemas.openxmlformats.org/officeDocument/2006/relationships/hyperlink" Id="rId236" Target="https://doi.org/10.1016/j.dsr2.2008.04.026" TargetMode="External" /><Relationship Type="http://schemas.openxmlformats.org/officeDocument/2006/relationships/hyperlink" Id="rId214" Target="https://doi.org/10.1016/j.dsr2.2009.09.017" TargetMode="External" /><Relationship Type="http://schemas.openxmlformats.org/officeDocument/2006/relationships/hyperlink" Id="rId206" Target="https://doi.org/10.1016/j.jembe.2010.08.015" TargetMode="External" /><Relationship Type="http://schemas.openxmlformats.org/officeDocument/2006/relationships/hyperlink" Id="rId246" Target="https://doi.org/10.1016/j.jmarsys.2021.103598" TargetMode="External" /><Relationship Type="http://schemas.openxmlformats.org/officeDocument/2006/relationships/hyperlink" Id="rId242" Target="https://doi.org/10.1016/j.marpol.2019.103692" TargetMode="External" /><Relationship Type="http://schemas.openxmlformats.org/officeDocument/2006/relationships/hyperlink" Id="rId188" Target="https://doi.org/10.1016/j.polar.2010.05.001" TargetMode="External" /><Relationship Type="http://schemas.openxmlformats.org/officeDocument/2006/relationships/hyperlink" Id="rId185" Target="https://doi.org/10.1017/S0025315403007616h" TargetMode="External" /><Relationship Type="http://schemas.openxmlformats.org/officeDocument/2006/relationships/hyperlink" Id="rId92" Target="https://doi.org/10.1017/S0954102006000010" TargetMode="External" /><Relationship Type="http://schemas.openxmlformats.org/officeDocument/2006/relationships/hyperlink" Id="rId253" Target="https://doi.org/10.1017/S0954102098000108" TargetMode="External" /><Relationship Type="http://schemas.openxmlformats.org/officeDocument/2006/relationships/hyperlink" Id="rId222" Target="https://doi.org/10.1038/ncomms5318" TargetMode="External" /><Relationship Type="http://schemas.openxmlformats.org/officeDocument/2006/relationships/hyperlink" Id="rId182" Target="https://doi.org/10.1038/s41467-021-25235-w" TargetMode="External" /><Relationship Type="http://schemas.openxmlformats.org/officeDocument/2006/relationships/hyperlink" Id="rId190" Target="https://doi.org/10.1038/s41559-017-0368-3" TargetMode="External" /><Relationship Type="http://schemas.openxmlformats.org/officeDocument/2006/relationships/hyperlink" Id="rId127" Target="https://doi.org/10.1038/s41561-021-00768-3" TargetMode="External" /><Relationship Type="http://schemas.openxmlformats.org/officeDocument/2006/relationships/hyperlink" Id="rId121" Target="https://doi.org/10.1038/s41597-022-01366-7" TargetMode="External" /><Relationship Type="http://schemas.openxmlformats.org/officeDocument/2006/relationships/hyperlink" Id="rId259" Target="https://doi.org/10.1038/s41598-020-59223-9" TargetMode="External" /><Relationship Type="http://schemas.openxmlformats.org/officeDocument/2006/relationships/hyperlink" Id="rId98" Target="https://doi.org/10.1038/s42003-022-03042-3" TargetMode="External" /><Relationship Type="http://schemas.openxmlformats.org/officeDocument/2006/relationships/hyperlink" Id="rId100" Target="https://doi.org/10.1038/s43247-021-00322-4" TargetMode="External" /><Relationship Type="http://schemas.openxmlformats.org/officeDocument/2006/relationships/hyperlink" Id="rId210" Target="https://doi.org/10.1038/s43247-023-00961-9" TargetMode="External" /><Relationship Type="http://schemas.openxmlformats.org/officeDocument/2006/relationships/hyperlink" Id="rId94" Target="https://doi.org/10.1038/srep18820" TargetMode="External" /><Relationship Type="http://schemas.openxmlformats.org/officeDocument/2006/relationships/hyperlink" Id="rId106" Target="https://doi.org/10.1073/pnas.1406326111" TargetMode="External" /><Relationship Type="http://schemas.openxmlformats.org/officeDocument/2006/relationships/hyperlink" Id="rId202" Target="https://doi.org/10.1073/pnas.1906556116" TargetMode="External" /><Relationship Type="http://schemas.openxmlformats.org/officeDocument/2006/relationships/hyperlink" Id="rId147" Target="https://doi.org/10.1093/auk/108.4.801" TargetMode="External" /><Relationship Type="http://schemas.openxmlformats.org/officeDocument/2006/relationships/hyperlink" Id="rId155" Target="https://doi.org/10.1093/auk/98.3.437" TargetMode="External" /><Relationship Type="http://schemas.openxmlformats.org/officeDocument/2006/relationships/hyperlink" Id="rId123" Target="https://doi.org/10.1093/biosci/biac050" TargetMode="External" /><Relationship Type="http://schemas.openxmlformats.org/officeDocument/2006/relationships/hyperlink" Id="rId257" Target="https://doi.org/10.1093/icesjms/fsab020" TargetMode="External" /><Relationship Type="http://schemas.openxmlformats.org/officeDocument/2006/relationships/hyperlink" Id="rId112" Target="https://doi.org/10.1098/rsos.191429" TargetMode="External" /><Relationship Type="http://schemas.openxmlformats.org/officeDocument/2006/relationships/hyperlink" Id="rId135" Target="https://doi.org/10.1098/rsos.192112" TargetMode="External" /><Relationship Type="http://schemas.openxmlformats.org/officeDocument/2006/relationships/hyperlink" Id="rId194" Target="https://doi.org/10.1098/rsta.2017.0164" TargetMode="External" /><Relationship Type="http://schemas.openxmlformats.org/officeDocument/2006/relationships/hyperlink" Id="rId96" Target="https://doi.org/10.1098/rstb.2006.1958" TargetMode="External" /><Relationship Type="http://schemas.openxmlformats.org/officeDocument/2006/relationships/hyperlink" Id="rId244" Target="https://doi.org/10.1111/1467-9868.00293" TargetMode="External" /><Relationship Type="http://schemas.openxmlformats.org/officeDocument/2006/relationships/hyperlink" Id="rId139" Target="https://doi.org/10.1111/gcb.16947" TargetMode="External" /><Relationship Type="http://schemas.openxmlformats.org/officeDocument/2006/relationships/hyperlink" Id="rId114" Target="https://doi.org/10.1111/ibi.12365" TargetMode="External" /><Relationship Type="http://schemas.openxmlformats.org/officeDocument/2006/relationships/hyperlink" Id="rId102" Target="https://doi.org/10.1111/j.1095-8312.1980.tb00101.x" TargetMode="External" /><Relationship Type="http://schemas.openxmlformats.org/officeDocument/2006/relationships/hyperlink" Id="rId131" Target="https://doi.org/10.1111/j.1365-2907.1982.tb00015.x" TargetMode="External" /><Relationship Type="http://schemas.openxmlformats.org/officeDocument/2006/relationships/hyperlink" Id="rId208" Target="https://doi.org/10.1111/j.1469-7998.1980.tb01423.x" TargetMode="External" /><Relationship Type="http://schemas.openxmlformats.org/officeDocument/2006/relationships/hyperlink" Id="rId163" Target="https://doi.org/10.1111/j.1469-7998.1983.tb02813.x" TargetMode="External" /><Relationship Type="http://schemas.openxmlformats.org/officeDocument/2006/relationships/hyperlink" Id="rId71" Target="https://doi.org/10.1111/j.1748-7692.2007.00109.x" TargetMode="External" /><Relationship Type="http://schemas.openxmlformats.org/officeDocument/2006/relationships/hyperlink" Id="rId119" Target="https://doi.org/10.1111/mms.12302" TargetMode="External" /><Relationship Type="http://schemas.openxmlformats.org/officeDocument/2006/relationships/hyperlink" Id="rId198" Target="https://doi.org/10.1126/science.1164533" TargetMode="External" /><Relationship Type="http://schemas.openxmlformats.org/officeDocument/2006/relationships/hyperlink" Id="rId73" Target="https://doi.org/10.1126/science.232.4752.847" TargetMode="External" /><Relationship Type="http://schemas.openxmlformats.org/officeDocument/2006/relationships/hyperlink" Id="rId240" Target="https://doi.org/10.1139/z94-229" TargetMode="External" /><Relationship Type="http://schemas.openxmlformats.org/officeDocument/2006/relationships/hyperlink" Id="rId165" Target="https://doi.org/10.1175/JCLI-D-18-0565.1" TargetMode="External" /><Relationship Type="http://schemas.openxmlformats.org/officeDocument/2006/relationships/hyperlink" Id="rId174" Target="https://doi.org/10.1186/s40317-015-0059-2" TargetMode="External" /><Relationship Type="http://schemas.openxmlformats.org/officeDocument/2006/relationships/hyperlink" Id="rId178" Target="https://doi.org/10.1186/s40317-017-0138-7" TargetMode="External" /><Relationship Type="http://schemas.openxmlformats.org/officeDocument/2006/relationships/hyperlink" Id="rId143" Target="https://doi.org/10.1242/jeb.106682" TargetMode="External" /><Relationship Type="http://schemas.openxmlformats.org/officeDocument/2006/relationships/hyperlink" Id="rId180" Target="https://doi.org/10.1371/journal.pbio.1000014" TargetMode="External" /><Relationship Type="http://schemas.openxmlformats.org/officeDocument/2006/relationships/hyperlink" Id="rId151" Target="https://doi.org/10.1371/journal.pone.0170132" TargetMode="External" /><Relationship Type="http://schemas.openxmlformats.org/officeDocument/2006/relationships/hyperlink" Id="rId129" Target="https://doi.org/10.1578/AM.47.2.2021.175" TargetMode="External" /><Relationship Type="http://schemas.openxmlformats.org/officeDocument/2006/relationships/hyperlink" Id="rId234" Target="https://doi.org/10.1641/0006-3568(2001)051[0235:MFATSO]2.0.CO;2" TargetMode="External" /><Relationship Type="http://schemas.openxmlformats.org/officeDocument/2006/relationships/hyperlink" Id="rId170" Target="https://doi.org/10.1890/0012-9615(1997)067[0155:TFEOFE]2.0.CO;2" TargetMode="External" /><Relationship Type="http://schemas.openxmlformats.org/officeDocument/2006/relationships/hyperlink" Id="rId141" Target="https://doi.org/10.2307/1310216" TargetMode="External" /><Relationship Type="http://schemas.openxmlformats.org/officeDocument/2006/relationships/hyperlink" Id="rId76" Target="https://doi.org/10.2307/1369419" TargetMode="External" /><Relationship Type="http://schemas.openxmlformats.org/officeDocument/2006/relationships/hyperlink" Id="rId232" Target="https://doi.org/10.2307/4089519" TargetMode="External" /><Relationship Type="http://schemas.openxmlformats.org/officeDocument/2006/relationships/hyperlink" Id="rId251" Target="https://doi.org/10.2307/5204" TargetMode="External" /><Relationship Type="http://schemas.openxmlformats.org/officeDocument/2006/relationships/hyperlink" Id="rId238" Target="https://doi.org/10.3354/meps09201" TargetMode="External" /><Relationship Type="http://schemas.openxmlformats.org/officeDocument/2006/relationships/hyperlink" Id="rId159" Target="https://doi.org/10.3354/meps09601" TargetMode="External" /><Relationship Type="http://schemas.openxmlformats.org/officeDocument/2006/relationships/hyperlink" Id="rId226" Target="https://doi.org/10.3354/meps10350" TargetMode="External" /><Relationship Type="http://schemas.openxmlformats.org/officeDocument/2006/relationships/hyperlink" Id="rId145" Target="https://doi.org/10.3354/meps10660" TargetMode="External" /><Relationship Type="http://schemas.openxmlformats.org/officeDocument/2006/relationships/hyperlink" Id="rId212" Target="https://doi.org/10.3354/meps12099" TargetMode="External" /><Relationship Type="http://schemas.openxmlformats.org/officeDocument/2006/relationships/hyperlink" Id="rId220" Target="https://doi.org/10.3354/meps207171" TargetMode="External" /><Relationship Type="http://schemas.openxmlformats.org/officeDocument/2006/relationships/hyperlink" Id="rId176" Target="https://doi.org/10.3354/meps254293" TargetMode="External" /><Relationship Type="http://schemas.openxmlformats.org/officeDocument/2006/relationships/hyperlink" Id="rId249" Target="https://doi.org/10.3389/fevo.2017.00121" TargetMode="External" /><Relationship Type="http://schemas.openxmlformats.org/officeDocument/2006/relationships/hyperlink" Id="rId84" Target="https://doi.org/10.3389/fevo.2020.566936" TargetMode="External" /><Relationship Type="http://schemas.openxmlformats.org/officeDocument/2006/relationships/hyperlink" Id="rId217" Target="https://doi.org/10.3389/fmars.2019.00247" TargetMode="External" /><Relationship Type="http://schemas.openxmlformats.org/officeDocument/2006/relationships/hyperlink" Id="rId172" Target="https://doi.org/10.3389/fmars.2021.796488" TargetMode="External" /><Relationship Type="http://schemas.openxmlformats.org/officeDocument/2006/relationships/hyperlink" Id="rId204" Target="https://doi.org/10.47536/jcrm.v5i2.813" TargetMode="External" /><Relationship Type="http://schemas.openxmlformats.org/officeDocument/2006/relationships/hyperlink" Id="rId133" Target="https://www.jstor.org/stable/4514110"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82" Target="https://doi.org/10.1002/9781118778371.ch22" TargetMode="External" /><Relationship Type="http://schemas.openxmlformats.org/officeDocument/2006/relationships/hyperlink" Id="rId78" Target="https://doi.org/10.1002/9781118778371.ch24" TargetMode="External" /><Relationship Type="http://schemas.openxmlformats.org/officeDocument/2006/relationships/hyperlink" Id="rId104" Target="https://doi.org/10.1002/aqc.480" TargetMode="External" /><Relationship Type="http://schemas.openxmlformats.org/officeDocument/2006/relationships/hyperlink" Id="rId149" Target="https://doi.org/10.1002/ece3.5149" TargetMode="External" /><Relationship Type="http://schemas.openxmlformats.org/officeDocument/2006/relationships/hyperlink" Id="rId80" Target="https://doi.org/10.1007/BF00238360" TargetMode="External" /><Relationship Type="http://schemas.openxmlformats.org/officeDocument/2006/relationships/hyperlink" Id="rId261" Target="https://doi.org/10.1007/BF00238448" TargetMode="External" /><Relationship Type="http://schemas.openxmlformats.org/officeDocument/2006/relationships/hyperlink" Id="rId157" Target="https://doi.org/10.1007/BF00442033" TargetMode="External" /><Relationship Type="http://schemas.openxmlformats.org/officeDocument/2006/relationships/hyperlink" Id="rId230" Target="https://doi.org/10.1007/s00300-003-0534-8" TargetMode="External" /><Relationship Type="http://schemas.openxmlformats.org/officeDocument/2006/relationships/hyperlink" Id="rId108" Target="https://doi.org/10.1007/s00300-004-0693-2" TargetMode="External" /><Relationship Type="http://schemas.openxmlformats.org/officeDocument/2006/relationships/hyperlink" Id="rId86" Target="https://doi.org/10.1007/s00300-007-0306-y" TargetMode="External" /><Relationship Type="http://schemas.openxmlformats.org/officeDocument/2006/relationships/hyperlink" Id="rId90" Target="https://doi.org/10.1007/s00300-008-0567-0" TargetMode="External" /><Relationship Type="http://schemas.openxmlformats.org/officeDocument/2006/relationships/hyperlink" Id="rId153" Target="https://doi.org/10.1007/s00300-011-1018-x" TargetMode="External" /><Relationship Type="http://schemas.openxmlformats.org/officeDocument/2006/relationships/hyperlink" Id="rId224" Target="https://doi.org/10.1007/s00300-014-1502-1" TargetMode="External" /><Relationship Type="http://schemas.openxmlformats.org/officeDocument/2006/relationships/hyperlink" Id="rId110" Target="https://doi.org/10.1007/s00300-014-1629-0" TargetMode="External" /><Relationship Type="http://schemas.openxmlformats.org/officeDocument/2006/relationships/hyperlink" Id="rId167" Target="https://doi.org/10.1007/s00300-017-2191-3" TargetMode="External" /><Relationship Type="http://schemas.openxmlformats.org/officeDocument/2006/relationships/hyperlink" Id="rId196" Target="https://doi.org/10.1007/s00300-020-02720-4" TargetMode="External" /><Relationship Type="http://schemas.openxmlformats.org/officeDocument/2006/relationships/hyperlink" Id="rId255" Target="https://doi.org/10.1007/s00300-023-03129-5" TargetMode="External" /><Relationship Type="http://schemas.openxmlformats.org/officeDocument/2006/relationships/hyperlink" Id="rId116" Target="https://doi.org/10.1007/s00300-023-03159-z" TargetMode="External" /><Relationship Type="http://schemas.openxmlformats.org/officeDocument/2006/relationships/hyperlink" Id="rId192" Target="https://doi.org/10.1016/0198-0149(91)90093-u" TargetMode="External" /><Relationship Type="http://schemas.openxmlformats.org/officeDocument/2006/relationships/hyperlink" Id="rId161" Target="https://doi.org/10.1016/0278-4343(90)90021-D" TargetMode="External" /><Relationship Type="http://schemas.openxmlformats.org/officeDocument/2006/relationships/hyperlink" Id="rId137" Target="https://doi.org/10.1016/j.dsr.2013.11.001" TargetMode="External" /><Relationship Type="http://schemas.openxmlformats.org/officeDocument/2006/relationships/hyperlink" Id="rId88" Target="https://doi.org/10.1016/j.dsr2.2004.07.021" TargetMode="External" /><Relationship Type="http://schemas.openxmlformats.org/officeDocument/2006/relationships/hyperlink" Id="rId236" Target="https://doi.org/10.1016/j.dsr2.2008.04.026" TargetMode="External" /><Relationship Type="http://schemas.openxmlformats.org/officeDocument/2006/relationships/hyperlink" Id="rId214" Target="https://doi.org/10.1016/j.dsr2.2009.09.017" TargetMode="External" /><Relationship Type="http://schemas.openxmlformats.org/officeDocument/2006/relationships/hyperlink" Id="rId206" Target="https://doi.org/10.1016/j.jembe.2010.08.015" TargetMode="External" /><Relationship Type="http://schemas.openxmlformats.org/officeDocument/2006/relationships/hyperlink" Id="rId246" Target="https://doi.org/10.1016/j.jmarsys.2021.103598" TargetMode="External" /><Relationship Type="http://schemas.openxmlformats.org/officeDocument/2006/relationships/hyperlink" Id="rId242" Target="https://doi.org/10.1016/j.marpol.2019.103692" TargetMode="External" /><Relationship Type="http://schemas.openxmlformats.org/officeDocument/2006/relationships/hyperlink" Id="rId188" Target="https://doi.org/10.1016/j.polar.2010.05.001" TargetMode="External" /><Relationship Type="http://schemas.openxmlformats.org/officeDocument/2006/relationships/hyperlink" Id="rId185" Target="https://doi.org/10.1017/S0025315403007616h" TargetMode="External" /><Relationship Type="http://schemas.openxmlformats.org/officeDocument/2006/relationships/hyperlink" Id="rId92" Target="https://doi.org/10.1017/S0954102006000010" TargetMode="External" /><Relationship Type="http://schemas.openxmlformats.org/officeDocument/2006/relationships/hyperlink" Id="rId253" Target="https://doi.org/10.1017/S0954102098000108" TargetMode="External" /><Relationship Type="http://schemas.openxmlformats.org/officeDocument/2006/relationships/hyperlink" Id="rId222" Target="https://doi.org/10.1038/ncomms5318" TargetMode="External" /><Relationship Type="http://schemas.openxmlformats.org/officeDocument/2006/relationships/hyperlink" Id="rId182" Target="https://doi.org/10.1038/s41467-021-25235-w" TargetMode="External" /><Relationship Type="http://schemas.openxmlformats.org/officeDocument/2006/relationships/hyperlink" Id="rId190" Target="https://doi.org/10.1038/s41559-017-0368-3" TargetMode="External" /><Relationship Type="http://schemas.openxmlformats.org/officeDocument/2006/relationships/hyperlink" Id="rId127" Target="https://doi.org/10.1038/s41561-021-00768-3" TargetMode="External" /><Relationship Type="http://schemas.openxmlformats.org/officeDocument/2006/relationships/hyperlink" Id="rId121" Target="https://doi.org/10.1038/s41597-022-01366-7" TargetMode="External" /><Relationship Type="http://schemas.openxmlformats.org/officeDocument/2006/relationships/hyperlink" Id="rId259" Target="https://doi.org/10.1038/s41598-020-59223-9" TargetMode="External" /><Relationship Type="http://schemas.openxmlformats.org/officeDocument/2006/relationships/hyperlink" Id="rId98" Target="https://doi.org/10.1038/s42003-022-03042-3" TargetMode="External" /><Relationship Type="http://schemas.openxmlformats.org/officeDocument/2006/relationships/hyperlink" Id="rId100" Target="https://doi.org/10.1038/s43247-021-00322-4" TargetMode="External" /><Relationship Type="http://schemas.openxmlformats.org/officeDocument/2006/relationships/hyperlink" Id="rId210" Target="https://doi.org/10.1038/s43247-023-00961-9" TargetMode="External" /><Relationship Type="http://schemas.openxmlformats.org/officeDocument/2006/relationships/hyperlink" Id="rId94" Target="https://doi.org/10.1038/srep18820" TargetMode="External" /><Relationship Type="http://schemas.openxmlformats.org/officeDocument/2006/relationships/hyperlink" Id="rId106" Target="https://doi.org/10.1073/pnas.1406326111" TargetMode="External" /><Relationship Type="http://schemas.openxmlformats.org/officeDocument/2006/relationships/hyperlink" Id="rId202" Target="https://doi.org/10.1073/pnas.1906556116" TargetMode="External" /><Relationship Type="http://schemas.openxmlformats.org/officeDocument/2006/relationships/hyperlink" Id="rId147" Target="https://doi.org/10.1093/auk/108.4.801" TargetMode="External" /><Relationship Type="http://schemas.openxmlformats.org/officeDocument/2006/relationships/hyperlink" Id="rId155" Target="https://doi.org/10.1093/auk/98.3.437" TargetMode="External" /><Relationship Type="http://schemas.openxmlformats.org/officeDocument/2006/relationships/hyperlink" Id="rId123" Target="https://doi.org/10.1093/biosci/biac050" TargetMode="External" /><Relationship Type="http://schemas.openxmlformats.org/officeDocument/2006/relationships/hyperlink" Id="rId257" Target="https://doi.org/10.1093/icesjms/fsab020" TargetMode="External" /><Relationship Type="http://schemas.openxmlformats.org/officeDocument/2006/relationships/hyperlink" Id="rId112" Target="https://doi.org/10.1098/rsos.191429" TargetMode="External" /><Relationship Type="http://schemas.openxmlformats.org/officeDocument/2006/relationships/hyperlink" Id="rId135" Target="https://doi.org/10.1098/rsos.192112" TargetMode="External" /><Relationship Type="http://schemas.openxmlformats.org/officeDocument/2006/relationships/hyperlink" Id="rId194" Target="https://doi.org/10.1098/rsta.2017.0164" TargetMode="External" /><Relationship Type="http://schemas.openxmlformats.org/officeDocument/2006/relationships/hyperlink" Id="rId96" Target="https://doi.org/10.1098/rstb.2006.1958" TargetMode="External" /><Relationship Type="http://schemas.openxmlformats.org/officeDocument/2006/relationships/hyperlink" Id="rId244" Target="https://doi.org/10.1111/1467-9868.00293" TargetMode="External" /><Relationship Type="http://schemas.openxmlformats.org/officeDocument/2006/relationships/hyperlink" Id="rId139" Target="https://doi.org/10.1111/gcb.16947" TargetMode="External" /><Relationship Type="http://schemas.openxmlformats.org/officeDocument/2006/relationships/hyperlink" Id="rId114" Target="https://doi.org/10.1111/ibi.12365" TargetMode="External" /><Relationship Type="http://schemas.openxmlformats.org/officeDocument/2006/relationships/hyperlink" Id="rId102" Target="https://doi.org/10.1111/j.1095-8312.1980.tb00101.x" TargetMode="External" /><Relationship Type="http://schemas.openxmlformats.org/officeDocument/2006/relationships/hyperlink" Id="rId131" Target="https://doi.org/10.1111/j.1365-2907.1982.tb00015.x" TargetMode="External" /><Relationship Type="http://schemas.openxmlformats.org/officeDocument/2006/relationships/hyperlink" Id="rId208" Target="https://doi.org/10.1111/j.1469-7998.1980.tb01423.x" TargetMode="External" /><Relationship Type="http://schemas.openxmlformats.org/officeDocument/2006/relationships/hyperlink" Id="rId163" Target="https://doi.org/10.1111/j.1469-7998.1983.tb02813.x" TargetMode="External" /><Relationship Type="http://schemas.openxmlformats.org/officeDocument/2006/relationships/hyperlink" Id="rId71" Target="https://doi.org/10.1111/j.1748-7692.2007.00109.x" TargetMode="External" /><Relationship Type="http://schemas.openxmlformats.org/officeDocument/2006/relationships/hyperlink" Id="rId119" Target="https://doi.org/10.1111/mms.12302" TargetMode="External" /><Relationship Type="http://schemas.openxmlformats.org/officeDocument/2006/relationships/hyperlink" Id="rId198" Target="https://doi.org/10.1126/science.1164533" TargetMode="External" /><Relationship Type="http://schemas.openxmlformats.org/officeDocument/2006/relationships/hyperlink" Id="rId73" Target="https://doi.org/10.1126/science.232.4752.847" TargetMode="External" /><Relationship Type="http://schemas.openxmlformats.org/officeDocument/2006/relationships/hyperlink" Id="rId240" Target="https://doi.org/10.1139/z94-229" TargetMode="External" /><Relationship Type="http://schemas.openxmlformats.org/officeDocument/2006/relationships/hyperlink" Id="rId165" Target="https://doi.org/10.1175/JCLI-D-18-0565.1" TargetMode="External" /><Relationship Type="http://schemas.openxmlformats.org/officeDocument/2006/relationships/hyperlink" Id="rId174" Target="https://doi.org/10.1186/s40317-015-0059-2" TargetMode="External" /><Relationship Type="http://schemas.openxmlformats.org/officeDocument/2006/relationships/hyperlink" Id="rId178" Target="https://doi.org/10.1186/s40317-017-0138-7" TargetMode="External" /><Relationship Type="http://schemas.openxmlformats.org/officeDocument/2006/relationships/hyperlink" Id="rId143" Target="https://doi.org/10.1242/jeb.106682" TargetMode="External" /><Relationship Type="http://schemas.openxmlformats.org/officeDocument/2006/relationships/hyperlink" Id="rId180" Target="https://doi.org/10.1371/journal.pbio.1000014" TargetMode="External" /><Relationship Type="http://schemas.openxmlformats.org/officeDocument/2006/relationships/hyperlink" Id="rId151" Target="https://doi.org/10.1371/journal.pone.0170132" TargetMode="External" /><Relationship Type="http://schemas.openxmlformats.org/officeDocument/2006/relationships/hyperlink" Id="rId129" Target="https://doi.org/10.1578/AM.47.2.2021.175" TargetMode="External" /><Relationship Type="http://schemas.openxmlformats.org/officeDocument/2006/relationships/hyperlink" Id="rId234" Target="https://doi.org/10.1641/0006-3568(2001)051[0235:MFATSO]2.0.CO;2" TargetMode="External" /><Relationship Type="http://schemas.openxmlformats.org/officeDocument/2006/relationships/hyperlink" Id="rId170" Target="https://doi.org/10.1890/0012-9615(1997)067[0155:TFEOFE]2.0.CO;2" TargetMode="External" /><Relationship Type="http://schemas.openxmlformats.org/officeDocument/2006/relationships/hyperlink" Id="rId141" Target="https://doi.org/10.2307/1310216" TargetMode="External" /><Relationship Type="http://schemas.openxmlformats.org/officeDocument/2006/relationships/hyperlink" Id="rId76" Target="https://doi.org/10.2307/1369419" TargetMode="External" /><Relationship Type="http://schemas.openxmlformats.org/officeDocument/2006/relationships/hyperlink" Id="rId232" Target="https://doi.org/10.2307/4089519" TargetMode="External" /><Relationship Type="http://schemas.openxmlformats.org/officeDocument/2006/relationships/hyperlink" Id="rId251" Target="https://doi.org/10.2307/5204" TargetMode="External" /><Relationship Type="http://schemas.openxmlformats.org/officeDocument/2006/relationships/hyperlink" Id="rId238" Target="https://doi.org/10.3354/meps09201" TargetMode="External" /><Relationship Type="http://schemas.openxmlformats.org/officeDocument/2006/relationships/hyperlink" Id="rId159" Target="https://doi.org/10.3354/meps09601" TargetMode="External" /><Relationship Type="http://schemas.openxmlformats.org/officeDocument/2006/relationships/hyperlink" Id="rId226" Target="https://doi.org/10.3354/meps10350" TargetMode="External" /><Relationship Type="http://schemas.openxmlformats.org/officeDocument/2006/relationships/hyperlink" Id="rId145" Target="https://doi.org/10.3354/meps10660" TargetMode="External" /><Relationship Type="http://schemas.openxmlformats.org/officeDocument/2006/relationships/hyperlink" Id="rId212" Target="https://doi.org/10.3354/meps12099" TargetMode="External" /><Relationship Type="http://schemas.openxmlformats.org/officeDocument/2006/relationships/hyperlink" Id="rId220" Target="https://doi.org/10.3354/meps207171" TargetMode="External" /><Relationship Type="http://schemas.openxmlformats.org/officeDocument/2006/relationships/hyperlink" Id="rId176" Target="https://doi.org/10.3354/meps254293" TargetMode="External" /><Relationship Type="http://schemas.openxmlformats.org/officeDocument/2006/relationships/hyperlink" Id="rId249" Target="https://doi.org/10.3389/fevo.2017.00121" TargetMode="External" /><Relationship Type="http://schemas.openxmlformats.org/officeDocument/2006/relationships/hyperlink" Id="rId84" Target="https://doi.org/10.3389/fevo.2020.566936" TargetMode="External" /><Relationship Type="http://schemas.openxmlformats.org/officeDocument/2006/relationships/hyperlink" Id="rId217" Target="https://doi.org/10.3389/fmars.2019.00247" TargetMode="External" /><Relationship Type="http://schemas.openxmlformats.org/officeDocument/2006/relationships/hyperlink" Id="rId172" Target="https://doi.org/10.3389/fmars.2021.796488" TargetMode="External" /><Relationship Type="http://schemas.openxmlformats.org/officeDocument/2006/relationships/hyperlink" Id="rId204" Target="https://doi.org/10.47536/jcrm.v5i2.813" TargetMode="External" /><Relationship Type="http://schemas.openxmlformats.org/officeDocument/2006/relationships/hyperlink" Id="rId133" Target="https://www.jstor.org/stable/4514110"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2024-06-13T15:58:13Z</dcterms:created>
  <dcterms:modified xsi:type="dcterms:W3CDTF">2024-06-13T15:58:13Z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rossref">
    <vt:lpwstr/>
  </property>
  <property fmtid="{D5CDD505-2E9C-101B-9397-08002B2CF9AE}" pid="8" name="csl">
    <vt:lpwstr>../templates/marine-ecology-progress-series.csl</vt:lpwstr>
  </property>
  <property fmtid="{D5CDD505-2E9C-101B-9397-08002B2CF9AE}" pid="9" name="date">
    <vt:lpwstr>June 13, 2024</vt:lpwstr>
  </property>
  <property fmtid="{D5CDD505-2E9C-101B-9397-08002B2CF9AE}" pid="10" name="date-format">
    <vt:lpwstr>long</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knitr">
    <vt:lpwstr/>
  </property>
  <property fmtid="{D5CDD505-2E9C-101B-9397-08002B2CF9AE}" pid="17" name="labels">
    <vt:lpwstr/>
  </property>
  <property fmtid="{D5CDD505-2E9C-101B-9397-08002B2CF9AE}" pid="18" name="title-block-published">
    <vt:lpwstr>Last updated</vt:lpwstr>
  </property>
  <property fmtid="{D5CDD505-2E9C-101B-9397-08002B2CF9AE}" pid="19" name="toc-title">
    <vt:lpwstr>Table of contents</vt:lpwstr>
  </property>
</Properties>
</file>