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54.png" ContentType="image/png"/>
  <Override PartName="/word/media/rId58.png" ContentType="image/png"/>
  <Override PartName="/word/media/rId50.png" ContentType="image/png"/>
  <Override PartName="/word/media/rId4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13,</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
          <w:iCs/>
        </w:rPr>
        <w:t xml:space="preserve">Euphausia</w:t>
      </w:r>
      <w:r>
        <w:rPr>
          <w:i/>
          <w:iCs/>
        </w:rPr>
        <w:t xml:space="preserve"> </w:t>
      </w:r>
      <w:r>
        <w:rPr>
          <w:i/>
          <w:iCs/>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
          <w:iCs/>
        </w:rPr>
        <w:t xml:space="preserve">Pygoscelis</w:t>
      </w:r>
      <w:r>
        <w:rPr>
          <w:i/>
          <w:iCs/>
        </w:rPr>
        <w:t xml:space="preserve"> </w:t>
      </w:r>
      <w:r>
        <w:rPr>
          <w:i/>
          <w:iCs/>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
          <w:iCs/>
        </w:rPr>
        <w:t xml:space="preserve">Lobodon</w:t>
      </w:r>
      <w:r>
        <w:rPr>
          <w:i/>
          <w:iCs/>
        </w:rPr>
        <w:t xml:space="preserve"> </w:t>
      </w:r>
      <w:r>
        <w:rPr>
          <w:i/>
          <w:iCs/>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
          <w:iCs/>
        </w:rPr>
        <w:t xml:space="preserve">Larus</w:t>
      </w:r>
      <w:r>
        <w:rPr>
          <w:i/>
          <w:iCs/>
        </w:rPr>
        <w:t xml:space="preserve"> </w:t>
      </w:r>
      <w:r>
        <w:rPr>
          <w:i/>
          <w:iCs/>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
          <w:iCs/>
        </w:rPr>
        <w:t xml:space="preserve">Sterna</w:t>
      </w:r>
      <w:r>
        <w:rPr>
          <w:i/>
          <w:iCs/>
        </w:rPr>
        <w:t xml:space="preserve"> </w:t>
      </w:r>
      <w:r>
        <w:rPr>
          <w:i/>
          <w:iCs/>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
          <w:iCs/>
        </w:rPr>
        <w:t xml:space="preserve">Fulmarus</w:t>
      </w:r>
      <w:r>
        <w:rPr>
          <w:i/>
          <w:iCs/>
        </w:rPr>
        <w:t xml:space="preserve"> </w:t>
      </w:r>
      <w:r>
        <w:rPr>
          <w:i/>
          <w:iCs/>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
          <w:iCs/>
        </w:rPr>
        <w:t xml:space="preserve">E.</w:t>
      </w:r>
      <w:r>
        <w:rPr>
          <w:i/>
          <w:iCs/>
        </w:rPr>
        <w:t xml:space="preserve"> </w:t>
      </w:r>
      <w:r>
        <w:rPr>
          <w:i/>
          <w:iCs/>
        </w:rPr>
        <w:t xml:space="preserve">superba</w:t>
      </w:r>
      <w:r>
        <w:t xml:space="preserve"> </w:t>
      </w:r>
      <w:r>
        <w:t xml:space="preserve">,</w:t>
      </w:r>
      <w:r>
        <w:t xml:space="preserve"> </w:t>
      </w:r>
      <w:r>
        <w:rPr>
          <w:i/>
          <w:iCs/>
        </w:rPr>
        <w:t xml:space="preserve">E.</w:t>
      </w:r>
      <w:r>
        <w:rPr>
          <w:i/>
          <w:iCs/>
        </w:rPr>
        <w:t xml:space="preserve"> </w:t>
      </w:r>
      <w:r>
        <w:rPr>
          <w:i/>
          <w:iCs/>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
          <w:iCs/>
        </w:rPr>
        <w:t xml:space="preserve">Thysanoessa</w:t>
      </w:r>
      <w:r>
        <w:rPr>
          <w:i/>
          <w:iCs/>
        </w:rPr>
        <w:t xml:space="preserve"> </w:t>
      </w:r>
      <w:r>
        <w:rPr>
          <w:i/>
          <w:iCs/>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
          <w:iCs/>
        </w:rPr>
        <w:t xml:space="preserve">Lobodon carcinophaga</w:t>
      </w:r>
      <w:r>
        <w:t xml:space="preserve">, Adélie penguins</w:t>
      </w:r>
      <w:r>
        <w:t xml:space="preserve"> </w:t>
      </w:r>
      <w:r>
        <w:rPr>
          <w:i/>
          <w:iCs/>
        </w:rPr>
        <w:t xml:space="preserve">Pygoscelis adeliae</w:t>
      </w:r>
      <w:r>
        <w:t xml:space="preserve">, and leopard seals</w:t>
      </w:r>
      <w:r>
        <w:t xml:space="preserve"> </w:t>
      </w:r>
      <w:r>
        <w:rPr>
          <w:i/>
          <w:iCs/>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
          <w:iCs/>
        </w:rPr>
        <w:t xml:space="preserve">Fulmarus glacialoides</w:t>
      </w:r>
      <w:r>
        <w:t xml:space="preserve">, cape petrels</w:t>
      </w:r>
      <w:r>
        <w:t xml:space="preserve"> </w:t>
      </w:r>
      <w:r>
        <w:rPr>
          <w:i/>
          <w:iCs/>
        </w:rPr>
        <w:t xml:space="preserve">Daption capense</w:t>
      </w:r>
      <w:r>
        <w:t xml:space="preserve">, and blue petrels</w:t>
      </w:r>
      <w:r>
        <w:t xml:space="preserve"> </w:t>
      </w:r>
      <w:r>
        <w:rPr>
          <w:i/>
          <w:iCs/>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
          <w:iCs/>
        </w:rPr>
        <w:t xml:space="preserve">Pagodroma nivea</w:t>
      </w:r>
      <w:r>
        <w:t xml:space="preserve"> </w:t>
      </w:r>
      <w:r>
        <w:t xml:space="preserve">and Antarctic petrels</w:t>
      </w:r>
      <w:r>
        <w:t xml:space="preserve"> </w:t>
      </w:r>
      <w:r>
        <w:rPr>
          <w:i/>
          <w:iCs/>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
          <w:iCs/>
        </w:rPr>
        <w:t xml:space="preserve">Thysanoessa macrura</w:t>
      </w:r>
      <w:r>
        <w:t xml:space="preserve">,</w:t>
      </w:r>
      <w:r>
        <w:t xml:space="preserve"> </w:t>
      </w:r>
      <w:r>
        <w:rPr>
          <w:i/>
          <w:iCs/>
        </w:rPr>
        <w:t xml:space="preserve">E. frigida</w:t>
      </w:r>
      <w:r>
        <w:t xml:space="preserve">,</w:t>
      </w:r>
      <w:r>
        <w:t xml:space="preserve"> </w:t>
      </w:r>
      <w:r>
        <w:rPr>
          <w:i/>
          <w:iCs/>
        </w:rPr>
        <w:t xml:space="preserve">E. triacantha</w:t>
      </w:r>
      <w:r>
        <w:t xml:space="preserve">) and amphipods (</w:t>
      </w:r>
      <w:r>
        <w:rPr>
          <w:i/>
          <w:iCs/>
        </w:rPr>
        <w:t xml:space="preserve">Primno</w:t>
      </w:r>
      <w:r>
        <w:t xml:space="preserve">,</w:t>
      </w:r>
      <w:r>
        <w:t xml:space="preserve"> </w:t>
      </w:r>
      <w:r>
        <w:rPr>
          <w:i/>
          <w:iCs/>
        </w:rPr>
        <w:t xml:space="preserve">Themisto</w:t>
      </w:r>
      <w:r>
        <w:t xml:space="preserve">) and occupy the region offshore of the shelf, north and west of the South Shetland Islands. Within the Bransfield Strait, a community dominated by large euphausiids (</w:t>
      </w:r>
      <w:r>
        <w:rPr>
          <w:i/>
          <w:iCs/>
        </w:rPr>
        <w:t xml:space="preserve">E. superba</w:t>
      </w:r>
      <w:r>
        <w:t xml:space="preserve">,</w:t>
      </w:r>
      <w:r>
        <w:t xml:space="preserve"> </w:t>
      </w:r>
      <w:r>
        <w:rPr>
          <w:i/>
          <w:iCs/>
        </w:rPr>
        <w:t xml:space="preserve">E. crystallorophias</w:t>
      </w:r>
      <w:r>
        <w:t xml:space="preserve">) occurs in the western part of the strait, while a highly diverse assemblage including chaetognaths,</w:t>
      </w:r>
      <w:r>
        <w:t xml:space="preserve"> </w:t>
      </w:r>
      <w:r>
        <w:rPr>
          <w:i/>
          <w:iCs/>
        </w:rPr>
        <w:t xml:space="preserve">Calanoides acutus</w:t>
      </w:r>
      <w:r>
        <w:t xml:space="preserve">, and siphonophores occurs in the eastern strait. A fifth macrozooplankton community is ubiquitous within this region and contains pelagic tunicates (</w:t>
      </w:r>
      <w:r>
        <w:rPr>
          <w:i/>
          <w:iCs/>
        </w:rPr>
        <w:t xml:space="preserve">Salpa thompsoni</w:t>
      </w:r>
      <w:r>
        <w:t xml:space="preserve">) and gastropods (</w:t>
      </w:r>
      <w:r>
        <w:rPr>
          <w:i/>
          <w:iCs/>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 (</w:t>
      </w:r>
      <w:hyperlink w:anchor="tbl-envvar">
        <w:r>
          <w:rPr>
            <w:rStyle w:val="Hyperlink"/>
          </w:rPr>
          <w:t xml:space="preserve">Table 1</w:t>
        </w:r>
      </w:hyperlink>
      <w:r>
        <w:t xml:space="preserve">). We used Niskin sampling bottles to collect water samples for measuring chlorophyll</w:t>
      </w:r>
      <w:r>
        <w:t xml:space="preserve"> </w:t>
      </w:r>
      <w:r>
        <w:rPr>
          <w:i/>
          <w:iCs/>
        </w:rPr>
        <w:t xml:space="preserve">a</w:t>
      </w:r>
      <w:r>
        <w:t xml:space="preserve"> </w:t>
      </w:r>
      <w:r>
        <w:t xml:space="preserve">(chl</w:t>
      </w:r>
      <w:r>
        <w:t xml:space="preserve"> </w:t>
      </w:r>
      <w:r>
        <w:rPr>
          <w:i/>
          <w:iCs/>
        </w:rPr>
        <w:t xml:space="preserve">a</w:t>
      </w:r>
      <w:r>
        <w:t xml:space="preserve">) and phaeopigment concentrations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
          <w:iCs/>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
          <w:iCs/>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
          <w:iCs/>
        </w:rPr>
        <w:t xml:space="preserve">k</w:t>
      </w:r>
      <w:r>
        <w:t xml:space="preserve"> </w:t>
      </w:r>
      <w:r>
        <w:t xml:space="preserve">to their expected values under a null reference distribution. The gap statistic,</w:t>
      </w:r>
      <w:r>
        <w:t xml:space="preserve"> </w:t>
      </w:r>
      <w:r>
        <w:rPr>
          <w:i/>
          <w:iCs/>
        </w:rPr>
        <w:t xml:space="preserve">f</w:t>
      </w:r>
      <w:r>
        <w:t xml:space="preserve">, usually increases with</w:t>
      </w:r>
      <w:r>
        <w:t xml:space="preserve"> </w:t>
      </w:r>
      <w:r>
        <w:rPr>
          <w:i/>
          <w:iCs/>
        </w:rPr>
        <w:t xml:space="preserve">k</w:t>
      </w:r>
      <w:r>
        <w:t xml:space="preserve">, but exhibits a shoulder at the optimal number of clusters. A recommended heuristic for finding the shoulder is selecting the smallest</w:t>
      </w:r>
      <w:r>
        <w:t xml:space="preserve"> </w:t>
      </w:r>
      <w:r>
        <w:rPr>
          <w:i/>
          <w:iCs/>
        </w:rPr>
        <w:t xml:space="preserve">k</w:t>
      </w:r>
      <w:r>
        <w:t xml:space="preserve"> </w:t>
      </w:r>
      <w:r>
        <w:t xml:space="preserve">such that the gap statistic for</w:t>
      </w:r>
      <w:r>
        <w:t xml:space="preserve"> </w:t>
      </w:r>
      <w:r>
        <w:rPr>
          <w:i/>
          <w:iCs/>
        </w:rPr>
        <w:t xml:space="preserve">k</w:t>
      </w:r>
      <w:r>
        <w:t xml:space="preserve">,</w:t>
      </w:r>
      <w:r>
        <w:t xml:space="preserve"> </w:t>
      </w:r>
      <w:r>
        <w:rPr>
          <w:i/>
          <w:iCs/>
        </w:rPr>
        <w:t xml:space="preserve">f</w:t>
      </w:r>
      <w:r>
        <w:t xml:space="preserve">(</w:t>
      </w:r>
      <w:r>
        <w:rPr>
          <w:i/>
          <w:iCs/>
        </w:rPr>
        <w:t xml:space="preserve">k</w:t>
      </w:r>
      <w:r>
        <w:t xml:space="preserve">), is greater than the gap statistic for</w:t>
      </w:r>
      <w:r>
        <w:t xml:space="preserve"> </w:t>
      </w:r>
      <w:r>
        <w:rPr>
          <w:i/>
          <w:iCs/>
        </w:rPr>
        <w:t xml:space="preserve">k + 1</w:t>
      </w:r>
      <w:r>
        <w:t xml:space="preserve"> </w:t>
      </w:r>
      <w:r>
        <w:t xml:space="preserve">less the standard error,</w:t>
      </w:r>
      <w:r>
        <w:t xml:space="preserve"> </w:t>
      </w:r>
      <w:r>
        <w:rPr>
          <w:i/>
          <w:iCs/>
        </w:rPr>
        <w:t xml:space="preserve">s</w:t>
      </w:r>
      <w:r>
        <w:t xml:space="preserve"> </w:t>
      </w:r>
      <w:r>
        <w:t xml:space="preserve">(</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
          <w:iCs/>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
          <w:iCs/>
        </w:rPr>
        <w:t xml:space="preserve">i</w:t>
      </w:r>
      <w:r>
        <w:t xml:space="preserve"> </w:t>
      </w:r>
      <w:r>
        <w:t xml:space="preserve">in cluster</w:t>
      </w:r>
      <w:r>
        <w:t xml:space="preserve"> </w:t>
      </w:r>
      <w:r>
        <w:rPr>
          <w:i/>
          <w:iCs/>
        </w:rPr>
        <w:t xml:space="preserve">c</w:t>
      </w:r>
      <w:r>
        <w:t xml:space="preserve">,</w:t>
      </w:r>
      <w:r>
        <w:t xml:space="preserve"> </w:t>
      </w:r>
      <w:r>
        <w:rPr>
          <w:i/>
          <w:iCs/>
        </w:rPr>
        <w:t xml:space="preserve">d</w:t>
      </w:r>
      <w:r>
        <w:rPr>
          <w:i/>
          <w:iCs/>
          <w:vertAlign w:val="subscript"/>
        </w:rPr>
        <w:t xml:space="preserve">ic</w:t>
      </w:r>
      <w:r>
        <w:t xml:space="preserve">, is the product of relative frequency,</w:t>
      </w:r>
      <w:r>
        <w:t xml:space="preserve"> </w:t>
      </w:r>
      <w:r>
        <w:rPr>
          <w:i/>
          <w:iCs/>
        </w:rPr>
        <w:t xml:space="preserve">f</w:t>
      </w:r>
      <w:r>
        <w:rPr>
          <w:i/>
          <w:iCs/>
          <w:vertAlign w:val="subscript"/>
        </w:rPr>
        <w:t xml:space="preserve">ic</w:t>
      </w:r>
      <w:r>
        <w:t xml:space="preserve">, and relative abundance,</w:t>
      </w:r>
      <w:r>
        <w:t xml:space="preserve"> </w:t>
      </w:r>
      <w:r>
        <w:rPr>
          <w:i/>
          <w:iCs/>
        </w:rPr>
        <w:t xml:space="preserve">a</w:t>
      </w:r>
      <w:r>
        <w:rPr>
          <w:i/>
          <w:iCs/>
          <w:vertAlign w:val="subscript"/>
        </w:rPr>
        <w:t xml:space="preserve">ic</w:t>
      </w:r>
      <w:r>
        <w:t xml:space="preserve">, where</w:t>
      </w:r>
      <w:r>
        <w:t xml:space="preserve"> </w:t>
      </w:r>
      <w:r>
        <w:rPr>
          <w:i/>
          <w:iCs/>
        </w:rPr>
        <w:t xml:space="preserve">f</w:t>
      </w:r>
      <w:r>
        <w:rPr>
          <w:i/>
          <w:iCs/>
          <w:vertAlign w:val="subscript"/>
        </w:rPr>
        <w:t xml:space="preserve">ic</w:t>
      </w:r>
      <w:r>
        <w:t xml:space="preserve"> </w:t>
      </w:r>
      <w:r>
        <w:t xml:space="preserve">is the fraction of sites in</w:t>
      </w:r>
      <w:r>
        <w:t xml:space="preserve"> </w:t>
      </w:r>
      <w:r>
        <w:rPr>
          <w:i/>
          <w:iCs/>
        </w:rPr>
        <w:t xml:space="preserve">c</w:t>
      </w:r>
      <w:r>
        <w:t xml:space="preserve"> </w:t>
      </w:r>
      <w:r>
        <w:t xml:space="preserve">where</w:t>
      </w:r>
      <w:r>
        <w:t xml:space="preserve"> </w:t>
      </w:r>
      <w:r>
        <w:rPr>
          <w:i/>
          <w:iCs/>
        </w:rPr>
        <w:t xml:space="preserve">i</w:t>
      </w:r>
      <w:r>
        <w:t xml:space="preserve"> </w:t>
      </w:r>
      <w:r>
        <w:t xml:space="preserve">was present and</w:t>
      </w:r>
      <w:r>
        <w:t xml:space="preserve"> </w:t>
      </w:r>
      <w:r>
        <w:rPr>
          <w:i/>
          <w:iCs/>
        </w:rPr>
        <w:t xml:space="preserve">a</w:t>
      </w:r>
      <w:r>
        <w:rPr>
          <w:i/>
          <w:iCs/>
          <w:vertAlign w:val="subscript"/>
        </w:rPr>
        <w:t xml:space="preserve">ic</w:t>
      </w:r>
      <w:r>
        <w:t xml:space="preserve"> </w:t>
      </w:r>
      <w:r>
        <w:t xml:space="preserve">is the ratio of per-site abundance of</w:t>
      </w:r>
      <w:r>
        <w:t xml:space="preserve"> </w:t>
      </w:r>
      <w:r>
        <w:rPr>
          <w:i/>
          <w:iCs/>
        </w:rPr>
        <w:t xml:space="preserve">i</w:t>
      </w:r>
      <w:r>
        <w:t xml:space="preserve"> </w:t>
      </w:r>
      <w:r>
        <w:t xml:space="preserve">in</w:t>
      </w:r>
      <w:r>
        <w:t xml:space="preserve"> </w:t>
      </w:r>
      <w:r>
        <w:rPr>
          <w:i/>
          <w:iCs/>
        </w:rPr>
        <w:t xml:space="preserve">c</w:t>
      </w:r>
      <w:r>
        <w:t xml:space="preserve"> </w:t>
      </w:r>
      <w:r>
        <w:t xml:space="preserve">to the overall per-site abundance of</w:t>
      </w:r>
      <w:r>
        <w:t xml:space="preserve"> </w:t>
      </w:r>
      <w:r>
        <w:rPr>
          <w:i/>
          <w:iCs/>
        </w:rPr>
        <w:t xml:space="preserve">i</w:t>
      </w:r>
      <w:r>
        <w:t xml:space="preserve">.</w:t>
      </w:r>
      <w:r>
        <w:t xml:space="preserve"> </w:t>
      </w:r>
      <w:r>
        <w:rPr>
          <w:i/>
          <w:iCs/>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w:t>
      </w:r>
      <w:hyperlink w:anchor="supptbl-effortice">
        <w:r>
          <w:rPr>
            <w:rStyle w:val="Hyperlink"/>
          </w:rPr>
          <w:t xml:space="preserve">Table S1</w:t>
        </w:r>
      </w:hyperlink>
      <w:r>
        <w:t xml:space="preserve">).</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w:t>
      </w:r>
      <w:hyperlink w:anchor="supptbl-effortice">
        <w:r>
          <w:rPr>
            <w:rStyle w:val="Hyperlink"/>
          </w:rPr>
          <w:t xml:space="preserve">Table S1</w:t>
        </w:r>
      </w:hyperlink>
      <w:r>
        <w:t xml:space="preserve">). Ice coverage was relatively consistent within ice types across years. Overall, sites categorized as open water had ice coverage of 6.4 ± 1.6%; thin ice and first-year ice sites had coverage of 55.6 ± 3.2 and 57.0 ± 3.2% (mean ± SE) (</w:t>
      </w:r>
      <w:hyperlink w:anchor="supptbl-effortice">
        <w:r>
          <w:rPr>
            <w:rStyle w:val="Hyperlink"/>
          </w:rPr>
          <w:t xml:space="preserve">Table S1</w:t>
        </w:r>
      </w:hyperlink>
      <w:r>
        <w:t xml:space="preserve">).</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w:t>
      </w:r>
      <w:hyperlink w:anchor="tbl-indicators">
        <w:r>
          <w:rPr>
            <w:rStyle w:val="Hyperlink"/>
          </w:rPr>
          <w:t xml:space="preserve">Table 3</w:t>
        </w:r>
      </w:hyperlink>
      <w:r>
        <w:t xml:space="preserve">)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w:t>
      </w:r>
      <w:hyperlink w:anchor="supptbl-densfreq">
        <w:r>
          <w:rPr>
            <w:rStyle w:val="Hyperlink"/>
          </w:rPr>
          <w:t xml:space="preserve">Table S2</w:t>
        </w:r>
      </w:hyperlink>
      <w:r>
        <w:t xml:space="preserve">).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w:t>
      </w:r>
      <w:hyperlink w:anchor="tbl-commfreq">
        <w:r>
          <w:rPr>
            <w:rStyle w:val="Hyperlink"/>
          </w:rPr>
          <w:t xml:space="preserve">Table 4</w:t>
        </w:r>
      </w:hyperlink>
      <w:r>
        <w:t xml:space="preserve">),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w:t>
      </w:r>
      <w:r>
        <w:t xml:space="preserve"> </w:t>
      </w:r>
      <w:hyperlink w:anchor="tbl-indicators">
        <w:r>
          <w:rPr>
            <w:rStyle w:val="Hyperlink"/>
          </w:rPr>
          <w:t xml:space="preserve">Table 3</w:t>
        </w:r>
      </w:hyperlink>
      <w:r>
        <w:t xml:space="preserve">; see</w:t>
      </w:r>
      <w:r>
        <w:t xml:space="preserve"> </w:t>
      </w:r>
      <w:hyperlink w:anchor="supptbl-nmds">
        <w:r>
          <w:rPr>
            <w:rStyle w:val="Hyperlink"/>
          </w:rPr>
          <w:t xml:space="preserve">Table S3</w:t>
        </w:r>
      </w:hyperlink>
      <w:r>
        <w:t xml:space="preserve"> </w:t>
      </w:r>
      <w:r>
        <w:t xml:space="preserve">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
          <w:iCs/>
        </w:rPr>
        <w:t xml:space="preserve">a</w:t>
      </w:r>
      <w:r>
        <w:t xml:space="preserve">, but not by mixed layer depth or phaeopigment (</w:t>
      </w:r>
      <w:hyperlink w:anchor="tbl-clustenv">
        <w:r>
          <w:rPr>
            <w:rStyle w:val="Hyperlink"/>
          </w:rPr>
          <w:t xml:space="preserve">Table 5</w:t>
        </w:r>
      </w:hyperlink>
      <w:r>
        <w:t xml:space="preserve">). Relative to the open water community, the pack ice community was associated with colder, more saline water with lower chl</w:t>
      </w:r>
      <w:r>
        <w:t xml:space="preserve"> </w:t>
      </w:r>
      <w:r>
        <w:rPr>
          <w:i/>
          <w:iCs/>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
          <w:iCs/>
          <w:vertAlign w:val="superscript"/>
        </w:rPr>
        <w:t xml:space="preserve">2</w:t>
      </w:r>
      <w:r>
        <w:t xml:space="preserve"> </w:t>
      </w:r>
      <w:r>
        <w:t xml:space="preserve">test, p &lt; 0.001). Five pairwise associations of predators with prey were significant after applying Bonferroni correction (</w:t>
      </w:r>
      <w:hyperlink w:anchor="tbl-predprey">
        <w:r>
          <w:rPr>
            <w:rStyle w:val="Hyperlink"/>
          </w:rPr>
          <w:t xml:space="preserve">Table 6</w:t>
        </w:r>
      </w:hyperlink>
      <w:r>
        <w:t xml:space="preserve">). The pack ice community was positively associated with macrozooplankton community 3a (an extremely diverse assemblage associated with cold, high-salinity water) and negatively associated with cluster 2b (</w:t>
      </w:r>
      <w:r>
        <w:rPr>
          <w:i/>
          <w:iCs/>
        </w:rPr>
        <w:t xml:space="preserve">Thysanoessa macrura</w:t>
      </w:r>
      <w:r>
        <w:t xml:space="preserve">). The marginal ice community was positively associated with macrozooplankton community 3b (large krill, including</w:t>
      </w:r>
      <w:r>
        <w:t xml:space="preserve"> </w:t>
      </w:r>
      <w:r>
        <w:rPr>
          <w:i/>
          <w:iCs/>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
          <w:iCs/>
        </w:rPr>
        <w:t xml:space="preserve">Salpa</w:t>
      </w:r>
      <w:r>
        <w:t xml:space="preserve"> </w:t>
      </w:r>
      <w:r>
        <w:t xml:space="preserve">and</w:t>
      </w:r>
      <w:r>
        <w:t xml:space="preserve"> </w:t>
      </w:r>
      <w:r>
        <w:rPr>
          <w:i/>
          <w:iCs/>
        </w:rPr>
        <w:t xml:space="preserve">Clione</w:t>
      </w:r>
      <w:r>
        <w:t xml:space="preserve">) was not significantly associated with any predator cluster. Macrozooplankton cluster 2a (indicated by important prey species such as</w:t>
      </w:r>
      <w:r>
        <w:t xml:space="preserve"> </w:t>
      </w:r>
      <w:r>
        <w:rPr>
          <w:i/>
          <w:iCs/>
        </w:rPr>
        <w:t xml:space="preserve">E. frigida</w:t>
      </w:r>
      <w:r>
        <w:t xml:space="preserve">,</w:t>
      </w:r>
      <w:r>
        <w:t xml:space="preserve"> </w:t>
      </w:r>
      <w:r>
        <w:rPr>
          <w:i/>
          <w:iCs/>
        </w:rPr>
        <w:t xml:space="preserve">E. triacantha</w:t>
      </w:r>
      <w:r>
        <w:t xml:space="preserve">, myctophid larvae, and</w:t>
      </w:r>
      <w:r>
        <w:t xml:space="preserve"> </w:t>
      </w:r>
      <w:r>
        <w:rPr>
          <w:i/>
          <w:iCs/>
        </w:rPr>
        <w:t xml:space="preserve">Themisto gaudichaudii</w:t>
      </w:r>
      <w:r>
        <w:t xml:space="preserve">) was also not significantly associated with any predator cluster, although it was associated most often with the open water predator cluster (</w:t>
      </w:r>
      <w:hyperlink w:anchor="tbl-predprey">
        <w:r>
          <w:rPr>
            <w:rStyle w:val="Hyperlink"/>
          </w:rPr>
          <w:t xml:space="preserve">Table 6</w:t>
        </w:r>
      </w:hyperlink>
      <w:r>
        <w:t xml:space="preserve">).</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w:t>
      </w:r>
      <w:hyperlink w:anchor="tbl-predators">
        <w:r>
          <w:rPr>
            <w:rStyle w:val="Hyperlink"/>
          </w:rPr>
          <w:t xml:space="preserve">Table 2</w:t>
        </w:r>
      </w:hyperlink>
      <w:r>
        <w:t xml:space="preserve">)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
          <w:iCs/>
        </w:rPr>
        <w:t xml:space="preserve">Electrona antarctica</w:t>
      </w:r>
      <w:r>
        <w:t xml:space="preserve"> </w:t>
      </w:r>
      <w:r>
        <w:t xml:space="preserve">(</w:t>
      </w:r>
      <w:hyperlink w:anchor="tbl-predators">
        <w:r>
          <w:rPr>
            <w:rStyle w:val="Hyperlink"/>
          </w:rPr>
          <w:t xml:space="preserve">Table 2</w:t>
        </w:r>
      </w:hyperlink>
      <w:r>
        <w:t xml:space="preserve">)</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
          <w:iCs/>
        </w:rPr>
        <w:t xml:space="preserve">Euphausia superba</w:t>
      </w:r>
      <w:r>
        <w:t xml:space="preserve">/</w:t>
      </w:r>
      <w:r>
        <w:rPr>
          <w:i/>
          <w:iCs/>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
          <w:iCs/>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
          <w:iCs/>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w:t>
      </w:r>
      <w:hyperlink w:anchor="tbl-commfreq">
        <w:r>
          <w:rPr>
            <w:rStyle w:val="Hyperlink"/>
          </w:rPr>
          <w:t xml:space="preserve">Table 4</w:t>
        </w:r>
      </w:hyperlink>
      <w:r>
        <w:t xml:space="preserve">, </w:t>
      </w:r>
      <w:hyperlink w:anchor="tbl-clustenv">
        <w:r>
          <w:rPr>
            <w:rStyle w:val="Hyperlink"/>
          </w:rPr>
          <w:t xml:space="preserve">Table 5</w:t>
        </w:r>
      </w:hyperlink>
      <w:r>
        <w:t xml:space="preserve">, </w:t>
      </w:r>
      <w:hyperlink w:anchor="tbl-predprey">
        <w:r>
          <w:rPr>
            <w:rStyle w:val="Hyperlink"/>
          </w:rPr>
          <w:t xml:space="preserve">Table 6</w:t>
        </w:r>
      </w:hyperlink>
      <w:r>
        <w:t xml:space="preserve">)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41"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ayout w:type="fixed"/>
              <w:tblLook w:firstRow="1" w:lastRow="0" w:firstColumn="0" w:lastColumn="0" w:noHBand="0" w:noVBand="0" w:val="0020"/>
            </w:tblPr>
            <w:tblGrid>
              <w:gridCol w:w="1584"/>
              <w:gridCol w:w="4752"/>
              <w:gridCol w:w="1584"/>
            </w:tblGrid>
            <w:tr>
              <w:trPr>
                <w:tblHeader w:val="on"/>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
                      <w:iCs/>
                    </w:rPr>
                    <w:t xml:space="preserve">a</w:t>
                  </w:r>
                </w:p>
              </w:tc>
              <w:tc>
                <w:tcPr/>
                <w:p>
                  <w:pPr>
                    <w:pStyle w:val="Compact"/>
                    <w:jc w:val="left"/>
                    <w:jc w:val="center"/>
                  </w:pPr>
                  <w:r>
                    <w:t xml:space="preserve">Average integrated chl</w:t>
                  </w:r>
                  <w:r>
                    <w:t xml:space="preserve"> </w:t>
                  </w:r>
                  <w:r>
                    <w:rPr>
                      <w:i/>
                      <w:iCs/>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
                      <w:iCs/>
                    </w:rPr>
                    <w:t xml:space="preserve">Salpa</w:t>
                  </w:r>
                  <w:r>
                    <w:t xml:space="preserve"> </w:t>
                  </w:r>
                  <w:r>
                    <w:t xml:space="preserve">and</w:t>
                  </w:r>
                  <w:r>
                    <w:t xml:space="preserve"> </w:t>
                  </w:r>
                  <w:r>
                    <w:rPr>
                      <w:i/>
                      <w:iCs/>
                    </w:rPr>
                    <w:t xml:space="preserve">Clione</w:t>
                  </w:r>
                  <w:r>
                    <w:t xml:space="preserve">), 2a (small</w:t>
                  </w:r>
                  <w:r>
                    <w:t xml:space="preserve"> </w:t>
                  </w:r>
                  <w:r>
                    <w:rPr>
                      <w:i/>
                      <w:iCs/>
                    </w:rPr>
                    <w:t xml:space="preserve">Euphausia</w:t>
                  </w:r>
                  <w:r>
                    <w:t xml:space="preserve">, myctophid larvae, and amphipods), 2b (</w:t>
                  </w:r>
                  <w:r>
                    <w:rPr>
                      <w:i/>
                      <w:iCs/>
                    </w:rPr>
                    <w:t xml:space="preserve">Thysanoessa</w:t>
                  </w:r>
                  <w:r>
                    <w:t xml:space="preserve">), 3a (extremely diverse, including siphonophores, chaetognaths, copepods), and 3b (</w:t>
                  </w:r>
                  <w:r>
                    <w:rPr>
                      <w:i/>
                      <w:iCs/>
                    </w:rPr>
                    <w:t xml:space="preserve">E. superba</w:t>
                  </w:r>
                  <w:r>
                    <w:t xml:space="preserve"> </w:t>
                  </w:r>
                  <w:r>
                    <w:t xml:space="preserve">and</w:t>
                  </w:r>
                  <w:r>
                    <w:t xml:space="preserve"> </w:t>
                  </w:r>
                  <w:r>
                    <w:rPr>
                      <w:i/>
                      <w:iCs/>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ayout w:type="fixed"/>
              <w:tblLook w:firstRow="1" w:lastRow="0" w:firstColumn="0" w:lastColumn="0" w:noHBand="0" w:noVBand="0" w:val="0020"/>
            </w:tblPr>
            <w:tblGrid>
              <w:gridCol w:w="1425"/>
              <w:gridCol w:w="554"/>
              <w:gridCol w:w="554"/>
              <w:gridCol w:w="871"/>
              <w:gridCol w:w="1346"/>
              <w:gridCol w:w="1267"/>
              <w:gridCol w:w="1900"/>
            </w:tblGrid>
            <w:tr>
              <w:trPr>
                <w:tblHeader w:val="on"/>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
                      <w:iCs/>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
                      <w:iCs/>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
                      <w:iCs/>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
                      <w:iCs/>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
                      <w:iCs/>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
                      <w:iCs/>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
                      <w:iCs/>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
                      <w:iCs/>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
                      <w:iCs/>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
                      <w:iCs/>
                    </w:rPr>
                    <w:t xml:space="preserve">Halobaena caerulea</w:t>
                  </w:r>
                  <w:r>
                    <w:rPr>
                      <w:i/>
                      <w:iCs/>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
                      <w:iCs/>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
                      <w:iCs/>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
                      <w:iCs/>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
                      <w:iCs/>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
                      <w:iCs/>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
                      <w:iCs/>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
                      <w:iCs/>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
                      <w:iCs/>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
                      <w:iCs/>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
                      <w:iCs/>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
                      <w:iCs/>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
                      <w:iCs/>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p>
      <w:pPr>
        <w:pStyle w:val="BodyText"/>
      </w:pPr>
      <w:r>
        <w:t xml:space="preserve">Note: the repeated cells in the first column of</w:t>
      </w:r>
      <w:r>
        <w:t xml:space="preserve"> </w:t>
      </w:r>
      <w:hyperlink w:anchor="tbl-indicators">
        <w:r>
          <w:rPr>
            <w:rStyle w:val="Hyperlink"/>
          </w:rPr>
          <w:t xml:space="preserve">Table 3</w:t>
        </w:r>
      </w:hyperlink>
      <w:r>
        <w:t xml:space="preserve"> </w:t>
      </w:r>
      <w:r>
        <w:t xml:space="preserve">must be merged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7" w:name="tbl-indicators"/>
          <w:p>
            <w:pPr>
              <w:jc w:val="center"/>
            </w:pPr>
            <w:pPr>
              <w:jc w:val="start"/>
              <w:spacing w:before="200"/>
              <w:pStyle w:val="ImageCaption"/>
            </w:pPr>
            <w:r>
              <w:t xml:space="preserve">Table 3: Indicator species for each predator cluster. Indicator values are the product of relative frequency and relative abundance, ranging from 0 to 1. Only species with indicator values ≥0.25 are shown for each cluster. See Methods for details.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Predator cluster</w:t>
                  </w:r>
                </w:p>
              </w:tc>
              <w:tc>
                <w:tcPr/>
                <w:p>
                  <w:pPr>
                    <w:pStyle w:val="Compact"/>
                    <w:jc w:val="left"/>
                    <w:jc w:val="center"/>
                  </w:pPr>
                  <w:r>
                    <w:t xml:space="preserve">Indicator species</w:t>
                  </w:r>
                </w:p>
              </w:tc>
              <w:tc>
                <w:tcPr/>
                <w:p>
                  <w:pPr>
                    <w:pStyle w:val="Compact"/>
                    <w:jc w:val="right"/>
                    <w:jc w:val="center"/>
                  </w:pPr>
                  <w:r>
                    <w:t xml:space="preserve">Indicator value</w:t>
                  </w:r>
                </w:p>
              </w:tc>
            </w:tr>
            <w:tr>
              <w:tc>
                <w:tcPr/>
                <w:p>
                  <w:pPr>
                    <w:pStyle w:val="Compact"/>
                    <w:jc w:val="left"/>
                    <w:jc w:val="center"/>
                  </w:pPr>
                  <w:r>
                    <w:t xml:space="preserve">Marginal ice</w:t>
                  </w:r>
                </w:p>
              </w:tc>
              <w:tc>
                <w:tcPr/>
                <w:p>
                  <w:pPr>
                    <w:pStyle w:val="Compact"/>
                    <w:jc w:val="left"/>
                    <w:jc w:val="center"/>
                  </w:pPr>
                  <w:r>
                    <w:t xml:space="preserve">Antarctic fur seal</w:t>
                  </w:r>
                </w:p>
              </w:tc>
              <w:tc>
                <w:tcPr/>
                <w:p>
                  <w:pPr>
                    <w:pStyle w:val="Compact"/>
                    <w:jc w:val="right"/>
                    <w:jc w:val="center"/>
                  </w:pPr>
                  <w:r>
                    <w:t xml:space="preserve">0.84</w:t>
                  </w:r>
                </w:p>
              </w:tc>
            </w:tr>
            <w:tr>
              <w:tc>
                <w:tcPr/>
                <w:p>
                  <w:pPr>
                    <w:pStyle w:val="Compact"/>
                    <w:jc w:val="left"/>
                    <w:jc w:val="center"/>
                  </w:pPr>
                  <w:r>
                    <w:t xml:space="preserve">Marginal ice</w:t>
                  </w:r>
                </w:p>
              </w:tc>
              <w:tc>
                <w:tcPr/>
                <w:p>
                  <w:pPr>
                    <w:pStyle w:val="Compact"/>
                    <w:jc w:val="left"/>
                    <w:jc w:val="center"/>
                  </w:pPr>
                  <w:r>
                    <w:t xml:space="preserve">Snow petrel</w:t>
                  </w:r>
                </w:p>
              </w:tc>
              <w:tc>
                <w:tcPr/>
                <w:p>
                  <w:pPr>
                    <w:pStyle w:val="Compact"/>
                    <w:jc w:val="right"/>
                    <w:jc w:val="center"/>
                  </w:pPr>
                  <w:r>
                    <w:t xml:space="preserve">0.48</w:t>
                  </w:r>
                </w:p>
              </w:tc>
            </w:tr>
            <w:tr>
              <w:tc>
                <w:tcPr/>
                <w:p>
                  <w:pPr>
                    <w:pStyle w:val="Compact"/>
                    <w:jc w:val="left"/>
                    <w:jc w:val="center"/>
                  </w:pPr>
                  <w:r>
                    <w:t xml:space="preserve">Marginal ice</w:t>
                  </w:r>
                </w:p>
              </w:tc>
              <w:tc>
                <w:tcPr/>
                <w:p>
                  <w:pPr>
                    <w:pStyle w:val="Compact"/>
                    <w:jc w:val="left"/>
                    <w:jc w:val="center"/>
                  </w:pPr>
                  <w:r>
                    <w:t xml:space="preserve">Kelp gull</w:t>
                  </w:r>
                </w:p>
              </w:tc>
              <w:tc>
                <w:tcPr/>
                <w:p>
                  <w:pPr>
                    <w:pStyle w:val="Compact"/>
                    <w:jc w:val="right"/>
                    <w:jc w:val="center"/>
                  </w:pPr>
                  <w:r>
                    <w:t xml:space="preserve">0.37</w:t>
                  </w:r>
                </w:p>
              </w:tc>
            </w:tr>
            <w:tr>
              <w:tc>
                <w:tcPr/>
                <w:p>
                  <w:pPr>
                    <w:pStyle w:val="Compact"/>
                    <w:jc w:val="left"/>
                    <w:jc w:val="center"/>
                  </w:pPr>
                  <w:r>
                    <w:t xml:space="preserve">Marginal ice</w:t>
                  </w:r>
                </w:p>
              </w:tc>
              <w:tc>
                <w:tcPr/>
                <w:p>
                  <w:pPr>
                    <w:pStyle w:val="Compact"/>
                    <w:jc w:val="left"/>
                    <w:jc w:val="center"/>
                  </w:pPr>
                  <w:r>
                    <w:t xml:space="preserve">Southern giant petrel</w:t>
                  </w:r>
                </w:p>
              </w:tc>
              <w:tc>
                <w:tcPr/>
                <w:p>
                  <w:pPr>
                    <w:pStyle w:val="Compact"/>
                    <w:jc w:val="right"/>
                    <w:jc w:val="center"/>
                  </w:pPr>
                  <w:r>
                    <w:t xml:space="preserve">0.36</w:t>
                  </w:r>
                </w:p>
              </w:tc>
            </w:tr>
            <w:tr>
              <w:tc>
                <w:tcPr/>
                <w:p>
                  <w:pPr>
                    <w:pStyle w:val="Compact"/>
                    <w:jc w:val="left"/>
                    <w:jc w:val="center"/>
                  </w:pPr>
                  <w:r>
                    <w:t xml:space="preserve">Marginal ice</w:t>
                  </w:r>
                </w:p>
              </w:tc>
              <w:tc>
                <w:tcPr/>
                <w:p>
                  <w:pPr>
                    <w:pStyle w:val="Compact"/>
                    <w:jc w:val="left"/>
                    <w:jc w:val="center"/>
                  </w:pPr>
                  <w:r>
                    <w:t xml:space="preserve">Antarctic tern</w:t>
                  </w:r>
                </w:p>
              </w:tc>
              <w:tc>
                <w:tcPr/>
                <w:p>
                  <w:pPr>
                    <w:pStyle w:val="Compact"/>
                    <w:jc w:val="right"/>
                    <w:jc w:val="center"/>
                  </w:pPr>
                  <w:r>
                    <w:t xml:space="preserve">0.32</w:t>
                  </w:r>
                </w:p>
              </w:tc>
            </w:tr>
            <w:tr>
              <w:tc>
                <w:tcPr/>
                <w:p>
                  <w:pPr>
                    <w:pStyle w:val="Compact"/>
                    <w:jc w:val="left"/>
                    <w:jc w:val="center"/>
                  </w:pPr>
                  <w:r>
                    <w:t xml:space="preserve">Marginal ice</w:t>
                  </w:r>
                </w:p>
              </w:tc>
              <w:tc>
                <w:tcPr/>
                <w:p>
                  <w:pPr>
                    <w:pStyle w:val="Compact"/>
                    <w:jc w:val="left"/>
                    <w:jc w:val="center"/>
                  </w:pPr>
                  <w:r>
                    <w:t xml:space="preserve">Antarctic petrel</w:t>
                  </w:r>
                </w:p>
              </w:tc>
              <w:tc>
                <w:tcPr/>
                <w:p>
                  <w:pPr>
                    <w:pStyle w:val="Compact"/>
                    <w:jc w:val="right"/>
                    <w:jc w:val="center"/>
                  </w:pPr>
                  <w:r>
                    <w:t xml:space="preserve">0.29</w:t>
                  </w:r>
                </w:p>
              </w:tc>
            </w:tr>
            <w:tr>
              <w:tc>
                <w:tcPr/>
                <w:p>
                  <w:pPr>
                    <w:pStyle w:val="Compact"/>
                    <w:jc w:val="left"/>
                    <w:jc w:val="center"/>
                  </w:pPr>
                  <w:r>
                    <w:t xml:space="preserve">Open water</w:t>
                  </w:r>
                </w:p>
              </w:tc>
              <w:tc>
                <w:tcPr/>
                <w:p>
                  <w:pPr>
                    <w:pStyle w:val="Compact"/>
                    <w:jc w:val="left"/>
                    <w:jc w:val="center"/>
                  </w:pPr>
                  <w:r>
                    <w:t xml:space="preserve">Southern fulmar</w:t>
                  </w:r>
                </w:p>
              </w:tc>
              <w:tc>
                <w:tcPr/>
                <w:p>
                  <w:pPr>
                    <w:pStyle w:val="Compact"/>
                    <w:jc w:val="right"/>
                    <w:jc w:val="center"/>
                  </w:pPr>
                  <w:r>
                    <w:t xml:space="preserve">0.42</w:t>
                  </w:r>
                </w:p>
              </w:tc>
            </w:tr>
            <w:tr>
              <w:tc>
                <w:tcPr/>
                <w:p>
                  <w:pPr>
                    <w:pStyle w:val="Compact"/>
                    <w:jc w:val="left"/>
                    <w:jc w:val="center"/>
                  </w:pPr>
                  <w:r>
                    <w:t xml:space="preserve">Open water</w:t>
                  </w:r>
                </w:p>
              </w:tc>
              <w:tc>
                <w:tcPr/>
                <w:p>
                  <w:pPr>
                    <w:pStyle w:val="Compact"/>
                    <w:jc w:val="left"/>
                    <w:jc w:val="center"/>
                  </w:pPr>
                  <w:r>
                    <w:t xml:space="preserve">Antarctic petrel</w:t>
                  </w:r>
                </w:p>
              </w:tc>
              <w:tc>
                <w:tcPr/>
                <w:p>
                  <w:pPr>
                    <w:pStyle w:val="Compact"/>
                    <w:jc w:val="right"/>
                    <w:jc w:val="center"/>
                  </w:pPr>
                  <w:r>
                    <w:t xml:space="preserve">0.41</w:t>
                  </w:r>
                </w:p>
              </w:tc>
            </w:tr>
            <w:tr>
              <w:tc>
                <w:tcPr/>
                <w:p>
                  <w:pPr>
                    <w:pStyle w:val="Compact"/>
                    <w:jc w:val="left"/>
                    <w:jc w:val="center"/>
                  </w:pPr>
                  <w:r>
                    <w:t xml:space="preserve">Open water</w:t>
                  </w:r>
                </w:p>
              </w:tc>
              <w:tc>
                <w:tcPr/>
                <w:p>
                  <w:pPr>
                    <w:pStyle w:val="Compact"/>
                    <w:jc w:val="left"/>
                    <w:jc w:val="center"/>
                  </w:pPr>
                  <w:r>
                    <w:t xml:space="preserve">Snow petrel</w:t>
                  </w:r>
                </w:p>
              </w:tc>
              <w:tc>
                <w:tcPr/>
                <w:p>
                  <w:pPr>
                    <w:pStyle w:val="Compact"/>
                    <w:jc w:val="right"/>
                    <w:jc w:val="center"/>
                  </w:pPr>
                  <w:r>
                    <w:t xml:space="preserve">0.34</w:t>
                  </w:r>
                </w:p>
              </w:tc>
            </w:tr>
            <w:tr>
              <w:tc>
                <w:tcPr/>
                <w:p>
                  <w:pPr>
                    <w:pStyle w:val="Compact"/>
                    <w:jc w:val="left"/>
                    <w:jc w:val="center"/>
                  </w:pPr>
                  <w:r>
                    <w:t xml:space="preserve">Open water</w:t>
                  </w:r>
                </w:p>
              </w:tc>
              <w:tc>
                <w:tcPr/>
                <w:p>
                  <w:pPr>
                    <w:pStyle w:val="Compact"/>
                    <w:jc w:val="left"/>
                    <w:jc w:val="center"/>
                  </w:pPr>
                  <w:r>
                    <w:t xml:space="preserve">Cape petrel</w:t>
                  </w:r>
                </w:p>
              </w:tc>
              <w:tc>
                <w:tcPr/>
                <w:p>
                  <w:pPr>
                    <w:pStyle w:val="Compact"/>
                    <w:jc w:val="right"/>
                    <w:jc w:val="center"/>
                  </w:pPr>
                  <w:r>
                    <w:t xml:space="preserve">0.28</w:t>
                  </w:r>
                </w:p>
              </w:tc>
            </w:tr>
            <w:tr>
              <w:tc>
                <w:tcPr/>
                <w:p>
                  <w:pPr>
                    <w:pStyle w:val="Compact"/>
                    <w:jc w:val="left"/>
                    <w:jc w:val="center"/>
                  </w:pPr>
                  <w:r>
                    <w:t xml:space="preserve">Open water</w:t>
                  </w:r>
                </w:p>
              </w:tc>
              <w:tc>
                <w:tcPr/>
                <w:p>
                  <w:pPr>
                    <w:pStyle w:val="Compact"/>
                    <w:jc w:val="left"/>
                    <w:jc w:val="center"/>
                  </w:pPr>
                  <w:r>
                    <w:t xml:space="preserve">Southern giant petrel</w:t>
                  </w:r>
                </w:p>
              </w:tc>
              <w:tc>
                <w:tcPr/>
                <w:p>
                  <w:pPr>
                    <w:pStyle w:val="Compact"/>
                    <w:jc w:val="right"/>
                    <w:jc w:val="center"/>
                  </w:pPr>
                  <w:r>
                    <w:t xml:space="preserve">0.25</w:t>
                  </w:r>
                </w:p>
              </w:tc>
            </w:tr>
            <w:tr>
              <w:tc>
                <w:tcPr/>
                <w:p>
                  <w:pPr>
                    <w:pStyle w:val="Compact"/>
                    <w:jc w:val="left"/>
                    <w:jc w:val="center"/>
                  </w:pPr>
                  <w:r>
                    <w:t xml:space="preserve">Pack ice</w:t>
                  </w:r>
                </w:p>
              </w:tc>
              <w:tc>
                <w:tcPr/>
                <w:p>
                  <w:pPr>
                    <w:pStyle w:val="Compact"/>
                    <w:jc w:val="left"/>
                    <w:jc w:val="center"/>
                  </w:pPr>
                  <w:r>
                    <w:t xml:space="preserve">Adélie penguin</w:t>
                  </w:r>
                </w:p>
              </w:tc>
              <w:tc>
                <w:tcPr/>
                <w:p>
                  <w:pPr>
                    <w:pStyle w:val="Compact"/>
                    <w:jc w:val="right"/>
                    <w:jc w:val="center"/>
                  </w:pPr>
                  <w:r>
                    <w:t xml:space="preserve">0.37</w:t>
                  </w:r>
                </w:p>
              </w:tc>
            </w:tr>
            <w:tr>
              <w:tc>
                <w:tcPr/>
                <w:p>
                  <w:pPr>
                    <w:pStyle w:val="Compact"/>
                    <w:jc w:val="left"/>
                    <w:jc w:val="center"/>
                  </w:pPr>
                  <w:r>
                    <w:t xml:space="preserve">Pack ice</w:t>
                  </w:r>
                </w:p>
              </w:tc>
              <w:tc>
                <w:tcPr/>
                <w:p>
                  <w:pPr>
                    <w:pStyle w:val="Compact"/>
                    <w:jc w:val="left"/>
                    <w:jc w:val="center"/>
                  </w:pPr>
                  <w:r>
                    <w:t xml:space="preserve">Crabeater seal</w:t>
                  </w:r>
                </w:p>
              </w:tc>
              <w:tc>
                <w:tcPr/>
                <w:p>
                  <w:pPr>
                    <w:pStyle w:val="Compact"/>
                    <w:jc w:val="right"/>
                    <w:jc w:val="center"/>
                  </w:pPr>
                  <w:r>
                    <w:t xml:space="preserve">0.30</w:t>
                  </w:r>
                </w:p>
              </w:tc>
            </w:tr>
          </w:tbl>
          <w:bookmarkEnd w:id="37"/>
          <w:p/>
        </w:tc>
      </w:tr>
    </w:tbl>
    <w:p>
      <w:r>
        <w:br w:type="page"/>
      </w:r>
    </w:p>
    <w:p>
      <w:pPr>
        <w:pStyle w:val="BodyText"/>
      </w:pPr>
      <w:r>
        <w:t xml:space="preserve">Note: an additional header row with</w:t>
      </w:r>
      <w:r>
        <w:t xml:space="preserve"> </w:t>
      </w:r>
      <w:r>
        <w:t xml:space="preserve">“</w:t>
      </w:r>
      <w:r>
        <w:t xml:space="preserve">No.</w:t>
      </w:r>
      <w:r>
        <w:t xml:space="preserve">”</w:t>
      </w:r>
      <w:r>
        <w:t xml:space="preserve"> </w:t>
      </w:r>
      <w:r>
        <w:t xml:space="preserve">and</w:t>
      </w:r>
      <w:r>
        <w:t xml:space="preserve"> </w:t>
      </w:r>
      <w:r>
        <w:t xml:space="preserve">“</w:t>
      </w:r>
      <w:r>
        <w:t xml:space="preserve">Frequency</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8" w:name="tbl-commfreq"/>
          <w:p>
            <w:pPr>
              <w:jc w:val="center"/>
            </w:pPr>
            <w:pPr>
              <w:jc w:val="start"/>
              <w:spacing w:before="200"/>
              <w:pStyle w:val="ImageCaption"/>
            </w:pPr>
            <w:r>
              <w:t xml:space="preserve">Table 4: Relative frequency of predator communities by year. No.: number of sites assigned to each cluster; Frequency: relative frequency of that cluster.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2012</w:t>
                  </w:r>
                </w:p>
              </w:tc>
              <w:tc>
                <w:tcPr/>
                <w:p>
                  <w:pPr>
                    <w:pStyle w:val="Compact"/>
                    <w:jc w:val="left"/>
                    <w:jc w:val="center"/>
                  </w:pPr>
                  <w:r>
                    <w:t xml:space="preserve">14 73.68</w:t>
                  </w:r>
                </w:p>
              </w:tc>
              <w:tc>
                <w:tcPr/>
                <w:p>
                  <w:pPr>
                    <w:pStyle w:val="Compact"/>
                    <w:jc w:val="left"/>
                    <w:jc w:val="center"/>
                  </w:pPr>
                  <w:r>
                    <w:t xml:space="preserve">3 15.79</w:t>
                  </w:r>
                </w:p>
              </w:tc>
              <w:tc>
                <w:tcPr/>
                <w:p>
                  <w:pPr>
                    <w:pStyle w:val="Compact"/>
                    <w:jc w:val="left"/>
                    <w:jc w:val="center"/>
                  </w:pPr>
                  <w:r>
                    <w:t xml:space="preserve">2 10.53</w:t>
                  </w:r>
                </w:p>
              </w:tc>
            </w:tr>
            <w:tr>
              <w:tc>
                <w:tcPr/>
                <w:p>
                  <w:pPr>
                    <w:pStyle w:val="Compact"/>
                    <w:jc w:val="left"/>
                    <w:jc w:val="center"/>
                  </w:pPr>
                  <w:r>
                    <w:t xml:space="preserve">2013</w:t>
                  </w:r>
                </w:p>
              </w:tc>
              <w:tc>
                <w:tcPr/>
                <w:p>
                  <w:pPr>
                    <w:pStyle w:val="Compact"/>
                    <w:jc w:val="left"/>
                    <w:jc w:val="center"/>
                  </w:pPr>
                  <w:r>
                    <w:t xml:space="preserve">25 53.19</w:t>
                  </w:r>
                </w:p>
              </w:tc>
              <w:tc>
                <w:tcPr/>
                <w:p>
                  <w:pPr>
                    <w:pStyle w:val="Compact"/>
                    <w:jc w:val="left"/>
                    <w:jc w:val="center"/>
                  </w:pPr>
                  <w:r>
                    <w:t xml:space="preserve">11 23.4</w:t>
                  </w:r>
                </w:p>
              </w:tc>
              <w:tc>
                <w:tcPr/>
                <w:p>
                  <w:pPr>
                    <w:pStyle w:val="Compact"/>
                    <w:jc w:val="left"/>
                    <w:jc w:val="center"/>
                  </w:pPr>
                  <w:r>
                    <w:t xml:space="preserve">11 23.4</w:t>
                  </w:r>
                </w:p>
              </w:tc>
            </w:tr>
            <w:tr>
              <w:tc>
                <w:tcPr/>
                <w:p>
                  <w:pPr>
                    <w:pStyle w:val="Compact"/>
                    <w:jc w:val="left"/>
                    <w:jc w:val="center"/>
                  </w:pPr>
                  <w:r>
                    <w:t xml:space="preserve">2014</w:t>
                  </w:r>
                </w:p>
              </w:tc>
              <w:tc>
                <w:tcPr/>
                <w:p>
                  <w:pPr>
                    <w:pStyle w:val="Compact"/>
                    <w:jc w:val="left"/>
                    <w:jc w:val="center"/>
                  </w:pPr>
                  <w:r>
                    <w:t xml:space="preserve">39 57.35</w:t>
                  </w:r>
                </w:p>
              </w:tc>
              <w:tc>
                <w:tcPr/>
                <w:p>
                  <w:pPr>
                    <w:pStyle w:val="Compact"/>
                    <w:jc w:val="left"/>
                    <w:jc w:val="center"/>
                  </w:pPr>
                  <w:r>
                    <w:t xml:space="preserve">14 20.59</w:t>
                  </w:r>
                </w:p>
              </w:tc>
              <w:tc>
                <w:tcPr/>
                <w:p>
                  <w:pPr>
                    <w:pStyle w:val="Compact"/>
                    <w:jc w:val="left"/>
                    <w:jc w:val="center"/>
                  </w:pPr>
                  <w:r>
                    <w:t xml:space="preserve">15 22.06</w:t>
                  </w:r>
                </w:p>
              </w:tc>
            </w:tr>
            <w:tr>
              <w:tc>
                <w:tcPr/>
                <w:p>
                  <w:pPr>
                    <w:pStyle w:val="Compact"/>
                    <w:jc w:val="left"/>
                    <w:jc w:val="center"/>
                  </w:pPr>
                  <w:r>
                    <w:t xml:space="preserve">2015</w:t>
                  </w:r>
                </w:p>
              </w:tc>
              <w:tc>
                <w:tcPr/>
                <w:p>
                  <w:pPr>
                    <w:pStyle w:val="Compact"/>
                    <w:jc w:val="left"/>
                    <w:jc w:val="center"/>
                  </w:pPr>
                  <w:r>
                    <w:t xml:space="preserve">39 65</w:t>
                  </w:r>
                </w:p>
              </w:tc>
              <w:tc>
                <w:tcPr/>
                <w:p>
                  <w:pPr>
                    <w:pStyle w:val="Compact"/>
                    <w:jc w:val="left"/>
                    <w:jc w:val="center"/>
                  </w:pPr>
                  <w:r>
                    <w:t xml:space="preserve">8 13.33</w:t>
                  </w:r>
                </w:p>
              </w:tc>
              <w:tc>
                <w:tcPr/>
                <w:p>
                  <w:pPr>
                    <w:pStyle w:val="Compact"/>
                    <w:jc w:val="left"/>
                    <w:jc w:val="center"/>
                  </w:pPr>
                  <w:r>
                    <w:t xml:space="preserve">13 21.67</w:t>
                  </w:r>
                </w:p>
              </w:tc>
            </w:tr>
            <w:tr>
              <w:tc>
                <w:tcPr/>
                <w:p>
                  <w:pPr>
                    <w:pStyle w:val="Compact"/>
                    <w:jc w:val="left"/>
                    <w:jc w:val="center"/>
                  </w:pPr>
                  <w:r>
                    <w:t xml:space="preserve">2016</w:t>
                  </w:r>
                </w:p>
              </w:tc>
              <w:tc>
                <w:tcPr/>
                <w:p>
                  <w:pPr>
                    <w:pStyle w:val="Compact"/>
                    <w:jc w:val="left"/>
                    <w:jc w:val="center"/>
                  </w:pPr>
                  <w:r>
                    <w:t xml:space="preserve">21 41.18</w:t>
                  </w:r>
                </w:p>
              </w:tc>
              <w:tc>
                <w:tcPr/>
                <w:p>
                  <w:pPr>
                    <w:pStyle w:val="Compact"/>
                    <w:jc w:val="left"/>
                    <w:jc w:val="center"/>
                  </w:pPr>
                  <w:r>
                    <w:t xml:space="preserve">18 35.29</w:t>
                  </w:r>
                </w:p>
              </w:tc>
              <w:tc>
                <w:tcPr/>
                <w:p>
                  <w:pPr>
                    <w:pStyle w:val="Compact"/>
                    <w:jc w:val="left"/>
                    <w:jc w:val="center"/>
                  </w:pPr>
                  <w:r>
                    <w:t xml:space="preserve">12 23.53</w:t>
                  </w:r>
                </w:p>
              </w:tc>
            </w:tr>
            <w:tr>
              <w:tc>
                <w:tcPr/>
                <w:p>
                  <w:pPr>
                    <w:pStyle w:val="Compact"/>
                    <w:jc w:val="left"/>
                    <w:jc w:val="center"/>
                  </w:pPr>
                  <w:r>
                    <w:t xml:space="preserve">Total</w:t>
                  </w:r>
                </w:p>
              </w:tc>
              <w:tc>
                <w:tcPr/>
                <w:p>
                  <w:pPr>
                    <w:pStyle w:val="Compact"/>
                    <w:jc w:val="left"/>
                    <w:jc w:val="center"/>
                  </w:pPr>
                  <w:r>
                    <w:t xml:space="preserve">138 56.33</w:t>
                  </w:r>
                </w:p>
              </w:tc>
              <w:tc>
                <w:tcPr/>
                <w:p>
                  <w:pPr>
                    <w:pStyle w:val="Compact"/>
                    <w:jc w:val="left"/>
                    <w:jc w:val="center"/>
                  </w:pPr>
                  <w:r>
                    <w:t xml:space="preserve">54 22.04</w:t>
                  </w:r>
                </w:p>
              </w:tc>
              <w:tc>
                <w:tcPr/>
                <w:p>
                  <w:pPr>
                    <w:pStyle w:val="Compact"/>
                    <w:jc w:val="left"/>
                    <w:jc w:val="center"/>
                  </w:pPr>
                  <w:r>
                    <w:t xml:space="preserve">53 21.63</w:t>
                  </w:r>
                </w:p>
              </w:tc>
            </w:tr>
          </w:tbl>
          <w:bookmarkEnd w:id="38"/>
          <w:p/>
        </w:tc>
      </w:tr>
    </w:tbl>
    <w:p>
      <w:r>
        <w:br w:type="page"/>
      </w:r>
    </w:p>
    <w:p>
      <w:pPr>
        <w:pStyle w:val="BodyText"/>
      </w:pPr>
      <w:r>
        <w:t xml:space="preserve">Note: an additional header row with</w:t>
      </w:r>
      <w:r>
        <w:t xml:space="preserve"> </w:t>
      </w:r>
      <w:r>
        <w:t xml:space="preserve">“</w:t>
      </w:r>
      <w:r>
        <w:t xml:space="preserve">Mean</w:t>
      </w:r>
      <w:r>
        <w:t xml:space="preserve">”</w:t>
      </w:r>
      <w:r>
        <w:t xml:space="preserve">,</w:t>
      </w:r>
      <w:r>
        <w:t xml:space="preserve"> </w:t>
      </w:r>
      <w:r>
        <w:t xml:space="preserve">“</w:t>
      </w:r>
      <w:r>
        <w:t xml:space="preserve">Q1</w:t>
      </w:r>
      <w:r>
        <w:t xml:space="preserve">”</w:t>
      </w:r>
      <w:r>
        <w:t xml:space="preserve">, and</w:t>
      </w:r>
      <w:r>
        <w:t xml:space="preserve"> </w:t>
      </w:r>
      <w:r>
        <w:t xml:space="preserve">“</w:t>
      </w:r>
      <w:r>
        <w:t xml:space="preserve">Q3</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9" w:name="tbl-clustenv"/>
          <w:p>
            <w:pPr>
              <w:jc w:val="center"/>
            </w:pPr>
            <w:pPr>
              <w:jc w:val="start"/>
              <w:spacing w:before="200"/>
              <w:pStyle w:val="ImageCaption"/>
            </w:pPr>
            <w:r>
              <w:t xml:space="preserve">Table 5: Summary of environmental conditions associated with predator clusters. See Table 1 for descriptions of environmental variables. Environmental variables that differed significantly (p &lt; 0.05) between clusters are indicated with an asterisk (Kruskal-Wallis test with Bonferroni correction).</w:t>
            </w:r>
          </w:p>
          <w:tbl>
            <w:tblPr>
              <w:tblStyle w:val="Table"/>
              <w:tblW w:type="pct" w:w="5000"/>
              <w:tblLayout w:type="fixed"/>
              <w:tblLook w:firstRow="1" w:lastRow="0" w:firstColumn="0" w:lastColumn="0" w:noHBand="0" w:noVBand="0" w:val="0020"/>
            </w:tblPr>
            <w:tblGrid>
              <w:gridCol w:w="2489"/>
              <w:gridCol w:w="1810"/>
              <w:gridCol w:w="1810"/>
              <w:gridCol w:w="1810"/>
            </w:tblGrid>
            <w:tr>
              <w:trPr>
                <w:tblHeader w:val="on"/>
              </w:trPr>
              <w:tc>
                <w:tcPr/>
                <w:p>
                  <w:pPr>
                    <w:pStyle w:val="Compact"/>
                    <w:jc w:val="left"/>
                    <w:jc w:val="center"/>
                  </w:pPr>
                  <w:r>
                    <w:t xml:space="preserve">Variable</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UML depth (m)</w:t>
                  </w:r>
                </w:p>
              </w:tc>
              <w:tc>
                <w:tcPr/>
                <w:p>
                  <w:pPr>
                    <w:pStyle w:val="Compact"/>
                    <w:jc w:val="left"/>
                    <w:jc w:val="center"/>
                  </w:pPr>
                  <w:r>
                    <w:t xml:space="preserve">99.5 64.8 118.</w:t>
                  </w:r>
                </w:p>
              </w:tc>
              <w:tc>
                <w:tcPr/>
                <w:p>
                  <w:pPr>
                    <w:pStyle w:val="Compact"/>
                    <w:jc w:val="left"/>
                    <w:jc w:val="center"/>
                  </w:pPr>
                  <w:r>
                    <w:t xml:space="preserve">120. 73.0 139.</w:t>
                  </w:r>
                </w:p>
              </w:tc>
              <w:tc>
                <w:tcPr/>
                <w:p>
                  <w:pPr>
                    <w:pStyle w:val="Compact"/>
                    <w:jc w:val="left"/>
                    <w:jc w:val="center"/>
                  </w:pPr>
                  <w:r>
                    <w:t xml:space="preserve">126. 72.0 174.</w:t>
                  </w:r>
                </w:p>
              </w:tc>
            </w:tr>
            <w:tr>
              <w:tc>
                <w:tcPr/>
                <w:p>
                  <w:pPr>
                    <w:pStyle w:val="Compact"/>
                    <w:jc w:val="left"/>
                    <w:jc w:val="center"/>
                  </w:pPr>
                  <w:r>
                    <w:t xml:space="preserve">Temperature (°C) *</w:t>
                  </w:r>
                </w:p>
              </w:tc>
              <w:tc>
                <w:tcPr/>
                <w:p>
                  <w:pPr>
                    <w:pStyle w:val="Compact"/>
                    <w:jc w:val="left"/>
                    <w:jc w:val="center"/>
                  </w:pPr>
                  <w:r>
                    <w:t xml:space="preserve">-1.73 -1.82 -1.69</w:t>
                  </w:r>
                </w:p>
              </w:tc>
              <w:tc>
                <w:tcPr/>
                <w:p>
                  <w:pPr>
                    <w:pStyle w:val="Compact"/>
                    <w:jc w:val="left"/>
                    <w:jc w:val="center"/>
                  </w:pPr>
                  <w:r>
                    <w:t xml:space="preserve">-1.73 -1.81 -1.69</w:t>
                  </w:r>
                </w:p>
              </w:tc>
              <w:tc>
                <w:tcPr/>
                <w:p>
                  <w:pPr>
                    <w:pStyle w:val="Compact"/>
                    <w:jc w:val="left"/>
                    <w:jc w:val="center"/>
                  </w:pPr>
                  <w:r>
                    <w:t xml:space="preserve">-1.80 -1.84 -1.76</w:t>
                  </w:r>
                </w:p>
              </w:tc>
            </w:tr>
            <w:tr>
              <w:tc>
                <w:tcPr/>
                <w:p>
                  <w:pPr>
                    <w:pStyle w:val="Compact"/>
                    <w:jc w:val="left"/>
                    <w:jc w:val="center"/>
                  </w:pPr>
                  <w:r>
                    <w:t xml:space="preserve">Salinity (PSU) *</w:t>
                  </w:r>
                </w:p>
              </w:tc>
              <w:tc>
                <w:tcPr/>
                <w:p>
                  <w:pPr>
                    <w:pStyle w:val="Compact"/>
                    <w:jc w:val="left"/>
                    <w:jc w:val="center"/>
                  </w:pPr>
                  <w:r>
                    <w:t xml:space="preserve">34.1 33.9 34.2</w:t>
                  </w:r>
                </w:p>
              </w:tc>
              <w:tc>
                <w:tcPr/>
                <w:p>
                  <w:pPr>
                    <w:pStyle w:val="Compact"/>
                    <w:jc w:val="left"/>
                    <w:jc w:val="center"/>
                  </w:pPr>
                  <w:r>
                    <w:t xml:space="preserve">34.2 34.1 34.3</w:t>
                  </w:r>
                </w:p>
              </w:tc>
              <w:tc>
                <w:tcPr/>
                <w:p>
                  <w:pPr>
                    <w:pStyle w:val="Compact"/>
                    <w:jc w:val="left"/>
                    <w:jc w:val="center"/>
                  </w:pPr>
                  <w:r>
                    <w:t xml:space="preserve">34.3 34.1 34.4</w:t>
                  </w:r>
                </w:p>
              </w:tc>
            </w:tr>
            <w:tr>
              <w:tc>
                <w:tcPr/>
                <w:p>
                  <w:pPr>
                    <w:pStyle w:val="Compact"/>
                    <w:jc w:val="left"/>
                    <w:jc w:val="center"/>
                  </w:pPr>
                  <w:r>
                    <w:t xml:space="preserve">Chl a (mg m−2) *</w:t>
                  </w:r>
                </w:p>
              </w:tc>
              <w:tc>
                <w:tcPr/>
                <w:p>
                  <w:pPr>
                    <w:pStyle w:val="Compact"/>
                    <w:jc w:val="left"/>
                    <w:jc w:val="center"/>
                  </w:pPr>
                  <w:r>
                    <w:t xml:space="preserve">13.4 8.63 16.4</w:t>
                  </w:r>
                </w:p>
              </w:tc>
              <w:tc>
                <w:tcPr/>
                <w:p>
                  <w:pPr>
                    <w:pStyle w:val="Compact"/>
                    <w:jc w:val="left"/>
                    <w:jc w:val="center"/>
                  </w:pPr>
                  <w:r>
                    <w:t xml:space="preserve">13.0 7.98 16.9</w:t>
                  </w:r>
                </w:p>
              </w:tc>
              <w:tc>
                <w:tcPr/>
                <w:p>
                  <w:pPr>
                    <w:pStyle w:val="Compact"/>
                    <w:jc w:val="left"/>
                    <w:jc w:val="center"/>
                  </w:pPr>
                  <w:r>
                    <w:t xml:space="preserve">9.39 5.76 13.1</w:t>
                  </w:r>
                </w:p>
              </w:tc>
            </w:tr>
            <w:tr>
              <w:tc>
                <w:tcPr/>
                <w:p>
                  <w:pPr>
                    <w:pStyle w:val="Compact"/>
                    <w:jc w:val="left"/>
                    <w:jc w:val="center"/>
                  </w:pPr>
                  <w:r>
                    <w:t xml:space="preserve">Phaeopigment (mg m−2)</w:t>
                  </w:r>
                </w:p>
              </w:tc>
              <w:tc>
                <w:tcPr/>
                <w:p>
                  <w:pPr>
                    <w:pStyle w:val="Compact"/>
                    <w:jc w:val="left"/>
                    <w:jc w:val="center"/>
                  </w:pPr>
                  <w:r>
                    <w:t xml:space="preserve">3.73 2.24 4.96</w:t>
                  </w:r>
                </w:p>
              </w:tc>
              <w:tc>
                <w:tcPr/>
                <w:p>
                  <w:pPr>
                    <w:pStyle w:val="Compact"/>
                    <w:jc w:val="left"/>
                    <w:jc w:val="center"/>
                  </w:pPr>
                  <w:r>
                    <w:t xml:space="preserve">3.30 1.67 4.14</w:t>
                  </w:r>
                </w:p>
              </w:tc>
              <w:tc>
                <w:tcPr/>
                <w:p>
                  <w:pPr>
                    <w:pStyle w:val="Compact"/>
                    <w:jc w:val="left"/>
                    <w:jc w:val="center"/>
                  </w:pPr>
                  <w:r>
                    <w:t xml:space="preserve">2.96 1.13 3.72</w:t>
                  </w:r>
                </w:p>
              </w:tc>
            </w:tr>
          </w:tbl>
          <w:bookmarkEnd w:id="39"/>
          <w:p/>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tbl-predprey"/>
          <w:p>
            <w:pPr>
              <w:jc w:val="center"/>
            </w:pPr>
            <w:pPr>
              <w:jc w:val="start"/>
              <w:spacing w:before="200"/>
              <w:pStyle w:val="ImageCaption"/>
            </w:pPr>
            <w:r>
              <w:t xml:space="preserve">Table 6: Contingency table of predator and macrozooplankton clusters. Macrozooplankton cluster names (1, 2a, 2b, 3a, 3b) from</w:t>
            </w:r>
            <w:r>
              <w:t xml:space="preserve"> </w:t>
            </w:r>
            <w:r>
              <w:t xml:space="preserve">Dietrich et al. (2021)</w:t>
            </w:r>
            <w:r>
              <w:t xml:space="preserve">. Significant differences (p &lt; 0.05) are indicated in bold with asterisks (post hoc analysis of the Pearson residuals).</w:t>
            </w:r>
          </w:p>
          <w:tbl>
            <w:tblPr>
              <w:tblStyle w:val="Table"/>
              <w:tblW w:type="pct" w:w="5000"/>
              <w:tblLayout w:type="fixed"/>
              <w:tblLook w:firstRow="1" w:lastRow="0" w:firstColumn="0" w:lastColumn="0" w:noHBand="0" w:noVBand="0" w:val="0020"/>
            </w:tblPr>
            <w:tblGrid>
              <w:gridCol w:w="2404"/>
              <w:gridCol w:w="990"/>
              <w:gridCol w:w="990"/>
              <w:gridCol w:w="1272"/>
              <w:gridCol w:w="1131"/>
              <w:gridCol w:w="1131"/>
            </w:tblGrid>
            <w:tr>
              <w:trPr>
                <w:tblHeader w:val="on"/>
              </w:trPr>
              <w:tc>
                <w:tcPr/>
                <w:p>
                  <w:pPr>
                    <w:pStyle w:val="Compact"/>
                    <w:jc w:val="left"/>
                    <w:jc w:val="center"/>
                  </w:pPr>
                  <w:r>
                    <w:t xml:space="preserve">Predator cluster</w:t>
                  </w:r>
                </w:p>
              </w:tc>
              <w:tc>
                <w:tcPr/>
                <w:p>
                  <w:pPr>
                    <w:pStyle w:val="Compact"/>
                    <w:jc w:val="left"/>
                    <w:jc w:val="center"/>
                  </w:pPr>
                  <w:r>
                    <w:t xml:space="preserve">1</w:t>
                  </w:r>
                </w:p>
              </w:tc>
              <w:tc>
                <w:tcPr/>
                <w:p>
                  <w:pPr>
                    <w:pStyle w:val="Compact"/>
                    <w:jc w:val="left"/>
                    <w:jc w:val="center"/>
                  </w:pPr>
                  <w:r>
                    <w:t xml:space="preserve">2a</w:t>
                  </w:r>
                </w:p>
              </w:tc>
              <w:tc>
                <w:tcPr/>
                <w:p>
                  <w:pPr>
                    <w:pStyle w:val="Compact"/>
                    <w:jc w:val="left"/>
                    <w:jc w:val="center"/>
                  </w:pPr>
                  <w:r>
                    <w:t xml:space="preserve">2b</w:t>
                  </w:r>
                </w:p>
              </w:tc>
              <w:tc>
                <w:tcPr/>
                <w:p>
                  <w:pPr>
                    <w:pStyle w:val="Compact"/>
                    <w:jc w:val="left"/>
                    <w:jc w:val="center"/>
                  </w:pPr>
                  <w:r>
                    <w:t xml:space="preserve">3a</w:t>
                  </w:r>
                </w:p>
              </w:tc>
              <w:tc>
                <w:tcPr/>
                <w:p>
                  <w:pPr>
                    <w:pStyle w:val="Compact"/>
                    <w:jc w:val="left"/>
                    <w:jc w:val="center"/>
                  </w:pPr>
                  <w:r>
                    <w:t xml:space="preserve">3b</w:t>
                  </w:r>
                </w:p>
              </w:tc>
            </w:tr>
            <w:tr>
              <w:tc>
                <w:tcPr/>
                <w:p>
                  <w:pPr>
                    <w:pStyle w:val="Compact"/>
                    <w:jc w:val="left"/>
                    <w:jc w:val="center"/>
                  </w:pPr>
                  <w:r>
                    <w:t xml:space="preserve">Open water</w:t>
                  </w:r>
                </w:p>
              </w:tc>
              <w:tc>
                <w:tcPr/>
                <w:p>
                  <w:pPr>
                    <w:pStyle w:val="Compact"/>
                    <w:jc w:val="left"/>
                    <w:jc w:val="center"/>
                  </w:pPr>
                  <w:r>
                    <w:t xml:space="preserve">55 58.6</w:t>
                  </w:r>
                </w:p>
              </w:tc>
              <w:tc>
                <w:tcPr/>
                <w:p>
                  <w:pPr>
                    <w:pStyle w:val="Compact"/>
                    <w:jc w:val="left"/>
                    <w:jc w:val="center"/>
                  </w:pPr>
                  <w:r>
                    <w:t xml:space="preserve">41 33.8</w:t>
                  </w:r>
                </w:p>
              </w:tc>
              <w:tc>
                <w:tcPr/>
                <w:p>
                  <w:pPr>
                    <w:pStyle w:val="Compact"/>
                    <w:jc w:val="left"/>
                    <w:jc w:val="center"/>
                  </w:pPr>
                  <w:r>
                    <w:t xml:space="preserve">33* 22.5*</w:t>
                  </w:r>
                </w:p>
              </w:tc>
              <w:tc>
                <w:tcPr/>
                <w:p>
                  <w:pPr>
                    <w:pStyle w:val="Compact"/>
                    <w:jc w:val="left"/>
                    <w:jc w:val="center"/>
                  </w:pPr>
                  <w:r>
                    <w:t xml:space="preserve">7 11.8</w:t>
                  </w:r>
                </w:p>
              </w:tc>
              <w:tc>
                <w:tcPr/>
                <w:p>
                  <w:pPr>
                    <w:pStyle w:val="Compact"/>
                    <w:jc w:val="left"/>
                    <w:jc w:val="center"/>
                  </w:pPr>
                  <w:r>
                    <w:t xml:space="preserve">2* 11.3*</w:t>
                  </w:r>
                </w:p>
              </w:tc>
            </w:tr>
            <w:tr>
              <w:tc>
                <w:tcPr/>
                <w:p>
                  <w:pPr>
                    <w:pStyle w:val="Compact"/>
                    <w:jc w:val="left"/>
                    <w:jc w:val="center"/>
                  </w:pPr>
                  <w:r>
                    <w:t xml:space="preserve">Marginal ice</w:t>
                  </w:r>
                </w:p>
              </w:tc>
              <w:tc>
                <w:tcPr/>
                <w:p>
                  <w:pPr>
                    <w:pStyle w:val="Compact"/>
                    <w:jc w:val="left"/>
                    <w:jc w:val="center"/>
                  </w:pPr>
                  <w:r>
                    <w:t xml:space="preserve">23 22.9</w:t>
                  </w:r>
                </w:p>
              </w:tc>
              <w:tc>
                <w:tcPr/>
                <w:p>
                  <w:pPr>
                    <w:pStyle w:val="Compact"/>
                    <w:jc w:val="left"/>
                    <w:jc w:val="center"/>
                  </w:pPr>
                  <w:r>
                    <w:t xml:space="preserve">12 13.2</w:t>
                  </w:r>
                </w:p>
              </w:tc>
              <w:tc>
                <w:tcPr/>
                <w:p>
                  <w:pPr>
                    <w:pStyle w:val="Compact"/>
                    <w:jc w:val="left"/>
                    <w:jc w:val="center"/>
                  </w:pPr>
                  <w:r>
                    <w:t xml:space="preserve">6 8.8</w:t>
                  </w:r>
                </w:p>
              </w:tc>
              <w:tc>
                <w:tcPr/>
                <w:p>
                  <w:pPr>
                    <w:pStyle w:val="Compact"/>
                    <w:jc w:val="left"/>
                    <w:jc w:val="center"/>
                  </w:pPr>
                  <w:r>
                    <w:t xml:space="preserve">1 4.6</w:t>
                  </w:r>
                </w:p>
              </w:tc>
              <w:tc>
                <w:tcPr/>
                <w:p>
                  <w:pPr>
                    <w:pStyle w:val="Compact"/>
                    <w:jc w:val="left"/>
                    <w:jc w:val="center"/>
                  </w:pPr>
                  <w:r>
                    <w:t xml:space="preserve">12* 4.4*</w:t>
                  </w:r>
                </w:p>
              </w:tc>
            </w:tr>
            <w:tr>
              <w:tc>
                <w:tcPr/>
                <w:p>
                  <w:pPr>
                    <w:pStyle w:val="Compact"/>
                    <w:jc w:val="left"/>
                    <w:jc w:val="center"/>
                  </w:pPr>
                  <w:r>
                    <w:t xml:space="preserve">Pack ice</w:t>
                  </w:r>
                </w:p>
              </w:tc>
              <w:tc>
                <w:tcPr/>
                <w:p>
                  <w:pPr>
                    <w:pStyle w:val="Compact"/>
                    <w:jc w:val="left"/>
                    <w:jc w:val="center"/>
                  </w:pPr>
                  <w:r>
                    <w:t xml:space="preserve">26 22.5</w:t>
                  </w:r>
                </w:p>
              </w:tc>
              <w:tc>
                <w:tcPr/>
                <w:p>
                  <w:pPr>
                    <w:pStyle w:val="Compact"/>
                    <w:jc w:val="left"/>
                    <w:jc w:val="center"/>
                  </w:pPr>
                  <w:r>
                    <w:t xml:space="preserve">7 13</w:t>
                  </w:r>
                </w:p>
              </w:tc>
              <w:tc>
                <w:tcPr/>
                <w:p>
                  <w:pPr>
                    <w:pStyle w:val="Compact"/>
                    <w:jc w:val="left"/>
                    <w:jc w:val="center"/>
                  </w:pPr>
                  <w:r>
                    <w:t xml:space="preserve">1* 8.7*</w:t>
                  </w:r>
                </w:p>
              </w:tc>
              <w:tc>
                <w:tcPr/>
                <w:p>
                  <w:pPr>
                    <w:pStyle w:val="Compact"/>
                    <w:jc w:val="left"/>
                    <w:jc w:val="center"/>
                  </w:pPr>
                  <w:r>
                    <w:t xml:space="preserve">13* 4.5*</w:t>
                  </w:r>
                </w:p>
              </w:tc>
              <w:tc>
                <w:tcPr/>
                <w:p>
                  <w:pPr>
                    <w:pStyle w:val="Compact"/>
                    <w:jc w:val="left"/>
                    <w:jc w:val="center"/>
                  </w:pPr>
                  <w:r>
                    <w:t xml:space="preserve">6 4.3</w:t>
                  </w:r>
                </w:p>
              </w:tc>
            </w:tr>
          </w:tbl>
          <w:bookmarkEnd w:id="40"/>
          <w:p/>
        </w:tc>
      </w:tr>
    </w:tbl>
    <w:p>
      <w:r>
        <w:br w:type="page"/>
      </w:r>
    </w:p>
    <w:bookmarkEnd w:id="41"/>
    <w:bookmarkStart w:id="66"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45" w:name="fig-overviewmap"/>
          <w:p>
            <w:pPr>
              <w:pStyle w:val="Compact"/>
              <w:jc w:val="center"/>
            </w:pPr>
            <w:r>
              <w:drawing>
                <wp:inline>
                  <wp:extent cx="4175999" cy="4175999"/>
                  <wp:effectExtent b="0" l="0" r="0" t="0"/>
                  <wp:docPr descr="" title="" id="43" name="Picture"/>
                  <a:graphic>
                    <a:graphicData uri="http://schemas.openxmlformats.org/drawingml/2006/picture">
                      <pic:pic>
                        <pic:nvPicPr>
                          <pic:cNvPr descr="images/fig-overviewmap.png" id="44" name="Picture"/>
                          <pic:cNvPicPr>
                            <a:picLocks noChangeArrowheads="1" noChangeAspect="1"/>
                          </pic:cNvPicPr>
                        </pic:nvPicPr>
                        <pic:blipFill>
                          <a:blip r:embed="rId42"/>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top6map"/>
          <w:p>
            <w:pPr>
              <w:pStyle w:val="Compact"/>
              <w:jc w:val="center"/>
            </w:pPr>
            <w:r>
              <w:drawing>
                <wp:inline>
                  <wp:extent cx="5943600" cy="4255476"/>
                  <wp:effectExtent b="0" l="0" r="0" t="0"/>
                  <wp:docPr descr="" title="" id="47" name="Picture"/>
                  <a:graphic>
                    <a:graphicData uri="http://schemas.openxmlformats.org/drawingml/2006/picture">
                      <pic:pic>
                        <pic:nvPicPr>
                          <pic:cNvPr descr="../figures/fig-top6map-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9"/>
        </w:tc>
      </w:tr>
    </w:tbl>
    <w:p>
      <w:r>
        <w:br w:type="page"/>
      </w:r>
    </w:p>
    <w:tbl>
      <w:tblPr>
        <w:tblStyle w:val="Table"/>
        <w:tblW w:type="pct" w:w="5000"/>
        <w:tblLayout w:type="fixed"/>
        <w:tblLook w:firstRow="0" w:lastRow="0" w:firstColumn="0" w:lastColumn="0" w:noHBand="0" w:noVBand="0" w:val="0000"/>
      </w:tblPr>
      <w:tblGrid>
        <w:gridCol w:w="7920"/>
      </w:tblGrid>
      <w:tr>
        <w:tc>
          <w:tcPr/>
          <w:bookmarkStart w:id="53" w:name="fig-seaice"/>
          <w:p>
            <w:pPr>
              <w:pStyle w:val="Compact"/>
              <w:jc w:val="center"/>
            </w:pPr>
            <w:r>
              <w:drawing>
                <wp:inline>
                  <wp:extent cx="5943600" cy="4255476"/>
                  <wp:effectExtent b="0" l="0" r="0" t="0"/>
                  <wp:docPr descr="" title="" id="51" name="Picture"/>
                  <a:graphic>
                    <a:graphicData uri="http://schemas.openxmlformats.org/drawingml/2006/picture">
                      <pic:pic>
                        <pic:nvPicPr>
                          <pic:cNvPr descr="../figures/fig-seaice-1.png" id="52" name="Picture"/>
                          <pic:cNvPicPr>
                            <a:picLocks noChangeArrowheads="1" noChangeAspect="1"/>
                          </pic:cNvPicPr>
                        </pic:nvPicPr>
                        <pic:blipFill>
                          <a:blip r:embed="rId50"/>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53"/>
        </w:tc>
      </w:tr>
    </w:tbl>
    <w:p>
      <w:r>
        <w:br w:type="page"/>
      </w:r>
    </w:p>
    <w:tbl>
      <w:tblPr>
        <w:tblStyle w:val="Table"/>
        <w:tblW w:type="pct" w:w="5000"/>
        <w:tblLayout w:type="fixed"/>
        <w:tblLook w:firstRow="0" w:lastRow="0" w:firstColumn="0" w:lastColumn="0" w:noHBand="0" w:noVBand="0" w:val="0000"/>
      </w:tblPr>
      <w:tblGrid>
        <w:gridCol w:w="7920"/>
      </w:tblGrid>
      <w:tr>
        <w:tc>
          <w:tcPr/>
          <w:bookmarkStart w:id="57" w:name="fig-predclustannual"/>
          <w:p>
            <w:pPr>
              <w:pStyle w:val="Compact"/>
              <w:jc w:val="center"/>
            </w:pPr>
            <w:r>
              <w:drawing>
                <wp:inline>
                  <wp:extent cx="5943600" cy="4255476"/>
                  <wp:effectExtent b="0" l="0" r="0" t="0"/>
                  <wp:docPr descr="" title="" id="55" name="Picture"/>
                  <a:graphic>
                    <a:graphicData uri="http://schemas.openxmlformats.org/drawingml/2006/picture">
                      <pic:pic>
                        <pic:nvPicPr>
                          <pic:cNvPr descr="../figures/fig-predclustannual-1.png" id="56" name="Picture"/>
                          <pic:cNvPicPr>
                            <a:picLocks noChangeArrowheads="1" noChangeAspect="1"/>
                          </pic:cNvPicPr>
                        </pic:nvPicPr>
                        <pic:blipFill>
                          <a:blip r:embed="rId54"/>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7"/>
        </w:tc>
      </w:tr>
    </w:tbl>
    <w:p>
      <w:r>
        <w:br w:type="page"/>
      </w:r>
    </w:p>
    <w:tbl>
      <w:tblPr>
        <w:tblStyle w:val="Table"/>
        <w:tblW w:type="pct" w:w="5000"/>
        <w:tblLayout w:type="fixed"/>
        <w:tblLook w:firstRow="0" w:lastRow="0" w:firstColumn="0" w:lastColumn="0" w:noHBand="0" w:noVBand="0" w:val="0000"/>
      </w:tblPr>
      <w:tblGrid>
        <w:gridCol w:w="7920"/>
      </w:tblGrid>
      <w:tr>
        <w:tc>
          <w:tcPr/>
          <w:bookmarkStart w:id="61" w:name="fig-predclustkde"/>
          <w:p>
            <w:pPr>
              <w:pStyle w:val="Compact"/>
              <w:jc w:val="center"/>
            </w:pPr>
            <w:r>
              <w:drawing>
                <wp:inline>
                  <wp:extent cx="5943600" cy="2004646"/>
                  <wp:effectExtent b="0" l="0" r="0" t="0"/>
                  <wp:docPr descr="" title="" id="59" name="Picture"/>
                  <a:graphic>
                    <a:graphicData uri="http://schemas.openxmlformats.org/drawingml/2006/picture">
                      <pic:pic>
                        <pic:nvPicPr>
                          <pic:cNvPr descr="../figures/fig-predclustkde-1.png" id="60" name="Picture"/>
                          <pic:cNvPicPr>
                            <a:picLocks noChangeArrowheads="1" noChangeAspect="1"/>
                          </pic:cNvPicPr>
                        </pic:nvPicPr>
                        <pic:blipFill>
                          <a:blip r:embed="rId58"/>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61"/>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fig-nmds"/>
          <w:p>
            <w:pPr>
              <w:pStyle w:val="Compact"/>
              <w:jc w:val="center"/>
            </w:pPr>
            <w:r>
              <w:drawing>
                <wp:inline>
                  <wp:extent cx="5943600" cy="3516923"/>
                  <wp:effectExtent b="0" l="0" r="0" t="0"/>
                  <wp:docPr descr="" title="" id="63" name="Picture"/>
                  <a:graphic>
                    <a:graphicData uri="http://schemas.openxmlformats.org/drawingml/2006/picture">
                      <pic:pic>
                        <pic:nvPicPr>
                          <pic:cNvPr descr="../figures/fig-nmds-1.png" id="64" name="Picture"/>
                          <pic:cNvPicPr>
                            <a:picLocks noChangeArrowheads="1" noChangeAspect="1"/>
                          </pic:cNvPicPr>
                        </pic:nvPicPr>
                        <pic:blipFill>
                          <a:blip r:embed="rId62"/>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5"/>
        </w:tc>
      </w:tr>
    </w:tbl>
    <w:p>
      <w:r>
        <w:br w:type="page"/>
      </w:r>
    </w:p>
    <w:bookmarkEnd w:id="66"/>
    <w:bookmarkStart w:id="71" w:name="supplemental-material"/>
    <w:p>
      <w:pPr>
        <w:pStyle w:val="Heading1"/>
      </w:pPr>
      <w:r>
        <w:t xml:space="preserve">Supplemental material</w:t>
      </w:r>
    </w:p>
    <w:bookmarkStart w:id="70" w:name="supplemental-tables"/>
    <w:p>
      <w:pPr>
        <w:pStyle w:val="Heading2"/>
      </w:pPr>
      <w:r>
        <w:t xml:space="preserve">Supplemental tables</w:t>
      </w:r>
    </w:p>
    <w:p>
      <w:pPr>
        <w:pStyle w:val="FirstParagraph"/>
      </w:pPr>
      <w:r>
        <w:t xml:space="preserve">Note: an additional header row with</w:t>
      </w:r>
      <w:r>
        <w:t xml:space="preserve"> </w:t>
      </w:r>
      <w:r>
        <w:t xml:space="preserve">“</w:t>
      </w:r>
      <w:r>
        <w:t xml:space="preserve">Survey effort</w:t>
      </w:r>
      <w:r>
        <w:t xml:space="preserve">”</w:t>
      </w:r>
      <w:r>
        <w:t xml:space="preserve"> </w:t>
      </w:r>
      <w:r>
        <w:t xml:space="preserve">and</w:t>
      </w:r>
      <w:r>
        <w:t xml:space="preserve"> </w:t>
      </w:r>
      <w:r>
        <w:t xml:space="preserve">“</w:t>
      </w:r>
      <w:r>
        <w:t xml:space="preserve">Ice conditions</w:t>
      </w:r>
      <w:r>
        <w:t xml:space="preserve">”</w:t>
      </w:r>
      <w:r>
        <w:t xml:space="preserve"> </w:t>
      </w:r>
      <w:r>
        <w:t xml:space="preserve">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67" w:name="supptbl-effortice"/>
          <w:p>
            <w:pPr>
              <w:jc w:val="center"/>
            </w:pPr>
            <w:pPr>
              <w:jc w:val="start"/>
              <w:spacing w:before="200"/>
              <w:pStyle w:val="ImageCaption"/>
            </w:pPr>
            <w:r>
              <w:t xml:space="preserve">Table S1: Survey effort and ice conditions by year. Under</w:t>
            </w:r>
            <w:r>
              <w:t xml:space="preserve"> </w:t>
            </w:r>
            <w:r>
              <w:rPr>
                <w:b/>
                <w:bCs/>
              </w:rPr>
              <w:t xml:space="preserve">Survey effort</w:t>
            </w:r>
            <w:r>
              <w:t xml:space="preserve">,</w:t>
            </w:r>
            <w:r>
              <w:t xml:space="preserve"> </w:t>
            </w:r>
            <w:r>
              <w:rPr>
                <w:b/>
                <w:bCs/>
              </w:rPr>
              <w:t xml:space="preserve">Stations sampled</w:t>
            </w:r>
            <w:r>
              <w:t xml:space="preserve"> </w:t>
            </w:r>
            <w:r>
              <w:t xml:space="preserve">and</w:t>
            </w:r>
            <w:r>
              <w:t xml:space="preserve"> </w:t>
            </w:r>
            <w:r>
              <w:rPr>
                <w:b/>
                <w:bCs/>
              </w:rPr>
              <w:t xml:space="preserve">Effort per station</w:t>
            </w:r>
            <w:r>
              <w:t xml:space="preserve"> </w:t>
            </w:r>
            <w:r>
              <w:t xml:space="preserve">indicate how many stations were sampled in that year and the amount of visual survey effort associated with each station (summarized as mean ± standard deviation). Under</w:t>
            </w:r>
            <w:r>
              <w:t xml:space="preserve"> </w:t>
            </w:r>
            <w:r>
              <w:rPr>
                <w:b/>
                <w:bCs/>
              </w:rPr>
              <w:t xml:space="preserve">Ice conditions</w:t>
            </w:r>
            <w:r>
              <w:t xml:space="preserve">, each column describes a different ice category, indicating the number of stations and the ice coverage (summarized as mean ± standard error). Note: some visual surveys did not record ice conditions, so the total number of stations under</w:t>
            </w:r>
            <w:r>
              <w:t xml:space="preserve"> </w:t>
            </w:r>
            <w:r>
              <w:rPr>
                <w:b/>
                <w:bCs/>
              </w:rPr>
              <w:t xml:space="preserve">Ice conditions</w:t>
            </w:r>
            <w:r>
              <w:t xml:space="preserve"> </w:t>
            </w:r>
            <w:r>
              <w:t xml:space="preserve">may not equal the</w:t>
            </w:r>
            <w:r>
              <w:t xml:space="preserve"> </w:t>
            </w:r>
            <w:r>
              <w:rPr>
                <w:b/>
                <w:bCs/>
              </w:rPr>
              <w:t xml:space="preserve">Stations sampled</w:t>
            </w:r>
            <w:r>
              <w:t xml:space="preserve">.</w:t>
            </w:r>
          </w:p>
          <w:tbl>
            <w:tblPr>
              <w:tblStyle w:val="Table"/>
              <w:tblW w:type="pct" w:w="5000"/>
              <w:tblLayout w:type="fixed"/>
              <w:tblLook w:firstRow="1" w:lastRow="0" w:firstColumn="0" w:lastColumn="0" w:noHBand="0" w:noVBand="0" w:val="0020"/>
            </w:tblPr>
            <w:tblGrid>
              <w:gridCol w:w="386"/>
              <w:gridCol w:w="1094"/>
              <w:gridCol w:w="1545"/>
              <w:gridCol w:w="386"/>
              <w:gridCol w:w="1094"/>
              <w:gridCol w:w="1159"/>
              <w:gridCol w:w="1159"/>
              <w:gridCol w:w="1094"/>
            </w:tblGrid>
            <w:tr>
              <w:trPr>
                <w:tblHeader w:val="on"/>
              </w:trPr>
              <w:tc>
                <w:tcPr/>
                <w:p>
                  <w:pPr>
                    <w:pStyle w:val="Compact"/>
                    <w:jc w:val="left"/>
                    <w:jc w:val="center"/>
                  </w:pPr>
                  <w:r>
                    <w:t xml:space="preserve">Year</w:t>
                  </w:r>
                </w:p>
              </w:tc>
              <w:tc>
                <w:tcPr/>
                <w:p>
                  <w:pPr>
                    <w:pStyle w:val="Compact"/>
                    <w:jc w:val="right"/>
                    <w:jc w:val="center"/>
                  </w:pPr>
                  <w:r>
                    <w:t xml:space="preserve">Stations sampled</w:t>
                  </w:r>
                </w:p>
              </w:tc>
              <w:tc>
                <w:tcPr/>
                <w:p>
                  <w:pPr>
                    <w:pStyle w:val="Compact"/>
                    <w:jc w:val="left"/>
                    <w:jc w:val="center"/>
                  </w:pPr>
                  <w:r>
                    <w:t xml:space="preserve">Effort per station (km)</w:t>
                  </w:r>
                </w:p>
              </w:tc>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Thin ice</w:t>
                  </w:r>
                </w:p>
              </w:tc>
              <w:tc>
                <w:tcPr/>
                <w:p>
                  <w:pPr>
                    <w:pStyle w:val="Compact"/>
                    <w:jc w:val="left"/>
                    <w:jc w:val="center"/>
                  </w:pPr>
                  <w:r>
                    <w:t xml:space="preserve">First-year ice</w:t>
                  </w:r>
                </w:p>
              </w:tc>
              <w:tc>
                <w:tcPr/>
                <w:p>
                  <w:pPr>
                    <w:pStyle w:val="Compact"/>
                    <w:jc w:val="left"/>
                    <w:jc w:val="center"/>
                  </w:pPr>
                  <w:r>
                    <w:t xml:space="preserve">Multi-year ice</w:t>
                  </w:r>
                </w:p>
              </w:tc>
            </w:tr>
            <w:tr>
              <w:tc>
                <w:tcPr/>
                <w:p>
                  <w:pPr>
                    <w:pStyle w:val="Compact"/>
                    <w:jc w:val="left"/>
                    <w:jc w:val="center"/>
                  </w:pPr>
                  <w:r>
                    <w:t xml:space="preserve">2012</w:t>
                  </w:r>
                </w:p>
              </w:tc>
              <w:tc>
                <w:tcPr/>
                <w:p>
                  <w:pPr>
                    <w:pStyle w:val="Compact"/>
                    <w:jc w:val="right"/>
                    <w:jc w:val="center"/>
                  </w:pPr>
                  <w:r>
                    <w:t xml:space="preserve">19</w:t>
                  </w:r>
                </w:p>
              </w:tc>
              <w:tc>
                <w:tcPr/>
                <w:p>
                  <w:pPr>
                    <w:pStyle w:val="Compact"/>
                    <w:jc w:val="left"/>
                    <w:jc w:val="center"/>
                  </w:pPr>
                  <w:r>
                    <w:t xml:space="preserve">34.9 ± 8.8</w:t>
                  </w:r>
                </w:p>
              </w:tc>
              <w:tc>
                <w:tcPr/>
                <w:p>
                  <w:pPr>
                    <w:pStyle w:val="Compact"/>
                    <w:jc w:val="left"/>
                    <w:jc w:val="center"/>
                  </w:pPr>
                  <w:r>
                    <w:t xml:space="preserve">2012</w:t>
                  </w:r>
                </w:p>
              </w:tc>
              <w:tc>
                <w:tcPr/>
                <w:p>
                  <w:pPr>
                    <w:pStyle w:val="Compact"/>
                    <w:jc w:val="left"/>
                    <w:jc w:val="center"/>
                  </w:pPr>
                  <w:r>
                    <w:t xml:space="preserve">14 (2.4% ± 0.0%)</w:t>
                  </w:r>
                </w:p>
              </w:tc>
              <w:tc>
                <w:tcPr/>
                <w:p>
                  <w:pPr>
                    <w:pStyle w:val="Compact"/>
                    <w:jc w:val="left"/>
                    <w:jc w:val="center"/>
                  </w:pPr>
                  <w:r>
                    <w:t xml:space="preserve">1 (10.0% ± 0.3%)</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2013</w:t>
                  </w:r>
                </w:p>
              </w:tc>
              <w:tc>
                <w:tcPr/>
                <w:p>
                  <w:pPr>
                    <w:pStyle w:val="Compact"/>
                    <w:jc w:val="right"/>
                    <w:jc w:val="center"/>
                  </w:pPr>
                  <w:r>
                    <w:t xml:space="preserve">47</w:t>
                  </w:r>
                </w:p>
              </w:tc>
              <w:tc>
                <w:tcPr/>
                <w:p>
                  <w:pPr>
                    <w:pStyle w:val="Compact"/>
                    <w:jc w:val="left"/>
                    <w:jc w:val="center"/>
                  </w:pPr>
                  <w:r>
                    <w:t xml:space="preserve">38.5 ± 13.5</w:t>
                  </w:r>
                </w:p>
              </w:tc>
              <w:tc>
                <w:tcPr/>
                <w:p>
                  <w:pPr>
                    <w:pStyle w:val="Compact"/>
                    <w:jc w:val="left"/>
                    <w:jc w:val="center"/>
                  </w:pPr>
                  <w:r>
                    <w:t xml:space="preserve">2013</w:t>
                  </w:r>
                </w:p>
              </w:tc>
              <w:tc>
                <w:tcPr/>
                <w:p>
                  <w:pPr>
                    <w:pStyle w:val="Compact"/>
                    <w:jc w:val="left"/>
                    <w:jc w:val="center"/>
                  </w:pPr>
                  <w:r>
                    <w:t xml:space="preserve">3 (16.3% ± 0.2%)</w:t>
                  </w:r>
                </w:p>
              </w:tc>
              <w:tc>
                <w:tcPr/>
                <w:p>
                  <w:pPr>
                    <w:pStyle w:val="Compact"/>
                    <w:jc w:val="left"/>
                    <w:jc w:val="center"/>
                  </w:pPr>
                  <w:r>
                    <w:t xml:space="preserve">22 (51.2% ± 0.1%)</w:t>
                  </w:r>
                </w:p>
              </w:tc>
              <w:tc>
                <w:tcPr/>
                <w:p>
                  <w:pPr>
                    <w:pStyle w:val="Compact"/>
                    <w:jc w:val="left"/>
                    <w:jc w:val="center"/>
                  </w:pPr>
                  <w:r>
                    <w:t xml:space="preserve">20 (67.0% ± 0.1%)</w:t>
                  </w:r>
                </w:p>
              </w:tc>
              <w:tc>
                <w:tcPr/>
                <w:p>
                  <w:pPr>
                    <w:pStyle w:val="Compact"/>
                    <w:jc w:val="left"/>
                    <w:jc w:val="center"/>
                  </w:pPr>
                  <w:r>
                    <w:t xml:space="preserve">0</w:t>
                  </w:r>
                </w:p>
              </w:tc>
            </w:tr>
            <w:tr>
              <w:tc>
                <w:tcPr/>
                <w:p>
                  <w:pPr>
                    <w:pStyle w:val="Compact"/>
                    <w:jc w:val="left"/>
                    <w:jc w:val="center"/>
                  </w:pPr>
                  <w:r>
                    <w:t xml:space="preserve">2014</w:t>
                  </w:r>
                </w:p>
              </w:tc>
              <w:tc>
                <w:tcPr/>
                <w:p>
                  <w:pPr>
                    <w:pStyle w:val="Compact"/>
                    <w:jc w:val="right"/>
                    <w:jc w:val="center"/>
                  </w:pPr>
                  <w:r>
                    <w:t xml:space="preserve">68</w:t>
                  </w:r>
                </w:p>
              </w:tc>
              <w:tc>
                <w:tcPr/>
                <w:p>
                  <w:pPr>
                    <w:pStyle w:val="Compact"/>
                    <w:jc w:val="left"/>
                    <w:jc w:val="center"/>
                  </w:pPr>
                  <w:r>
                    <w:t xml:space="preserve">26.6 ± 7.0</w:t>
                  </w:r>
                </w:p>
              </w:tc>
              <w:tc>
                <w:tcPr/>
                <w:p>
                  <w:pPr>
                    <w:pStyle w:val="Compact"/>
                    <w:jc w:val="left"/>
                    <w:jc w:val="center"/>
                  </w:pPr>
                  <w:r>
                    <w:t xml:space="preserve">2014</w:t>
                  </w:r>
                </w:p>
              </w:tc>
              <w:tc>
                <w:tcPr/>
                <w:p>
                  <w:pPr>
                    <w:pStyle w:val="Compact"/>
                    <w:jc w:val="left"/>
                    <w:jc w:val="center"/>
                  </w:pPr>
                  <w:r>
                    <w:t xml:space="preserve">9 (10.5% ± 0.1%)</w:t>
                  </w:r>
                </w:p>
              </w:tc>
              <w:tc>
                <w:tcPr/>
                <w:p>
                  <w:pPr>
                    <w:pStyle w:val="Compact"/>
                    <w:jc w:val="left"/>
                    <w:jc w:val="center"/>
                  </w:pPr>
                  <w:r>
                    <w:t xml:space="preserve">10 (55.2% ± 0.2%)</w:t>
                  </w:r>
                </w:p>
              </w:tc>
              <w:tc>
                <w:tcPr/>
                <w:p>
                  <w:pPr>
                    <w:pStyle w:val="Compact"/>
                    <w:jc w:val="left"/>
                    <w:jc w:val="center"/>
                  </w:pPr>
                  <w:r>
                    <w:t xml:space="preserve">48 (44.8% ± 0.1%)</w:t>
                  </w:r>
                </w:p>
              </w:tc>
              <w:tc>
                <w:tcPr/>
                <w:p>
                  <w:pPr>
                    <w:pStyle w:val="Compact"/>
                    <w:jc w:val="left"/>
                    <w:jc w:val="center"/>
                  </w:pPr>
                  <w:r>
                    <w:t xml:space="preserve">0</w:t>
                  </w:r>
                </w:p>
              </w:tc>
            </w:tr>
            <w:tr>
              <w:tc>
                <w:tcPr/>
                <w:p>
                  <w:pPr>
                    <w:pStyle w:val="Compact"/>
                    <w:jc w:val="left"/>
                    <w:jc w:val="center"/>
                  </w:pPr>
                  <w:r>
                    <w:t xml:space="preserve">2015</w:t>
                  </w:r>
                </w:p>
              </w:tc>
              <w:tc>
                <w:tcPr/>
                <w:p>
                  <w:pPr>
                    <w:pStyle w:val="Compact"/>
                    <w:jc w:val="right"/>
                    <w:jc w:val="center"/>
                  </w:pPr>
                  <w:r>
                    <w:t xml:space="preserve">60</w:t>
                  </w:r>
                </w:p>
              </w:tc>
              <w:tc>
                <w:tcPr/>
                <w:p>
                  <w:pPr>
                    <w:pStyle w:val="Compact"/>
                    <w:jc w:val="left"/>
                    <w:jc w:val="center"/>
                  </w:pPr>
                  <w:r>
                    <w:t xml:space="preserve">27.8 ± 8.5</w:t>
                  </w:r>
                </w:p>
              </w:tc>
              <w:tc>
                <w:tcPr/>
                <w:p>
                  <w:pPr>
                    <w:pStyle w:val="Compact"/>
                    <w:jc w:val="left"/>
                    <w:jc w:val="center"/>
                  </w:pPr>
                  <w:r>
                    <w:t xml:space="preserve">2015</w:t>
                  </w:r>
                </w:p>
              </w:tc>
              <w:tc>
                <w:tcPr/>
                <w:p>
                  <w:pPr>
                    <w:pStyle w:val="Compact"/>
                    <w:jc w:val="left"/>
                    <w:jc w:val="center"/>
                  </w:pPr>
                  <w:r>
                    <w:t xml:space="preserve">13 (4.6% ± 0.1%)</w:t>
                  </w:r>
                </w:p>
              </w:tc>
              <w:tc>
                <w:tcPr/>
                <w:p>
                  <w:pPr>
                    <w:pStyle w:val="Compact"/>
                    <w:jc w:val="left"/>
                    <w:jc w:val="center"/>
                  </w:pPr>
                  <w:r>
                    <w:t xml:space="preserve">36 (56.6% ± 0.1%)</w:t>
                  </w:r>
                </w:p>
              </w:tc>
              <w:tc>
                <w:tcPr/>
                <w:p>
                  <w:pPr>
                    <w:pStyle w:val="Compact"/>
                    <w:jc w:val="left"/>
                    <w:jc w:val="center"/>
                  </w:pPr>
                  <w:r>
                    <w:t xml:space="preserve">10 (73.1% ± 0.1%)</w:t>
                  </w:r>
                </w:p>
              </w:tc>
              <w:tc>
                <w:tcPr/>
                <w:p>
                  <w:pPr>
                    <w:pStyle w:val="Compact"/>
                    <w:jc w:val="left"/>
                    <w:jc w:val="center"/>
                  </w:pPr>
                  <w:r>
                    <w:t xml:space="preserve">0</w:t>
                  </w:r>
                </w:p>
              </w:tc>
            </w:tr>
            <w:tr>
              <w:tc>
                <w:tcPr/>
                <w:p>
                  <w:pPr>
                    <w:pStyle w:val="Compact"/>
                    <w:jc w:val="left"/>
                    <w:jc w:val="center"/>
                  </w:pPr>
                  <w:r>
                    <w:t xml:space="preserve">2016</w:t>
                  </w:r>
                </w:p>
              </w:tc>
              <w:tc>
                <w:tcPr/>
                <w:p>
                  <w:pPr>
                    <w:pStyle w:val="Compact"/>
                    <w:jc w:val="right"/>
                    <w:jc w:val="center"/>
                  </w:pPr>
                  <w:r>
                    <w:t xml:space="preserve">51</w:t>
                  </w:r>
                </w:p>
              </w:tc>
              <w:tc>
                <w:tcPr/>
                <w:p>
                  <w:pPr>
                    <w:pStyle w:val="Compact"/>
                    <w:jc w:val="left"/>
                    <w:jc w:val="center"/>
                  </w:pPr>
                  <w:r>
                    <w:t xml:space="preserve">28.4 ± 8.3</w:t>
                  </w:r>
                </w:p>
              </w:tc>
              <w:tc>
                <w:tcPr/>
                <w:p>
                  <w:pPr>
                    <w:pStyle w:val="Compact"/>
                    <w:jc w:val="left"/>
                    <w:jc w:val="center"/>
                  </w:pPr>
                  <w:r>
                    <w:t xml:space="preserve">2016</w:t>
                  </w:r>
                </w:p>
              </w:tc>
              <w:tc>
                <w:tcPr/>
                <w:p>
                  <w:pPr>
                    <w:pStyle w:val="Compact"/>
                    <w:jc w:val="left"/>
                    <w:jc w:val="center"/>
                  </w:pPr>
                  <w:r>
                    <w:t xml:space="preserve">7 (8.9% ± 0.1%)</w:t>
                  </w:r>
                </w:p>
              </w:tc>
              <w:tc>
                <w:tcPr/>
                <w:p>
                  <w:pPr>
                    <w:pStyle w:val="Compact"/>
                    <w:jc w:val="left"/>
                    <w:jc w:val="center"/>
                  </w:pPr>
                  <w:r>
                    <w:t xml:space="preserve">30 (59.3% ± 0.1%)</w:t>
                  </w:r>
                </w:p>
              </w:tc>
              <w:tc>
                <w:tcPr/>
                <w:p>
                  <w:pPr>
                    <w:pStyle w:val="Compact"/>
                    <w:jc w:val="left"/>
                    <w:jc w:val="center"/>
                  </w:pPr>
                  <w:r>
                    <w:t xml:space="preserve">12 (75.8% ± 0.1%)</w:t>
                  </w:r>
                </w:p>
              </w:tc>
              <w:tc>
                <w:tcPr/>
                <w:p>
                  <w:pPr>
                    <w:pStyle w:val="Compact"/>
                    <w:jc w:val="left"/>
                    <w:jc w:val="center"/>
                  </w:pPr>
                  <w:r>
                    <w:t xml:space="preserve">1 (13.0% ± 0.3%)</w:t>
                  </w:r>
                </w:p>
              </w:tc>
            </w:tr>
            <w:tr>
              <w:tc>
                <w:tcPr/>
                <w:p>
                  <w:pPr>
                    <w:pStyle w:val="Compact"/>
                    <w:jc w:val="left"/>
                    <w:jc w:val="center"/>
                  </w:pPr>
                  <w:r>
                    <w:t xml:space="preserve">Total</w:t>
                  </w:r>
                </w:p>
              </w:tc>
              <w:tc>
                <w:tcPr/>
                <w:p>
                  <w:pPr>
                    <w:pStyle w:val="Compact"/>
                    <w:jc w:val="right"/>
                    <w:jc w:val="center"/>
                  </w:pPr>
                  <w:r>
                    <w:t xml:space="preserve">245</w:t>
                  </w:r>
                </w:p>
              </w:tc>
              <w:tc>
                <w:tcPr/>
                <w:p>
                  <w:pPr>
                    <w:pStyle w:val="Compact"/>
                    <w:jc w:val="left"/>
                    <w:jc w:val="center"/>
                  </w:pPr>
                  <w:r>
                    <w:t xml:space="preserve">30.2 ± 10.3</w:t>
                  </w:r>
                </w:p>
              </w:tc>
              <w:tc>
                <w:tcPr/>
                <w:p>
                  <w:pPr>
                    <w:pStyle w:val="Compact"/>
                    <w:jc w:val="left"/>
                    <w:jc w:val="center"/>
                  </w:pPr>
                  <w:r>
                    <w:t xml:space="preserve">Total</w:t>
                  </w:r>
                </w:p>
              </w:tc>
              <w:tc>
                <w:tcPr/>
                <w:p>
                  <w:pPr>
                    <w:pStyle w:val="Compact"/>
                    <w:jc w:val="left"/>
                    <w:jc w:val="center"/>
                  </w:pPr>
                  <w:r>
                    <w:t xml:space="preserve">46 (6.5% ± 0.0%)</w:t>
                  </w:r>
                </w:p>
              </w:tc>
              <w:tc>
                <w:tcPr/>
                <w:p>
                  <w:pPr>
                    <w:pStyle w:val="Compact"/>
                    <w:jc w:val="left"/>
                    <w:jc w:val="center"/>
                  </w:pPr>
                  <w:r>
                    <w:t xml:space="preserve">99 (55.6% ± 0.0%)</w:t>
                  </w:r>
                </w:p>
              </w:tc>
              <w:tc>
                <w:tcPr/>
                <w:p>
                  <w:pPr>
                    <w:pStyle w:val="Compact"/>
                    <w:jc w:val="left"/>
                    <w:jc w:val="center"/>
                  </w:pPr>
                  <w:r>
                    <w:t xml:space="preserve">90 (57.0% ± 0.1%)</w:t>
                  </w:r>
                </w:p>
              </w:tc>
              <w:tc>
                <w:tcPr/>
                <w:p>
                  <w:pPr>
                    <w:pStyle w:val="Compact"/>
                    <w:jc w:val="left"/>
                    <w:jc w:val="center"/>
                  </w:pPr>
                  <w:r>
                    <w:t xml:space="preserve">1 (13.0% ± 0.3%)</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supptbl-densfreq"/>
          <w:p>
            <w:pPr>
              <w:jc w:val="center"/>
            </w:pPr>
            <w:pPr>
              <w:jc w:val="start"/>
              <w:spacing w:before="200"/>
              <w:pStyle w:val="ImageCaption"/>
            </w:pPr>
            <w:r>
              <w:t xml:space="preserve">Table S2: Density (ind km</w:t>
            </w:r>
            <w:r>
              <w:rPr>
                <w:vertAlign w:val="superscript"/>
              </w:rPr>
              <w:t xml:space="preserve">-1</w:t>
            </w:r>
            <w:r>
              <w:t xml:space="preserve">) and frequency (% sites present) of predators within and across clusters. See</w:t>
            </w:r>
            <w:r>
              <w:t xml:space="preserve"> </w:t>
            </w:r>
            <w:hyperlink w:anchor="tbl-predators">
              <w:r>
                <w:rPr>
                  <w:rStyle w:val="Hyperlink"/>
                </w:rPr>
                <w:t xml:space="preserve">Table 2</w:t>
              </w:r>
            </w:hyperlink>
            <w:r>
              <w:t xml:space="preserve"> </w:t>
            </w:r>
            <w:r>
              <w:t xml:space="preserve">for scientific names. Note: we removed sites with no observed predators from the cluster analysis, so the frequencies in the</w:t>
            </w:r>
            <w:r>
              <w:t xml:space="preserve"> </w:t>
            </w:r>
            <w:r>
              <w:rPr>
                <w:b/>
                <w:bCs/>
              </w:rPr>
              <w:t xml:space="preserve">All clusters</w:t>
            </w:r>
            <w:r>
              <w:t xml:space="preserve"> </w:t>
            </w:r>
            <w:r>
              <w:t xml:space="preserve">column are greater than the frequencies in</w:t>
            </w:r>
            <w:r>
              <w:t xml:space="preserve"> </w:t>
            </w:r>
            <w:hyperlink w:anchor="tbl-predators">
              <w:r>
                <w:rPr>
                  <w:rStyle w:val="Hyperlink"/>
                </w:rPr>
                <w:t xml:space="preserve">Table 2</w:t>
              </w:r>
            </w:hyperlink>
            <w:r>
              <w:t xml:space="preserve"> </w:t>
            </w:r>
            <w:r>
              <w:t xml:space="preserve">(which included sites without predators).</w:t>
            </w:r>
          </w:p>
          <w:tbl>
            <w:tblPr>
              <w:tblStyle w:val="Table"/>
              <w:tblW w:type="pct" w:w="5000"/>
              <w:tblLayout w:type="fixed"/>
              <w:tblLook w:firstRow="1" w:lastRow="0" w:firstColumn="0" w:lastColumn="0" w:noHBand="0" w:noVBand="0" w:val="0020"/>
            </w:tblPr>
            <w:tblGrid>
              <w:gridCol w:w="2205"/>
              <w:gridCol w:w="1403"/>
              <w:gridCol w:w="1503"/>
              <w:gridCol w:w="1403"/>
              <w:gridCol w:w="1403"/>
            </w:tblGrid>
            <w:tr>
              <w:trPr>
                <w:tblHeader w:val="on"/>
              </w:trPr>
              <w:tc>
                <w:tcPr/>
                <w:p>
                  <w:pPr>
                    <w:pStyle w:val="Compact"/>
                    <w:jc w:val="left"/>
                    <w:jc w:val="center"/>
                  </w:pPr>
                  <w:r>
                    <w:t xml:space="preserve">Species</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c>
                <w:tcPr/>
                <w:p>
                  <w:pPr>
                    <w:pStyle w:val="Compact"/>
                    <w:jc w:val="left"/>
                    <w:jc w:val="center"/>
                  </w:pPr>
                  <w:r>
                    <w:t xml:space="preserve">All clusters</w:t>
                  </w:r>
                </w:p>
              </w:tc>
            </w:tr>
            <w:tr>
              <w:tc>
                <w:tcPr/>
                <w:p>
                  <w:pPr>
                    <w:pStyle w:val="Compact"/>
                    <w:jc w:val="left"/>
                    <w:jc w:val="center"/>
                  </w:pPr>
                  <w:r>
                    <w:t xml:space="preserve">Snow petrel</w:t>
                  </w:r>
                </w:p>
              </w:tc>
              <w:tc>
                <w:tcPr/>
                <w:p>
                  <w:pPr>
                    <w:pStyle w:val="Compact"/>
                    <w:jc w:val="left"/>
                    <w:jc w:val="center"/>
                  </w:pPr>
                  <w:r>
                    <w:t xml:space="preserve">1.554 (95.7%)</w:t>
                  </w:r>
                </w:p>
              </w:tc>
              <w:tc>
                <w:tcPr/>
                <w:p>
                  <w:pPr>
                    <w:pStyle w:val="Compact"/>
                    <w:jc w:val="left"/>
                    <w:jc w:val="center"/>
                  </w:pPr>
                  <w:r>
                    <w:t xml:space="preserve">3.116 (96.3%)</w:t>
                  </w:r>
                </w:p>
              </w:tc>
              <w:tc>
                <w:tcPr/>
                <w:p>
                  <w:pPr>
                    <w:pStyle w:val="Compact"/>
                    <w:jc w:val="left"/>
                    <w:jc w:val="center"/>
                  </w:pPr>
                  <w:r>
                    <w:t xml:space="preserve">0.463 (92.5%)</w:t>
                  </w:r>
                </w:p>
              </w:tc>
              <w:tc>
                <w:tcPr/>
                <w:p>
                  <w:pPr>
                    <w:pStyle w:val="Compact"/>
                    <w:jc w:val="left"/>
                    <w:jc w:val="center"/>
                  </w:pPr>
                  <w:r>
                    <w:t xml:space="preserve">1.665 (95.1%)</w:t>
                  </w:r>
                </w:p>
              </w:tc>
            </w:tr>
            <w:tr>
              <w:tc>
                <w:tcPr/>
                <w:p>
                  <w:pPr>
                    <w:pStyle w:val="Compact"/>
                    <w:jc w:val="left"/>
                    <w:jc w:val="center"/>
                  </w:pPr>
                  <w:r>
                    <w:t xml:space="preserve">Adélie penguin</w:t>
                  </w:r>
                </w:p>
              </w:tc>
              <w:tc>
                <w:tcPr/>
                <w:p>
                  <w:pPr>
                    <w:pStyle w:val="Compact"/>
                    <w:jc w:val="left"/>
                    <w:jc w:val="center"/>
                  </w:pPr>
                  <w:r>
                    <w:t xml:space="preserve">0.004 (6.5%)</w:t>
                  </w:r>
                </w:p>
              </w:tc>
              <w:tc>
                <w:tcPr/>
                <w:p>
                  <w:pPr>
                    <w:pStyle w:val="Compact"/>
                    <w:jc w:val="left"/>
                    <w:jc w:val="center"/>
                  </w:pPr>
                  <w:r>
                    <w:t xml:space="preserve">4.036 (42.6%)</w:t>
                  </w:r>
                </w:p>
              </w:tc>
              <w:tc>
                <w:tcPr/>
                <w:p>
                  <w:pPr>
                    <w:pStyle w:val="Compact"/>
                    <w:jc w:val="left"/>
                    <w:jc w:val="center"/>
                  </w:pPr>
                  <w:r>
                    <w:t xml:space="preserve">0.948 (67.9%)</w:t>
                  </w:r>
                </w:p>
              </w:tc>
              <w:tc>
                <w:tcPr/>
                <w:p>
                  <w:pPr>
                    <w:pStyle w:val="Compact"/>
                    <w:jc w:val="left"/>
                    <w:jc w:val="center"/>
                  </w:pPr>
                  <w:r>
                    <w:t xml:space="preserve">1.153 (27.8%)</w:t>
                  </w:r>
                </w:p>
              </w:tc>
            </w:tr>
            <w:tr>
              <w:tc>
                <w:tcPr/>
                <w:p>
                  <w:pPr>
                    <w:pStyle w:val="Compact"/>
                    <w:jc w:val="left"/>
                    <w:jc w:val="center"/>
                  </w:pPr>
                  <w:r>
                    <w:t xml:space="preserve">Antarctic fur seal</w:t>
                  </w:r>
                </w:p>
              </w:tc>
              <w:tc>
                <w:tcPr/>
                <w:p>
                  <w:pPr>
                    <w:pStyle w:val="Compact"/>
                    <w:jc w:val="left"/>
                    <w:jc w:val="center"/>
                  </w:pPr>
                  <w:r>
                    <w:t xml:space="preserve">0.073 (50.7%)</w:t>
                  </w:r>
                </w:p>
              </w:tc>
              <w:tc>
                <w:tcPr/>
                <w:p>
                  <w:pPr>
                    <w:pStyle w:val="Compact"/>
                    <w:jc w:val="left"/>
                    <w:jc w:val="center"/>
                  </w:pPr>
                  <w:r>
                    <w:t xml:space="preserve">2.892 (100.0%)</w:t>
                  </w:r>
                </w:p>
              </w:tc>
              <w:tc>
                <w:tcPr/>
                <w:p>
                  <w:pPr>
                    <w:pStyle w:val="Compact"/>
                    <w:jc w:val="left"/>
                    <w:jc w:val="center"/>
                  </w:pPr>
                  <w:r>
                    <w:t xml:space="preserve">0.121 (52.8%)</w:t>
                  </w:r>
                </w:p>
              </w:tc>
              <w:tc>
                <w:tcPr/>
                <w:p>
                  <w:pPr>
                    <w:pStyle w:val="Compact"/>
                    <w:jc w:val="left"/>
                    <w:jc w:val="center"/>
                  </w:pPr>
                  <w:r>
                    <w:t xml:space="preserve">0.736 (62.0%)</w:t>
                  </w:r>
                </w:p>
              </w:tc>
            </w:tr>
            <w:tr>
              <w:tc>
                <w:tcPr/>
                <w:p>
                  <w:pPr>
                    <w:pStyle w:val="Compact"/>
                    <w:jc w:val="left"/>
                    <w:jc w:val="center"/>
                  </w:pPr>
                  <w:r>
                    <w:t xml:space="preserve">Crabeater seal</w:t>
                  </w:r>
                </w:p>
              </w:tc>
              <w:tc>
                <w:tcPr/>
                <w:p>
                  <w:pPr>
                    <w:pStyle w:val="Compact"/>
                    <w:jc w:val="left"/>
                    <w:jc w:val="center"/>
                  </w:pPr>
                  <w:r>
                    <w:t xml:space="preserve">0.005 (6.5%)</w:t>
                  </w:r>
                </w:p>
              </w:tc>
              <w:tc>
                <w:tcPr/>
                <w:p>
                  <w:pPr>
                    <w:pStyle w:val="Compact"/>
                    <w:jc w:val="left"/>
                    <w:jc w:val="center"/>
                  </w:pPr>
                  <w:r>
                    <w:t xml:space="preserve">0.437 (38.9%)</w:t>
                  </w:r>
                </w:p>
              </w:tc>
              <w:tc>
                <w:tcPr/>
                <w:p>
                  <w:pPr>
                    <w:pStyle w:val="Compact"/>
                    <w:jc w:val="left"/>
                    <w:jc w:val="center"/>
                  </w:pPr>
                  <w:r>
                    <w:t xml:space="preserve">1.380 (52.8%)</w:t>
                  </w:r>
                </w:p>
              </w:tc>
              <w:tc>
                <w:tcPr/>
                <w:p>
                  <w:pPr>
                    <w:pStyle w:val="Compact"/>
                    <w:jc w:val="left"/>
                    <w:jc w:val="center"/>
                  </w:pPr>
                  <w:r>
                    <w:t xml:space="preserve">0.421 (23.7%)</w:t>
                  </w:r>
                </w:p>
              </w:tc>
            </w:tr>
            <w:tr>
              <w:tc>
                <w:tcPr/>
                <w:p>
                  <w:pPr>
                    <w:pStyle w:val="Compact"/>
                    <w:jc w:val="left"/>
                    <w:jc w:val="center"/>
                  </w:pPr>
                  <w:r>
                    <w:t xml:space="preserve">Antarctic petrel</w:t>
                  </w:r>
                </w:p>
              </w:tc>
              <w:tc>
                <w:tcPr/>
                <w:p>
                  <w:pPr>
                    <w:pStyle w:val="Compact"/>
                    <w:jc w:val="left"/>
                    <w:jc w:val="center"/>
                  </w:pPr>
                  <w:r>
                    <w:t xml:space="preserve">0.404 (92.8%)</w:t>
                  </w:r>
                </w:p>
              </w:tc>
              <w:tc>
                <w:tcPr/>
                <w:p>
                  <w:pPr>
                    <w:pStyle w:val="Compact"/>
                    <w:jc w:val="left"/>
                    <w:jc w:val="center"/>
                  </w:pPr>
                  <w:r>
                    <w:t xml:space="preserve">0.258 (85.2%)</w:t>
                  </w:r>
                </w:p>
              </w:tc>
              <w:tc>
                <w:tcPr/>
                <w:p>
                  <w:pPr>
                    <w:pStyle w:val="Compact"/>
                    <w:jc w:val="left"/>
                    <w:jc w:val="center"/>
                  </w:pPr>
                  <w:r>
                    <w:t xml:space="preserve">0.177 (66.0%)</w:t>
                  </w:r>
                </w:p>
              </w:tc>
              <w:tc>
                <w:tcPr/>
                <w:p>
                  <w:pPr>
                    <w:pStyle w:val="Compact"/>
                    <w:jc w:val="left"/>
                    <w:jc w:val="center"/>
                  </w:pPr>
                  <w:r>
                    <w:t xml:space="preserve">0.318 (85.3%)</w:t>
                  </w:r>
                </w:p>
              </w:tc>
            </w:tr>
            <w:tr>
              <w:tc>
                <w:tcPr/>
                <w:p>
                  <w:pPr>
                    <w:pStyle w:val="Compact"/>
                    <w:jc w:val="left"/>
                    <w:jc w:val="center"/>
                  </w:pPr>
                  <w:r>
                    <w:t xml:space="preserve">Southern fulmar</w:t>
                  </w:r>
                </w:p>
              </w:tc>
              <w:tc>
                <w:tcPr/>
                <w:p>
                  <w:pPr>
                    <w:pStyle w:val="Compact"/>
                    <w:jc w:val="left"/>
                    <w:jc w:val="center"/>
                  </w:pPr>
                  <w:r>
                    <w:t xml:space="preserve">0.240 (59.4%)</w:t>
                  </w:r>
                </w:p>
              </w:tc>
              <w:tc>
                <w:tcPr/>
                <w:p>
                  <w:pPr>
                    <w:pStyle w:val="Compact"/>
                    <w:jc w:val="left"/>
                    <w:jc w:val="center"/>
                  </w:pPr>
                  <w:r>
                    <w:t xml:space="preserve">0.033 (29.6%)</w:t>
                  </w:r>
                </w:p>
              </w:tc>
              <w:tc>
                <w:tcPr/>
                <w:p>
                  <w:pPr>
                    <w:pStyle w:val="Compact"/>
                    <w:jc w:val="left"/>
                    <w:jc w:val="center"/>
                  </w:pPr>
                  <w:r>
                    <w:t xml:space="preserve">0.045 (18.9%)</w:t>
                  </w:r>
                </w:p>
              </w:tc>
              <w:tc>
                <w:tcPr/>
                <w:p>
                  <w:pPr>
                    <w:pStyle w:val="Compact"/>
                    <w:jc w:val="left"/>
                    <w:jc w:val="center"/>
                  </w:pPr>
                  <w:r>
                    <w:t xml:space="preserve">0.147 (44.1%)</w:t>
                  </w:r>
                </w:p>
              </w:tc>
            </w:tr>
            <w:tr>
              <w:tc>
                <w:tcPr/>
                <w:p>
                  <w:pPr>
                    <w:pStyle w:val="Compact"/>
                    <w:jc w:val="left"/>
                    <w:jc w:val="center"/>
                  </w:pPr>
                  <w:r>
                    <w:t xml:space="preserve">Kelp gull</w:t>
                  </w:r>
                </w:p>
              </w:tc>
              <w:tc>
                <w:tcPr/>
                <w:p>
                  <w:pPr>
                    <w:pStyle w:val="Compact"/>
                    <w:jc w:val="left"/>
                    <w:jc w:val="center"/>
                  </w:pPr>
                  <w:r>
                    <w:t xml:space="preserve">0.056 (44.2%)</w:t>
                  </w:r>
                </w:p>
              </w:tc>
              <w:tc>
                <w:tcPr/>
                <w:p>
                  <w:pPr>
                    <w:pStyle w:val="Compact"/>
                    <w:jc w:val="left"/>
                    <w:jc w:val="center"/>
                  </w:pPr>
                  <w:r>
                    <w:t xml:space="preserve">0.158 (74.1%)</w:t>
                  </w:r>
                </w:p>
              </w:tc>
              <w:tc>
                <w:tcPr/>
                <w:p>
                  <w:pPr>
                    <w:pStyle w:val="Compact"/>
                    <w:jc w:val="left"/>
                    <w:jc w:val="center"/>
                  </w:pPr>
                  <w:r>
                    <w:t xml:space="preserve">0.108 (49.1%)</w:t>
                  </w:r>
                </w:p>
              </w:tc>
              <w:tc>
                <w:tcPr/>
                <w:p>
                  <w:pPr>
                    <w:pStyle w:val="Compact"/>
                    <w:jc w:val="left"/>
                    <w:jc w:val="center"/>
                  </w:pPr>
                  <w:r>
                    <w:t xml:space="preserve">0.092 (51.8%)</w:t>
                  </w:r>
                </w:p>
              </w:tc>
            </w:tr>
            <w:tr>
              <w:tc>
                <w:tcPr/>
                <w:p>
                  <w:pPr>
                    <w:pStyle w:val="Compact"/>
                    <w:jc w:val="left"/>
                    <w:jc w:val="center"/>
                  </w:pPr>
                  <w:r>
                    <w:t xml:space="preserve">Blue petrel</w:t>
                  </w:r>
                </w:p>
              </w:tc>
              <w:tc>
                <w:tcPr/>
                <w:p>
                  <w:pPr>
                    <w:pStyle w:val="Compact"/>
                    <w:jc w:val="left"/>
                    <w:jc w:val="center"/>
                  </w:pPr>
                  <w:r>
                    <w:t xml:space="preserve">0.125 (32.6%)</w:t>
                  </w:r>
                </w:p>
              </w:tc>
              <w:tc>
                <w:tcPr/>
                <w:p>
                  <w:pPr>
                    <w:pStyle w:val="Compact"/>
                    <w:jc w:val="left"/>
                    <w:jc w:val="center"/>
                  </w:pPr>
                  <w:r>
                    <w:t xml:space="preserve">0.090 (13.0%)</w:t>
                  </w:r>
                </w:p>
              </w:tc>
              <w:tc>
                <w:tcPr/>
                <w:p>
                  <w:pPr>
                    <w:pStyle w:val="Compact"/>
                    <w:jc w:val="left"/>
                    <w:jc w:val="center"/>
                  </w:pPr>
                  <w:r>
                    <w:t xml:space="preserve">&lt;0.001 (1.9%)</w:t>
                  </w:r>
                </w:p>
              </w:tc>
              <w:tc>
                <w:tcPr/>
                <w:p>
                  <w:pPr>
                    <w:pStyle w:val="Compact"/>
                    <w:jc w:val="left"/>
                    <w:jc w:val="center"/>
                  </w:pPr>
                  <w:r>
                    <w:t xml:space="preserve">0.089 (21.6%)</w:t>
                  </w:r>
                </w:p>
              </w:tc>
            </w:tr>
            <w:tr>
              <w:tc>
                <w:tcPr/>
                <w:p>
                  <w:pPr>
                    <w:pStyle w:val="Compact"/>
                    <w:jc w:val="left"/>
                    <w:jc w:val="center"/>
                  </w:pPr>
                  <w:r>
                    <w:t xml:space="preserve">Southern giant petrel</w:t>
                  </w:r>
                </w:p>
              </w:tc>
              <w:tc>
                <w:tcPr/>
                <w:p>
                  <w:pPr>
                    <w:pStyle w:val="Compact"/>
                    <w:jc w:val="left"/>
                    <w:jc w:val="center"/>
                  </w:pPr>
                  <w:r>
                    <w:t xml:space="preserve">0.084 (73.2%)</w:t>
                  </w:r>
                </w:p>
              </w:tc>
              <w:tc>
                <w:tcPr/>
                <w:p>
                  <w:pPr>
                    <w:pStyle w:val="Compact"/>
                    <w:jc w:val="left"/>
                    <w:jc w:val="center"/>
                  </w:pPr>
                  <w:r>
                    <w:t xml:space="preserve">0.101 (88.9%)</w:t>
                  </w:r>
                </w:p>
              </w:tc>
              <w:tc>
                <w:tcPr/>
                <w:p>
                  <w:pPr>
                    <w:pStyle w:val="Compact"/>
                    <w:jc w:val="left"/>
                    <w:jc w:val="center"/>
                  </w:pPr>
                  <w:r>
                    <w:t xml:space="preserve">0.066 (52.8%)</w:t>
                  </w:r>
                </w:p>
              </w:tc>
              <w:tc>
                <w:tcPr/>
                <w:p>
                  <w:pPr>
                    <w:pStyle w:val="Compact"/>
                    <w:jc w:val="left"/>
                    <w:jc w:val="center"/>
                  </w:pPr>
                  <w:r>
                    <w:t xml:space="preserve">0.084 (72.2%)</w:t>
                  </w:r>
                </w:p>
              </w:tc>
            </w:tr>
            <w:tr>
              <w:tc>
                <w:tcPr/>
                <w:p>
                  <w:pPr>
                    <w:pStyle w:val="Compact"/>
                    <w:jc w:val="left"/>
                    <w:jc w:val="center"/>
                  </w:pPr>
                  <w:r>
                    <w:t xml:space="preserve">Cape petrel</w:t>
                  </w:r>
                </w:p>
              </w:tc>
              <w:tc>
                <w:tcPr/>
                <w:p>
                  <w:pPr>
                    <w:pStyle w:val="Compact"/>
                    <w:jc w:val="left"/>
                    <w:jc w:val="center"/>
                  </w:pPr>
                  <w:r>
                    <w:t xml:space="preserve">0.084 (47.8%)</w:t>
                  </w:r>
                </w:p>
              </w:tc>
              <w:tc>
                <w:tcPr/>
                <w:p>
                  <w:pPr>
                    <w:pStyle w:val="Compact"/>
                    <w:jc w:val="left"/>
                    <w:jc w:val="center"/>
                  </w:pPr>
                  <w:r>
                    <w:t xml:space="preserve">0.116 (20.4%)</w:t>
                  </w:r>
                </w:p>
              </w:tc>
              <w:tc>
                <w:tcPr/>
                <w:p>
                  <w:pPr>
                    <w:pStyle w:val="Compact"/>
                    <w:jc w:val="left"/>
                    <w:jc w:val="center"/>
                  </w:pPr>
                  <w:r>
                    <w:t xml:space="preserve">0.006 (13.2%)</w:t>
                  </w:r>
                </w:p>
              </w:tc>
              <w:tc>
                <w:tcPr/>
                <w:p>
                  <w:pPr>
                    <w:pStyle w:val="Compact"/>
                    <w:jc w:val="left"/>
                    <w:jc w:val="center"/>
                  </w:pPr>
                  <w:r>
                    <w:t xml:space="preserve">0.074 (34.3%)</w:t>
                  </w:r>
                </w:p>
              </w:tc>
            </w:tr>
            <w:tr>
              <w:tc>
                <w:tcPr/>
                <w:p>
                  <w:pPr>
                    <w:pStyle w:val="Compact"/>
                    <w:jc w:val="left"/>
                    <w:jc w:val="center"/>
                  </w:pPr>
                  <w:r>
                    <w:t xml:space="preserve">Leopard seal</w:t>
                  </w:r>
                </w:p>
              </w:tc>
              <w:tc>
                <w:tcPr/>
                <w:p>
                  <w:pPr>
                    <w:pStyle w:val="Compact"/>
                    <w:jc w:val="left"/>
                    <w:jc w:val="center"/>
                  </w:pPr>
                  <w:r>
                    <w:t xml:space="preserve">0.004 (8.7%)</w:t>
                  </w:r>
                </w:p>
              </w:tc>
              <w:tc>
                <w:tcPr/>
                <w:p>
                  <w:pPr>
                    <w:pStyle w:val="Compact"/>
                    <w:jc w:val="left"/>
                    <w:jc w:val="center"/>
                  </w:pPr>
                  <w:r>
                    <w:t xml:space="preserve">0.080 (38.9%)</w:t>
                  </w:r>
                </w:p>
              </w:tc>
              <w:tc>
                <w:tcPr/>
                <w:p>
                  <w:pPr>
                    <w:pStyle w:val="Compact"/>
                    <w:jc w:val="left"/>
                    <w:jc w:val="center"/>
                  </w:pPr>
                  <w:r>
                    <w:t xml:space="preserve">0.025 (30.2%)</w:t>
                  </w:r>
                </w:p>
              </w:tc>
              <w:tc>
                <w:tcPr/>
                <w:p>
                  <w:pPr>
                    <w:pStyle w:val="Compact"/>
                    <w:jc w:val="left"/>
                    <w:jc w:val="center"/>
                  </w:pPr>
                  <w:r>
                    <w:t xml:space="preserve">0.026 (20.0%)</w:t>
                  </w:r>
                </w:p>
              </w:tc>
            </w:tr>
            <w:tr>
              <w:tc>
                <w:tcPr/>
                <w:p>
                  <w:pPr>
                    <w:pStyle w:val="Compact"/>
                    <w:jc w:val="left"/>
                    <w:jc w:val="center"/>
                  </w:pPr>
                  <w:r>
                    <w:t xml:space="preserve">Antarctic tern</w:t>
                  </w:r>
                </w:p>
              </w:tc>
              <w:tc>
                <w:tcPr/>
                <w:p>
                  <w:pPr>
                    <w:pStyle w:val="Compact"/>
                    <w:jc w:val="left"/>
                    <w:jc w:val="center"/>
                  </w:pPr>
                  <w:r>
                    <w:t xml:space="preserve">0.012 (9.4%)</w:t>
                  </w:r>
                </w:p>
              </w:tc>
              <w:tc>
                <w:tcPr/>
                <w:p>
                  <w:pPr>
                    <w:pStyle w:val="Compact"/>
                    <w:jc w:val="left"/>
                    <w:jc w:val="center"/>
                  </w:pPr>
                  <w:r>
                    <w:t xml:space="preserve">0.061 (38.9%)</w:t>
                  </w:r>
                </w:p>
              </w:tc>
              <w:tc>
                <w:tcPr/>
                <w:p>
                  <w:pPr>
                    <w:pStyle w:val="Compact"/>
                    <w:jc w:val="left"/>
                    <w:jc w:val="center"/>
                  </w:pPr>
                  <w:r>
                    <w:t xml:space="preserve">0.003 (5.7%)</w:t>
                  </w:r>
                </w:p>
              </w:tc>
              <w:tc>
                <w:tcPr/>
                <w:p>
                  <w:pPr>
                    <w:pStyle w:val="Compact"/>
                    <w:jc w:val="left"/>
                    <w:jc w:val="center"/>
                  </w:pPr>
                  <w:r>
                    <w:t xml:space="preserve">0.021 (15.1%)</w:t>
                  </w:r>
                </w:p>
              </w:tc>
            </w:tr>
            <w:tr>
              <w:tc>
                <w:tcPr/>
                <w:p>
                  <w:pPr>
                    <w:pStyle w:val="Compact"/>
                    <w:jc w:val="left"/>
                    <w:jc w:val="center"/>
                  </w:pPr>
                  <w:r>
                    <w:t xml:space="preserve">Gentoo penguin</w:t>
                  </w:r>
                </w:p>
              </w:tc>
              <w:tc>
                <w:tcPr/>
                <w:p>
                  <w:pPr>
                    <w:pStyle w:val="Compact"/>
                    <w:jc w:val="left"/>
                    <w:jc w:val="center"/>
                  </w:pPr>
                  <w:r>
                    <w:t xml:space="preserve">0.005 (2.2%)</w:t>
                  </w:r>
                </w:p>
              </w:tc>
              <w:tc>
                <w:tcPr/>
                <w:p>
                  <w:pPr>
                    <w:pStyle w:val="Compact"/>
                    <w:jc w:val="left"/>
                    <w:jc w:val="center"/>
                  </w:pPr>
                  <w:r>
                    <w:t xml:space="preserve">0.054 (5.6%)</w:t>
                  </w:r>
                </w:p>
              </w:tc>
              <w:tc>
                <w:tcPr/>
                <w:p>
                  <w:pPr>
                    <w:pStyle w:val="Compact"/>
                    <w:jc w:val="left"/>
                    <w:jc w:val="center"/>
                  </w:pPr>
                  <w:r>
                    <w:t xml:space="preserve">0.017 (11.3%)</w:t>
                  </w:r>
                </w:p>
              </w:tc>
              <w:tc>
                <w:tcPr/>
                <w:p>
                  <w:pPr>
                    <w:pStyle w:val="Compact"/>
                    <w:jc w:val="left"/>
                    <w:jc w:val="center"/>
                  </w:pPr>
                  <w:r>
                    <w:t xml:space="preserve">0.019 (4.9%)</w:t>
                  </w:r>
                </w:p>
              </w:tc>
            </w:tr>
            <w:tr>
              <w:tc>
                <w:tcPr/>
                <w:p>
                  <w:pPr>
                    <w:pStyle w:val="Compact"/>
                    <w:jc w:val="left"/>
                    <w:jc w:val="center"/>
                  </w:pPr>
                  <w:r>
                    <w:t xml:space="preserve">Antarctic shag</w:t>
                  </w:r>
                </w:p>
              </w:tc>
              <w:tc>
                <w:tcPr/>
                <w:p>
                  <w:pPr>
                    <w:pStyle w:val="Compact"/>
                    <w:jc w:val="left"/>
                    <w:jc w:val="center"/>
                  </w:pPr>
                  <w:r>
                    <w:t xml:space="preserve">0.022 (0.7%)</w:t>
                  </w:r>
                </w:p>
              </w:tc>
              <w:tc>
                <w:tcPr/>
                <w:p>
                  <w:pPr>
                    <w:pStyle w:val="Compact"/>
                    <w:jc w:val="left"/>
                    <w:jc w:val="center"/>
                  </w:pPr>
                  <w:r>
                    <w:t xml:space="preserve">0.000 (0.0%)</w:t>
                  </w:r>
                </w:p>
              </w:tc>
              <w:tc>
                <w:tcPr/>
                <w:p>
                  <w:pPr>
                    <w:pStyle w:val="Compact"/>
                    <w:jc w:val="left"/>
                    <w:jc w:val="center"/>
                  </w:pPr>
                  <w:r>
                    <w:t xml:space="preserve">0.000 (0.0%)</w:t>
                  </w:r>
                </w:p>
              </w:tc>
              <w:tc>
                <w:tcPr/>
                <w:p>
                  <w:pPr>
                    <w:pStyle w:val="Compact"/>
                    <w:jc w:val="left"/>
                    <w:jc w:val="center"/>
                  </w:pPr>
                  <w:r>
                    <w:t xml:space="preserve">0.012 (0.4%)</w:t>
                  </w:r>
                </w:p>
              </w:tc>
            </w:tr>
            <w:tr>
              <w:tc>
                <w:tcPr/>
                <w:p>
                  <w:pPr>
                    <w:pStyle w:val="Compact"/>
                    <w:jc w:val="left"/>
                    <w:jc w:val="center"/>
                  </w:pPr>
                  <w:r>
                    <w:t xml:space="preserve">Killer whale</w:t>
                  </w:r>
                </w:p>
              </w:tc>
              <w:tc>
                <w:tcPr/>
                <w:p>
                  <w:pPr>
                    <w:pStyle w:val="Compact"/>
                    <w:jc w:val="left"/>
                    <w:jc w:val="center"/>
                  </w:pPr>
                  <w:r>
                    <w:t xml:space="preserve">0.000 (0.0%)</w:t>
                  </w:r>
                </w:p>
              </w:tc>
              <w:tc>
                <w:tcPr/>
                <w:p>
                  <w:pPr>
                    <w:pStyle w:val="Compact"/>
                    <w:jc w:val="left"/>
                    <w:jc w:val="center"/>
                  </w:pPr>
                  <w:r>
                    <w:t xml:space="preserve">0.023 (5.6%)</w:t>
                  </w:r>
                </w:p>
              </w:tc>
              <w:tc>
                <w:tcPr/>
                <w:p>
                  <w:pPr>
                    <w:pStyle w:val="Compact"/>
                    <w:jc w:val="left"/>
                    <w:jc w:val="center"/>
                  </w:pPr>
                  <w:r>
                    <w:t xml:space="preserve">0.005 (3.8%)</w:t>
                  </w:r>
                </w:p>
              </w:tc>
              <w:tc>
                <w:tcPr/>
                <w:p>
                  <w:pPr>
                    <w:pStyle w:val="Compact"/>
                    <w:jc w:val="left"/>
                    <w:jc w:val="center"/>
                  </w:pPr>
                  <w:r>
                    <w:t xml:space="preserve">0.006 (2.0%)</w:t>
                  </w:r>
                </w:p>
              </w:tc>
            </w:tr>
            <w:tr>
              <w:tc>
                <w:tcPr/>
                <w:p>
                  <w:pPr>
                    <w:pStyle w:val="Compact"/>
                    <w:jc w:val="left"/>
                    <w:jc w:val="center"/>
                  </w:pPr>
                  <w:r>
                    <w:t xml:space="preserve">Minke whale</w:t>
                  </w:r>
                </w:p>
              </w:tc>
              <w:tc>
                <w:tcPr/>
                <w:p>
                  <w:pPr>
                    <w:pStyle w:val="Compact"/>
                    <w:jc w:val="left"/>
                    <w:jc w:val="center"/>
                  </w:pPr>
                  <w:r>
                    <w:t xml:space="preserve">0.002 (3.6%)</w:t>
                  </w:r>
                </w:p>
              </w:tc>
              <w:tc>
                <w:tcPr/>
                <w:p>
                  <w:pPr>
                    <w:pStyle w:val="Compact"/>
                    <w:jc w:val="left"/>
                    <w:jc w:val="center"/>
                  </w:pPr>
                  <w:r>
                    <w:t xml:space="preserve">0.018 (13.0%)</w:t>
                  </w:r>
                </w:p>
              </w:tc>
              <w:tc>
                <w:tcPr/>
                <w:p>
                  <w:pPr>
                    <w:pStyle w:val="Compact"/>
                    <w:jc w:val="left"/>
                    <w:jc w:val="center"/>
                  </w:pPr>
                  <w:r>
                    <w:t xml:space="preserve">0.003 (9.4%)</w:t>
                  </w:r>
                </w:p>
              </w:tc>
              <w:tc>
                <w:tcPr/>
                <w:p>
                  <w:pPr>
                    <w:pStyle w:val="Compact"/>
                    <w:jc w:val="left"/>
                    <w:jc w:val="center"/>
                  </w:pPr>
                  <w:r>
                    <w:t xml:space="preserve">0.006 (6.9%)</w:t>
                  </w:r>
                </w:p>
              </w:tc>
            </w:tr>
            <w:tr>
              <w:tc>
                <w:tcPr/>
                <w:p>
                  <w:pPr>
                    <w:pStyle w:val="Compact"/>
                    <w:jc w:val="left"/>
                    <w:jc w:val="center"/>
                  </w:pPr>
                  <w:r>
                    <w:t xml:space="preserve">Pale-faced sheathbill</w:t>
                  </w:r>
                </w:p>
              </w:tc>
              <w:tc>
                <w:tcPr/>
                <w:p>
                  <w:pPr>
                    <w:pStyle w:val="Compact"/>
                    <w:jc w:val="left"/>
                    <w:jc w:val="center"/>
                  </w:pPr>
                  <w:r>
                    <w:t xml:space="preserve">0.002 (5.8%)</w:t>
                  </w:r>
                </w:p>
              </w:tc>
              <w:tc>
                <w:tcPr/>
                <w:p>
                  <w:pPr>
                    <w:pStyle w:val="Compact"/>
                    <w:jc w:val="left"/>
                    <w:jc w:val="center"/>
                  </w:pPr>
                  <w:r>
                    <w:t xml:space="preserve">0.006 (18.5%)</w:t>
                  </w:r>
                </w:p>
              </w:tc>
              <w:tc>
                <w:tcPr/>
                <w:p>
                  <w:pPr>
                    <w:pStyle w:val="Compact"/>
                    <w:jc w:val="left"/>
                    <w:jc w:val="center"/>
                  </w:pPr>
                  <w:r>
                    <w:t xml:space="preserve">0.006 (13.2%)</w:t>
                  </w:r>
                </w:p>
              </w:tc>
              <w:tc>
                <w:tcPr/>
                <w:p>
                  <w:pPr>
                    <w:pStyle w:val="Compact"/>
                    <w:jc w:val="left"/>
                    <w:jc w:val="center"/>
                  </w:pPr>
                  <w:r>
                    <w:t xml:space="preserve">0.004 (10.2%)</w:t>
                  </w:r>
                </w:p>
              </w:tc>
            </w:tr>
            <w:tr>
              <w:tc>
                <w:tcPr/>
                <w:p>
                  <w:pPr>
                    <w:pStyle w:val="Compact"/>
                    <w:jc w:val="left"/>
                    <w:jc w:val="center"/>
                  </w:pPr>
                  <w:r>
                    <w:t xml:space="preserve">Weddell seal</w:t>
                  </w:r>
                </w:p>
              </w:tc>
              <w:tc>
                <w:tcPr/>
                <w:p>
                  <w:pPr>
                    <w:pStyle w:val="Compact"/>
                    <w:jc w:val="left"/>
                    <w:jc w:val="center"/>
                  </w:pPr>
                  <w:r>
                    <w:t xml:space="preserve">0.002 (5.1%)</w:t>
                  </w:r>
                </w:p>
              </w:tc>
              <w:tc>
                <w:tcPr/>
                <w:p>
                  <w:pPr>
                    <w:pStyle w:val="Compact"/>
                    <w:jc w:val="left"/>
                    <w:jc w:val="center"/>
                  </w:pPr>
                  <w:r>
                    <w:t xml:space="preserve">&lt;0.001 (1.9%)</w:t>
                  </w:r>
                </w:p>
              </w:tc>
              <w:tc>
                <w:tcPr/>
                <w:p>
                  <w:pPr>
                    <w:pStyle w:val="Compact"/>
                    <w:jc w:val="left"/>
                    <w:jc w:val="center"/>
                  </w:pPr>
                  <w:r>
                    <w:t xml:space="preserve">0.006 (15.1%)</w:t>
                  </w:r>
                </w:p>
              </w:tc>
              <w:tc>
                <w:tcPr/>
                <w:p>
                  <w:pPr>
                    <w:pStyle w:val="Compact"/>
                    <w:jc w:val="left"/>
                    <w:jc w:val="center"/>
                  </w:pPr>
                  <w:r>
                    <w:t xml:space="preserve">0.003 (6.5%)</w:t>
                  </w:r>
                </w:p>
              </w:tc>
            </w:tr>
            <w:tr>
              <w:tc>
                <w:tcPr/>
                <w:p>
                  <w:pPr>
                    <w:pStyle w:val="Compact"/>
                    <w:jc w:val="left"/>
                    <w:jc w:val="center"/>
                  </w:pPr>
                  <w:r>
                    <w:t xml:space="preserve">Elephant seal</w:t>
                  </w:r>
                </w:p>
              </w:tc>
              <w:tc>
                <w:tcPr/>
                <w:p>
                  <w:pPr>
                    <w:pStyle w:val="Compact"/>
                    <w:jc w:val="left"/>
                    <w:jc w:val="center"/>
                  </w:pPr>
                  <w:r>
                    <w:t xml:space="preserve">0.004 (5.8%)</w:t>
                  </w:r>
                </w:p>
              </w:tc>
              <w:tc>
                <w:tcPr/>
                <w:p>
                  <w:pPr>
                    <w:pStyle w:val="Compact"/>
                    <w:jc w:val="left"/>
                    <w:jc w:val="center"/>
                  </w:pPr>
                  <w:r>
                    <w:t xml:space="preserve">0.000 (0.0%)</w:t>
                  </w:r>
                </w:p>
              </w:tc>
              <w:tc>
                <w:tcPr/>
                <w:p>
                  <w:pPr>
                    <w:pStyle w:val="Compact"/>
                    <w:jc w:val="left"/>
                    <w:jc w:val="center"/>
                  </w:pPr>
                  <w:r>
                    <w:t xml:space="preserve">0.002 (5.7%)</w:t>
                  </w:r>
                </w:p>
              </w:tc>
              <w:tc>
                <w:tcPr/>
                <w:p>
                  <w:pPr>
                    <w:pStyle w:val="Compact"/>
                    <w:jc w:val="left"/>
                    <w:jc w:val="center"/>
                  </w:pPr>
                  <w:r>
                    <w:t xml:space="preserve">0.002 (4.5%)</w:t>
                  </w:r>
                </w:p>
              </w:tc>
            </w:tr>
            <w:tr>
              <w:tc>
                <w:tcPr/>
                <w:p>
                  <w:pPr>
                    <w:pStyle w:val="Compact"/>
                    <w:jc w:val="left"/>
                    <w:jc w:val="center"/>
                  </w:pPr>
                  <w:r>
                    <w:t xml:space="preserve">Bottlenose whale</w:t>
                  </w:r>
                </w:p>
              </w:tc>
              <w:tc>
                <w:tcPr/>
                <w:p>
                  <w:pPr>
                    <w:pStyle w:val="Compact"/>
                    <w:jc w:val="left"/>
                    <w:jc w:val="center"/>
                  </w:pPr>
                  <w:r>
                    <w:t xml:space="preserve">0.001 (1.4%)</w:t>
                  </w:r>
                </w:p>
              </w:tc>
              <w:tc>
                <w:tcPr/>
                <w:p>
                  <w:pPr>
                    <w:pStyle w:val="Compact"/>
                    <w:jc w:val="left"/>
                    <w:jc w:val="center"/>
                  </w:pPr>
                  <w:r>
                    <w:t xml:space="preserve">0.000 (0.0%)</w:t>
                  </w:r>
                </w:p>
              </w:tc>
              <w:tc>
                <w:tcPr/>
                <w:p>
                  <w:pPr>
                    <w:pStyle w:val="Compact"/>
                    <w:jc w:val="left"/>
                    <w:jc w:val="center"/>
                  </w:pPr>
                  <w:r>
                    <w:t xml:space="preserve">0.000 (0.0%)</w:t>
                  </w:r>
                </w:p>
              </w:tc>
              <w:tc>
                <w:tcPr/>
                <w:p>
                  <w:pPr>
                    <w:pStyle w:val="Compact"/>
                    <w:jc w:val="left"/>
                    <w:jc w:val="center"/>
                  </w:pPr>
                  <w:r>
                    <w:t xml:space="preserve">&lt;0.001 (0.8%)</w:t>
                  </w:r>
                </w:p>
              </w:tc>
            </w:tr>
            <w:tr>
              <w:tc>
                <w:tcPr/>
                <w:p>
                  <w:pPr>
                    <w:pStyle w:val="Compact"/>
                    <w:jc w:val="left"/>
                    <w:jc w:val="center"/>
                  </w:pPr>
                  <w:r>
                    <w:t xml:space="preserve">Emperor penguin</w:t>
                  </w:r>
                </w:p>
              </w:tc>
              <w:tc>
                <w:tcPr/>
                <w:p>
                  <w:pPr>
                    <w:pStyle w:val="Compact"/>
                    <w:jc w:val="left"/>
                    <w:jc w:val="center"/>
                  </w:pPr>
                  <w:r>
                    <w:t xml:space="preserve">&lt;0.001 (0.7%)</w:t>
                  </w:r>
                </w:p>
              </w:tc>
              <w:tc>
                <w:tcPr/>
                <w:p>
                  <w:pPr>
                    <w:pStyle w:val="Compact"/>
                    <w:jc w:val="left"/>
                    <w:jc w:val="center"/>
                  </w:pPr>
                  <w:r>
                    <w:t xml:space="preserve">0.000 (0.0%)</w:t>
                  </w:r>
                </w:p>
              </w:tc>
              <w:tc>
                <w:tcPr/>
                <w:p>
                  <w:pPr>
                    <w:pStyle w:val="Compact"/>
                    <w:jc w:val="left"/>
                    <w:jc w:val="center"/>
                  </w:pPr>
                  <w:r>
                    <w:t xml:space="preserve">0.002 (1.9%)</w:t>
                  </w:r>
                </w:p>
              </w:tc>
              <w:tc>
                <w:tcPr/>
                <w:p>
                  <w:pPr>
                    <w:pStyle w:val="Compact"/>
                    <w:jc w:val="left"/>
                    <w:jc w:val="center"/>
                  </w:pPr>
                  <w:r>
                    <w:t xml:space="preserve">&lt;0.001 (0.8%)</w:t>
                  </w:r>
                </w:p>
              </w:tc>
            </w:tr>
            <w:tr>
              <w:tc>
                <w:tcPr/>
                <w:p>
                  <w:pPr>
                    <w:pStyle w:val="Compact"/>
                    <w:jc w:val="left"/>
                    <w:jc w:val="center"/>
                  </w:pPr>
                  <w:r>
                    <w:t xml:space="preserve">Ross seal</w:t>
                  </w:r>
                </w:p>
              </w:tc>
              <w:tc>
                <w:tcPr/>
                <w:p>
                  <w:pPr>
                    <w:pStyle w:val="Compact"/>
                    <w:jc w:val="left"/>
                    <w:jc w:val="center"/>
                  </w:pPr>
                  <w:r>
                    <w:t xml:space="preserve">&lt;0.001 (0.7%)</w:t>
                  </w:r>
                </w:p>
              </w:tc>
              <w:tc>
                <w:tcPr/>
                <w:p>
                  <w:pPr>
                    <w:pStyle w:val="Compact"/>
                    <w:jc w:val="left"/>
                    <w:jc w:val="center"/>
                  </w:pPr>
                  <w:r>
                    <w:t xml:space="preserve">0.000 (0.0%)</w:t>
                  </w:r>
                </w:p>
              </w:tc>
              <w:tc>
                <w:tcPr/>
                <w:p>
                  <w:pPr>
                    <w:pStyle w:val="Compact"/>
                    <w:jc w:val="left"/>
                    <w:jc w:val="center"/>
                  </w:pPr>
                  <w:r>
                    <w:t xml:space="preserve">0.000 (0.0%)</w:t>
                  </w:r>
                </w:p>
              </w:tc>
              <w:tc>
                <w:tcPr/>
                <w:p>
                  <w:pPr>
                    <w:pStyle w:val="Compact"/>
                    <w:jc w:val="left"/>
                    <w:jc w:val="center"/>
                  </w:pPr>
                  <w:r>
                    <w:t xml:space="preserve">&lt;0.001 (0.4%)</w:t>
                  </w:r>
                </w:p>
              </w:tc>
            </w:tr>
          </w:tbl>
          <w:bookmarkEnd w:id="68"/>
          <w:p/>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supptbl-nmds"/>
          <w:p>
            <w:pPr>
              <w:jc w:val="center"/>
            </w:pPr>
            <w:pPr>
              <w:jc w:val="start"/>
              <w:spacing w:before="200"/>
              <w:pStyle w:val="ImageCaption"/>
            </w:pPr>
            <w:r>
              <w:t xml:space="preserve">Table S3: Direction cosines along the reduced dimensions (NMDS axes 1-3), goodness of fit (</w:t>
            </w:r>
            <m:oMath>
              <m:sSup>
                <m:e>
                  <m:r>
                    <m:t>r</m:t>
                  </m:r>
                </m:e>
                <m:sup>
                  <m:r>
                    <m:t>2</m:t>
                  </m:r>
                </m:sup>
              </m:sSup>
            </m:oMath>
            <w:r>
              <w:t xml:space="preserve">), and significance (</w:t>
            </w:r>
            <m:oMath>
              <m:r>
                <m:t>p</m:t>
              </m:r>
            </m:oMath>
            <w:r>
              <w:t xml:space="preserve">) of the multiple regression analysis of environmental variables with respect to non-metric multidimensional scaling ordination scores. For descriptions of environmental variables, see</w:t>
            </w:r>
            <w:r>
              <w:t xml:space="preserve"> </w:t>
            </w:r>
            <w:hyperlink w:anchor="tbl-envvar">
              <w:r>
                <w:rPr>
                  <w:rStyle w:val="Hyperlink"/>
                </w:rPr>
                <w:t xml:space="preserve">Table 1</w:t>
              </w:r>
            </w:hyperlink>
            <w:r>
              <w:t xml:space="preserve">. Statistically significant variables indicated with asterisk.</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Variables</w:t>
                  </w:r>
                </w:p>
              </w:tc>
              <w:tc>
                <w:tcPr/>
                <w:p>
                  <w:pPr>
                    <w:pStyle w:val="Compact"/>
                    <w:jc w:val="left"/>
                    <w:jc w:val="center"/>
                  </w:pPr>
                  <w:r>
                    <w:t xml:space="preserve">NMDS1</w:t>
                  </w:r>
                </w:p>
              </w:tc>
              <w:tc>
                <w:tcPr/>
                <w:p>
                  <w:pPr>
                    <w:pStyle w:val="Compact"/>
                    <w:jc w:val="left"/>
                    <w:jc w:val="center"/>
                  </w:pPr>
                  <w:r>
                    <w:t xml:space="preserve">NMDS2</w:t>
                  </w:r>
                </w:p>
              </w:tc>
              <w:tc>
                <w:tcPr/>
                <w:p>
                  <w:pPr>
                    <w:pStyle w:val="Compact"/>
                    <w:jc w:val="left"/>
                    <w:jc w:val="center"/>
                  </w:pPr>
                  <w:r>
                    <w:t xml:space="preserve">NMDS3</w:t>
                  </w:r>
                </w:p>
              </w:tc>
              <w:tc>
                <w:tcPr/>
                <w:p>
                  <w:pPr>
                    <w:pStyle w:val="Compact"/>
                    <w:jc w:val="left"/>
                    <w:jc w:val="center"/>
                  </w:pPr>
                  <w:r>
                    <w:rPr>
                      <w:i/>
                      <w:iCs/>
                    </w:rPr>
                    <w:t xml:space="preserve">r</w:t>
                  </w:r>
                  <w:r>
                    <w:rPr>
                      <w:i/>
                      <w:iCs/>
                      <w:vertAlign w:val="superscript"/>
                    </w:rPr>
                    <w:t xml:space="preserve">2</w:t>
                  </w:r>
                </w:p>
              </w:tc>
              <w:tc>
                <w:tcPr/>
                <w:p>
                  <w:pPr>
                    <w:pStyle w:val="Compact"/>
                    <w:jc w:val="left"/>
                    <w:jc w:val="center"/>
                  </w:pPr>
                  <w:r>
                    <w:rPr>
                      <w:i/>
                      <w:iCs/>
                    </w:rPr>
                    <w:t xml:space="preserve">p</w:t>
                  </w:r>
                </w:p>
              </w:tc>
            </w:tr>
            <w:tr>
              <w:tc>
                <w:tcPr/>
                <w:p>
                  <w:pPr>
                    <w:pStyle w:val="Compact"/>
                    <w:jc w:val="left"/>
                    <w:jc w:val="center"/>
                  </w:pPr>
                  <w:r>
                    <w:t xml:space="preserve">Mixed layer depth</w:t>
                  </w:r>
                </w:p>
              </w:tc>
              <w:tc>
                <w:tcPr/>
                <w:p>
                  <w:pPr>
                    <w:pStyle w:val="Compact"/>
                    <w:jc w:val="left"/>
                    <w:jc w:val="center"/>
                  </w:pPr>
                  <w:r>
                    <w:t xml:space="preserve">0.250</w:t>
                  </w:r>
                </w:p>
              </w:tc>
              <w:tc>
                <w:tcPr/>
                <w:p>
                  <w:pPr>
                    <w:pStyle w:val="Compact"/>
                    <w:jc w:val="left"/>
                    <w:jc w:val="center"/>
                  </w:pPr>
                  <w:r>
                    <w:t xml:space="preserve">0.956</w:t>
                  </w:r>
                </w:p>
              </w:tc>
              <w:tc>
                <w:tcPr/>
                <w:p>
                  <w:pPr>
                    <w:pStyle w:val="Compact"/>
                    <w:jc w:val="left"/>
                    <w:jc w:val="center"/>
                  </w:pPr>
                  <w:r>
                    <w:t xml:space="preserve">0.153</w:t>
                  </w:r>
                </w:p>
              </w:tc>
              <w:tc>
                <w:tcPr/>
                <w:p>
                  <w:pPr>
                    <w:pStyle w:val="Compact"/>
                    <w:jc w:val="left"/>
                    <w:jc w:val="center"/>
                  </w:pPr>
                  <w:r>
                    <w:t xml:space="preserve">0.003</w:t>
                  </w:r>
                </w:p>
              </w:tc>
              <w:tc>
                <w:tcPr/>
                <w:p>
                  <w:pPr>
                    <w:pStyle w:val="Compact"/>
                    <w:jc w:val="left"/>
                    <w:jc w:val="center"/>
                  </w:pPr>
                  <w:r>
                    <w:t xml:space="preserve">0.897</w:t>
                  </w:r>
                </w:p>
              </w:tc>
            </w:tr>
            <w:tr>
              <w:tc>
                <w:tcPr/>
                <w:p>
                  <w:pPr>
                    <w:pStyle w:val="Compact"/>
                    <w:jc w:val="left"/>
                    <w:jc w:val="center"/>
                  </w:pPr>
                  <w:r>
                    <w:t xml:space="preserve">Temperature</w:t>
                  </w:r>
                </w:p>
              </w:tc>
              <w:tc>
                <w:tcPr/>
                <w:p>
                  <w:pPr>
                    <w:pStyle w:val="Compact"/>
                    <w:jc w:val="left"/>
                    <w:jc w:val="center"/>
                  </w:pPr>
                  <w:r>
                    <w:t xml:space="preserve">0.074</w:t>
                  </w:r>
                </w:p>
              </w:tc>
              <w:tc>
                <w:tcPr/>
                <w:p>
                  <w:pPr>
                    <w:pStyle w:val="Compact"/>
                    <w:jc w:val="left"/>
                    <w:jc w:val="center"/>
                  </w:pPr>
                  <w:r>
                    <w:t xml:space="preserve">0.469</w:t>
                  </w:r>
                </w:p>
              </w:tc>
              <w:tc>
                <w:tcPr/>
                <w:p>
                  <w:pPr>
                    <w:pStyle w:val="Compact"/>
                    <w:jc w:val="left"/>
                    <w:jc w:val="center"/>
                  </w:pPr>
                  <w:r>
                    <w:t xml:space="preserve">0.880</w:t>
                  </w:r>
                </w:p>
              </w:tc>
              <w:tc>
                <w:tcPr/>
                <w:p>
                  <w:pPr>
                    <w:pStyle w:val="Compact"/>
                    <w:jc w:val="left"/>
                    <w:jc w:val="center"/>
                  </w:pPr>
                  <w:r>
                    <w:t xml:space="preserve">0.029</w:t>
                  </w:r>
                </w:p>
              </w:tc>
              <w:tc>
                <w:tcPr/>
                <w:p>
                  <w:pPr>
                    <w:pStyle w:val="Compact"/>
                    <w:jc w:val="left"/>
                    <w:jc w:val="center"/>
                  </w:pPr>
                  <w:r>
                    <w:t xml:space="preserve">0.156</w:t>
                  </w:r>
                </w:p>
              </w:tc>
            </w:tr>
            <w:tr>
              <w:tc>
                <w:tcPr/>
                <w:p>
                  <w:pPr>
                    <w:pStyle w:val="Compact"/>
                    <w:jc w:val="left"/>
                    <w:jc w:val="center"/>
                  </w:pPr>
                  <w:r>
                    <w:t xml:space="preserve">Salinity</w:t>
                  </w:r>
                </w:p>
              </w:tc>
              <w:tc>
                <w:tcPr/>
                <w:p>
                  <w:pPr>
                    <w:pStyle w:val="Compact"/>
                    <w:jc w:val="left"/>
                    <w:jc w:val="center"/>
                  </w:pPr>
                  <w:r>
                    <w:t xml:space="preserve">-0.057</w:t>
                  </w:r>
                </w:p>
              </w:tc>
              <w:tc>
                <w:tcPr/>
                <w:p>
                  <w:pPr>
                    <w:pStyle w:val="Compact"/>
                    <w:jc w:val="left"/>
                    <w:jc w:val="center"/>
                  </w:pPr>
                  <w:r>
                    <w:t xml:space="preserve">0.827</w:t>
                  </w:r>
                </w:p>
              </w:tc>
              <w:tc>
                <w:tcPr/>
                <w:p>
                  <w:pPr>
                    <w:pStyle w:val="Compact"/>
                    <w:jc w:val="left"/>
                    <w:jc w:val="center"/>
                  </w:pPr>
                  <w:r>
                    <w:t xml:space="preserve">-0.559</w:t>
                  </w:r>
                </w:p>
              </w:tc>
              <w:tc>
                <w:tcPr/>
                <w:p>
                  <w:pPr>
                    <w:pStyle w:val="Compact"/>
                    <w:jc w:val="left"/>
                    <w:jc w:val="center"/>
                  </w:pPr>
                  <w:r>
                    <w:t xml:space="preserve">0.004</w:t>
                  </w:r>
                </w:p>
              </w:tc>
              <w:tc>
                <w:tcPr/>
                <w:p>
                  <w:pPr>
                    <w:pStyle w:val="Compact"/>
                    <w:jc w:val="left"/>
                    <w:jc w:val="center"/>
                  </w:pPr>
                  <w:r>
                    <w:t xml:space="preserve">0.837</w:t>
                  </w:r>
                </w:p>
              </w:tc>
            </w:tr>
            <w:tr>
              <w:tc>
                <w:tcPr/>
                <w:p>
                  <w:pPr>
                    <w:pStyle w:val="Compact"/>
                    <w:jc w:val="left"/>
                    <w:jc w:val="center"/>
                  </w:pPr>
                  <w:r>
                    <w:t xml:space="preserve">Chl</w:t>
                  </w:r>
                  <w:r>
                    <w:t xml:space="preserve"> </w:t>
                  </w:r>
                  <w:r>
                    <w:rPr>
                      <w:i/>
                      <w:iCs/>
                    </w:rPr>
                    <w:t xml:space="preserve">a</w:t>
                  </w:r>
                </w:p>
              </w:tc>
              <w:tc>
                <w:tcPr/>
                <w:p>
                  <w:pPr>
                    <w:pStyle w:val="Compact"/>
                    <w:jc w:val="left"/>
                    <w:jc w:val="center"/>
                  </w:pPr>
                  <w:r>
                    <w:t xml:space="preserve">0.579</w:t>
                  </w:r>
                </w:p>
              </w:tc>
              <w:tc>
                <w:tcPr/>
                <w:p>
                  <w:pPr>
                    <w:pStyle w:val="Compact"/>
                    <w:jc w:val="left"/>
                    <w:jc w:val="center"/>
                  </w:pPr>
                  <w:r>
                    <w:t xml:space="preserve">-0.600</w:t>
                  </w:r>
                </w:p>
              </w:tc>
              <w:tc>
                <w:tcPr/>
                <w:p>
                  <w:pPr>
                    <w:pStyle w:val="Compact"/>
                    <w:jc w:val="left"/>
                    <w:jc w:val="center"/>
                  </w:pPr>
                  <w:r>
                    <w:t xml:space="preserve">0.552</w:t>
                  </w:r>
                </w:p>
              </w:tc>
              <w:tc>
                <w:tcPr/>
                <w:p>
                  <w:pPr>
                    <w:pStyle w:val="Compact"/>
                    <w:jc w:val="left"/>
                    <w:jc w:val="center"/>
                  </w:pPr>
                  <w:r>
                    <w:t xml:space="preserve">0.011</w:t>
                  </w:r>
                </w:p>
              </w:tc>
              <w:tc>
                <w:tcPr/>
                <w:p>
                  <w:pPr>
                    <w:pStyle w:val="Compact"/>
                    <w:jc w:val="left"/>
                    <w:jc w:val="center"/>
                  </w:pPr>
                  <w:r>
                    <w:t xml:space="preserve">0.580</w:t>
                  </w:r>
                </w:p>
              </w:tc>
            </w:tr>
            <w:tr>
              <w:tc>
                <w:tcPr/>
                <w:p>
                  <w:pPr>
                    <w:pStyle w:val="Compact"/>
                    <w:jc w:val="left"/>
                    <w:jc w:val="center"/>
                  </w:pPr>
                  <w:r>
                    <w:t xml:space="preserve">Phaeopigment</w:t>
                  </w:r>
                </w:p>
              </w:tc>
              <w:tc>
                <w:tcPr/>
                <w:p>
                  <w:pPr>
                    <w:pStyle w:val="Compact"/>
                    <w:jc w:val="left"/>
                    <w:jc w:val="center"/>
                  </w:pPr>
                  <w:r>
                    <w:t xml:space="preserve">-0.524</w:t>
                  </w:r>
                </w:p>
              </w:tc>
              <w:tc>
                <w:tcPr/>
                <w:p>
                  <w:pPr>
                    <w:pStyle w:val="Compact"/>
                    <w:jc w:val="left"/>
                    <w:jc w:val="center"/>
                  </w:pPr>
                  <w:r>
                    <w:t xml:space="preserve">0.848</w:t>
                  </w:r>
                </w:p>
              </w:tc>
              <w:tc>
                <w:tcPr/>
                <w:p>
                  <w:pPr>
                    <w:pStyle w:val="Compact"/>
                    <w:jc w:val="left"/>
                    <w:jc w:val="center"/>
                  </w:pPr>
                  <w:r>
                    <w:t xml:space="preserve">0.076</w:t>
                  </w:r>
                </w:p>
              </w:tc>
              <w:tc>
                <w:tcPr/>
                <w:p>
                  <w:pPr>
                    <w:pStyle w:val="Compact"/>
                    <w:jc w:val="left"/>
                    <w:jc w:val="center"/>
                  </w:pPr>
                  <w:r>
                    <w:t xml:space="preserve">0.011</w:t>
                  </w:r>
                </w:p>
              </w:tc>
              <w:tc>
                <w:tcPr/>
                <w:p>
                  <w:pPr>
                    <w:pStyle w:val="Compact"/>
                    <w:jc w:val="left"/>
                    <w:jc w:val="center"/>
                  </w:pPr>
                  <w:r>
                    <w:t xml:space="preserve">0.554</w:t>
                  </w:r>
                </w:p>
              </w:tc>
            </w:tr>
            <w:tr>
              <w:tc>
                <w:tcPr/>
                <w:p>
                  <w:pPr>
                    <w:pStyle w:val="Compact"/>
                    <w:jc w:val="left"/>
                    <w:jc w:val="center"/>
                  </w:pPr>
                  <w:r>
                    <w:t xml:space="preserve">Ice coverage*</w:t>
                  </w:r>
                </w:p>
              </w:tc>
              <w:tc>
                <w:tcPr/>
                <w:p>
                  <w:pPr>
                    <w:pStyle w:val="Compact"/>
                    <w:jc w:val="left"/>
                    <w:jc w:val="center"/>
                  </w:pPr>
                  <w:r>
                    <w:t xml:space="preserve">0.319</w:t>
                  </w:r>
                </w:p>
              </w:tc>
              <w:tc>
                <w:tcPr/>
                <w:p>
                  <w:pPr>
                    <w:pStyle w:val="Compact"/>
                    <w:jc w:val="left"/>
                    <w:jc w:val="center"/>
                  </w:pPr>
                  <w:r>
                    <w:t xml:space="preserve">-0.386</w:t>
                  </w:r>
                </w:p>
              </w:tc>
              <w:tc>
                <w:tcPr/>
                <w:p>
                  <w:pPr>
                    <w:pStyle w:val="Compact"/>
                    <w:jc w:val="left"/>
                    <w:jc w:val="center"/>
                  </w:pPr>
                  <w:r>
                    <w:t xml:space="preserve">-0.865</w:t>
                  </w:r>
                </w:p>
              </w:tc>
              <w:tc>
                <w:tcPr/>
                <w:p>
                  <w:pPr>
                    <w:pStyle w:val="Compact"/>
                    <w:jc w:val="left"/>
                    <w:jc w:val="center"/>
                  </w:pPr>
                  <w:r>
                    <w:t xml:space="preserve">0.055</w:t>
                  </w:r>
                </w:p>
              </w:tc>
              <w:tc>
                <w:tcPr/>
                <w:p>
                  <w:pPr>
                    <w:pStyle w:val="Compact"/>
                    <w:jc w:val="left"/>
                    <w:jc w:val="center"/>
                  </w:pPr>
                  <w:r>
                    <w:t xml:space="preserve">0.016</w:t>
                  </w:r>
                </w:p>
              </w:tc>
            </w:tr>
            <w:tr>
              <w:tc>
                <w:tcPr/>
                <w:p>
                  <w:pPr>
                    <w:pStyle w:val="Compact"/>
                    <w:jc w:val="left"/>
                    <w:jc w:val="center"/>
                  </w:pPr>
                  <w:r>
                    <w:t xml:space="preserve">Time of day</w:t>
                  </w:r>
                </w:p>
              </w:tc>
              <w:tc>
                <w:tcPr/>
                <w:p>
                  <w:pPr>
                    <w:pStyle w:val="Compact"/>
                  </w:pPr>
                </w:p>
              </w:tc>
              <w:tc>
                <w:tcPr/>
                <w:p>
                  <w:pPr>
                    <w:pStyle w:val="Compact"/>
                  </w:pPr>
                </w:p>
              </w:tc>
              <w:tc>
                <w:tcPr/>
                <w:p>
                  <w:pPr>
                    <w:pStyle w:val="Compact"/>
                  </w:pPr>
                </w:p>
              </w:tc>
              <w:tc>
                <w:tcPr/>
                <w:p>
                  <w:pPr>
                    <w:pStyle w:val="Compact"/>
                    <w:jc w:val="left"/>
                    <w:jc w:val="center"/>
                  </w:pPr>
                  <w:r>
                    <w:t xml:space="preserve">0.003</w:t>
                  </w:r>
                </w:p>
              </w:tc>
              <w:tc>
                <w:tcPr/>
                <w:p>
                  <w:pPr>
                    <w:pStyle w:val="Compact"/>
                    <w:jc w:val="left"/>
                    <w:jc w:val="center"/>
                  </w:pPr>
                  <w:r>
                    <w:t xml:space="preserve">0.703</w:t>
                  </w:r>
                </w:p>
              </w:tc>
            </w:tr>
            <w:tr>
              <w:tc>
                <w:tcPr/>
                <w:p>
                  <w:pPr>
                    <w:pStyle w:val="Compact"/>
                    <w:jc w:val="left"/>
                    <w:jc w:val="center"/>
                  </w:pPr>
                  <w:r>
                    <w:t xml:space="preserve">Day</w:t>
                  </w:r>
                </w:p>
              </w:tc>
              <w:tc>
                <w:tcPr/>
                <w:p>
                  <w:pPr>
                    <w:pStyle w:val="Compact"/>
                    <w:jc w:val="left"/>
                    <w:jc w:val="center"/>
                  </w:pPr>
                  <w:r>
                    <w:t xml:space="preserve">0.008</w:t>
                  </w:r>
                </w:p>
              </w:tc>
              <w:tc>
                <w:tcPr/>
                <w:p>
                  <w:pPr>
                    <w:pStyle w:val="Compact"/>
                    <w:jc w:val="left"/>
                    <w:jc w:val="center"/>
                  </w:pPr>
                  <w:r>
                    <w:t xml:space="preserve">0.015</w:t>
                  </w:r>
                </w:p>
              </w:tc>
              <w:tc>
                <w:tcPr/>
                <w:p>
                  <w:pPr>
                    <w:pStyle w:val="Compact"/>
                    <w:jc w:val="left"/>
                    <w:jc w:val="center"/>
                  </w:pPr>
                  <w:r>
                    <w:t xml:space="preserve">-0.025</w:t>
                  </w:r>
                </w:p>
              </w:tc>
              <w:tc>
                <w:tcPr/>
                <w:p>
                  <w:pPr>
                    <w:pStyle w:val="Compact"/>
                  </w:pPr>
                </w:p>
              </w:tc>
              <w:tc>
                <w:tcPr/>
                <w:p>
                  <w:pPr>
                    <w:pStyle w:val="Compact"/>
                  </w:pPr>
                </w:p>
              </w:tc>
            </w:tr>
            <w:tr>
              <w:tc>
                <w:tcPr/>
                <w:p>
                  <w:pPr>
                    <w:pStyle w:val="Compact"/>
                    <w:jc w:val="left"/>
                    <w:jc w:val="center"/>
                  </w:pPr>
                  <w:r>
                    <w:t xml:space="preserve">Night</w:t>
                  </w:r>
                </w:p>
              </w:tc>
              <w:tc>
                <w:tcPr/>
                <w:p>
                  <w:pPr>
                    <w:pStyle w:val="Compact"/>
                    <w:jc w:val="left"/>
                    <w:jc w:val="center"/>
                  </w:pPr>
                  <w:r>
                    <w:t xml:space="preserve">-0.027</w:t>
                  </w:r>
                </w:p>
              </w:tc>
              <w:tc>
                <w:tcPr/>
                <w:p>
                  <w:pPr>
                    <w:pStyle w:val="Compact"/>
                    <w:jc w:val="left"/>
                    <w:jc w:val="center"/>
                  </w:pPr>
                  <w:r>
                    <w:t xml:space="preserve">-0.051</w:t>
                  </w:r>
                </w:p>
              </w:tc>
              <w:tc>
                <w:tcPr/>
                <w:p>
                  <w:pPr>
                    <w:pStyle w:val="Compact"/>
                    <w:jc w:val="left"/>
                    <w:jc w:val="center"/>
                  </w:pPr>
                  <w:r>
                    <w:t xml:space="preserve">0.048</w:t>
                  </w:r>
                </w:p>
              </w:tc>
              <w:tc>
                <w:tcPr/>
                <w:p>
                  <w:pPr>
                    <w:pStyle w:val="Compact"/>
                  </w:pPr>
                </w:p>
              </w:tc>
              <w:tc>
                <w:tcPr/>
                <w:p>
                  <w:pPr>
                    <w:pStyle w:val="Compact"/>
                  </w:pPr>
                </w:p>
              </w:tc>
            </w:tr>
            <w:tr>
              <w:tc>
                <w:tcPr/>
                <w:p>
                  <w:pPr>
                    <w:pStyle w:val="Compact"/>
                    <w:jc w:val="left"/>
                    <w:jc w:val="center"/>
                  </w:pPr>
                  <w:r>
                    <w:t xml:space="preserve">Year*</w:t>
                  </w:r>
                </w:p>
              </w:tc>
              <w:tc>
                <w:tcPr/>
                <w:p>
                  <w:pPr>
                    <w:pStyle w:val="Compact"/>
                  </w:pPr>
                </w:p>
              </w:tc>
              <w:tc>
                <w:tcPr/>
                <w:p>
                  <w:pPr>
                    <w:pStyle w:val="Compact"/>
                  </w:pPr>
                </w:p>
              </w:tc>
              <w:tc>
                <w:tcPr/>
                <w:p>
                  <w:pPr>
                    <w:pStyle w:val="Compact"/>
                  </w:pPr>
                </w:p>
              </w:tc>
              <w:tc>
                <w:tcPr/>
                <w:p>
                  <w:pPr>
                    <w:pStyle w:val="Compact"/>
                    <w:jc w:val="left"/>
                    <w:jc w:val="center"/>
                  </w:pPr>
                  <w:r>
                    <w:t xml:space="preserve">0.061</w:t>
                  </w:r>
                </w:p>
              </w:tc>
              <w:tc>
                <w:tcPr/>
                <w:p>
                  <w:pPr>
                    <w:pStyle w:val="Compact"/>
                    <w:jc w:val="left"/>
                    <w:jc w:val="center"/>
                  </w:pPr>
                  <w:r>
                    <w:t xml:space="preserve">0.001</w:t>
                  </w:r>
                </w:p>
              </w:tc>
            </w:tr>
            <w:tr>
              <w:tc>
                <w:tcPr/>
                <w:p>
                  <w:pPr>
                    <w:pStyle w:val="Compact"/>
                    <w:jc w:val="left"/>
                    <w:jc w:val="center"/>
                  </w:pPr>
                  <w:r>
                    <w:t xml:space="preserve">2012</w:t>
                  </w:r>
                </w:p>
              </w:tc>
              <w:tc>
                <w:tcPr/>
                <w:p>
                  <w:pPr>
                    <w:pStyle w:val="Compact"/>
                    <w:jc w:val="left"/>
                    <w:jc w:val="center"/>
                  </w:pPr>
                  <w:r>
                    <w:t xml:space="preserve">-0.068</w:t>
                  </w:r>
                </w:p>
              </w:tc>
              <w:tc>
                <w:tcPr/>
                <w:p>
                  <w:pPr>
                    <w:pStyle w:val="Compact"/>
                    <w:jc w:val="left"/>
                    <w:jc w:val="center"/>
                  </w:pPr>
                  <w:r>
                    <w:t xml:space="preserve">-0.094</w:t>
                  </w:r>
                </w:p>
              </w:tc>
              <w:tc>
                <w:tcPr/>
                <w:p>
                  <w:pPr>
                    <w:pStyle w:val="Compact"/>
                    <w:jc w:val="left"/>
                    <w:jc w:val="center"/>
                  </w:pPr>
                  <w:r>
                    <w:t xml:space="preserve">0.261</w:t>
                  </w:r>
                </w:p>
              </w:tc>
              <w:tc>
                <w:tcPr/>
                <w:p>
                  <w:pPr>
                    <w:pStyle w:val="Compact"/>
                  </w:pPr>
                </w:p>
              </w:tc>
              <w:tc>
                <w:tcPr/>
                <w:p>
                  <w:pPr>
                    <w:pStyle w:val="Compact"/>
                  </w:pPr>
                </w:p>
              </w:tc>
            </w:tr>
            <w:tr>
              <w:tc>
                <w:tcPr/>
                <w:p>
                  <w:pPr>
                    <w:pStyle w:val="Compact"/>
                    <w:jc w:val="left"/>
                    <w:jc w:val="center"/>
                  </w:pPr>
                  <w:r>
                    <w:t xml:space="preserve">2013</w:t>
                  </w:r>
                </w:p>
              </w:tc>
              <w:tc>
                <w:tcPr/>
                <w:p>
                  <w:pPr>
                    <w:pStyle w:val="Compact"/>
                    <w:jc w:val="left"/>
                    <w:jc w:val="center"/>
                  </w:pPr>
                  <w:r>
                    <w:t xml:space="preserve">-0.062</w:t>
                  </w:r>
                </w:p>
              </w:tc>
              <w:tc>
                <w:tcPr/>
                <w:p>
                  <w:pPr>
                    <w:pStyle w:val="Compact"/>
                    <w:jc w:val="left"/>
                    <w:jc w:val="center"/>
                  </w:pPr>
                  <w:r>
                    <w:t xml:space="preserve">-0.307</w:t>
                  </w:r>
                </w:p>
              </w:tc>
              <w:tc>
                <w:tcPr/>
                <w:p>
                  <w:pPr>
                    <w:pStyle w:val="Compact"/>
                    <w:jc w:val="left"/>
                    <w:jc w:val="center"/>
                  </w:pPr>
                  <w:r>
                    <w:t xml:space="preserve">-0.036</w:t>
                  </w:r>
                </w:p>
              </w:tc>
              <w:tc>
                <w:tcPr/>
                <w:p>
                  <w:pPr>
                    <w:pStyle w:val="Compact"/>
                  </w:pPr>
                </w:p>
              </w:tc>
              <w:tc>
                <w:tcPr/>
                <w:p>
                  <w:pPr>
                    <w:pStyle w:val="Compact"/>
                  </w:pPr>
                </w:p>
              </w:tc>
            </w:tr>
            <w:tr>
              <w:tc>
                <w:tcPr/>
                <w:p>
                  <w:pPr>
                    <w:pStyle w:val="Compact"/>
                    <w:jc w:val="left"/>
                    <w:jc w:val="center"/>
                  </w:pPr>
                  <w:r>
                    <w:t xml:space="preserve">2014</w:t>
                  </w:r>
                </w:p>
              </w:tc>
              <w:tc>
                <w:tcPr/>
                <w:p>
                  <w:pPr>
                    <w:pStyle w:val="Compact"/>
                    <w:jc w:val="left"/>
                    <w:jc w:val="center"/>
                  </w:pPr>
                  <w:r>
                    <w:t xml:space="preserve">-0.014</w:t>
                  </w:r>
                </w:p>
              </w:tc>
              <w:tc>
                <w:tcPr/>
                <w:p>
                  <w:pPr>
                    <w:pStyle w:val="Compact"/>
                    <w:jc w:val="left"/>
                    <w:jc w:val="center"/>
                  </w:pPr>
                  <w:r>
                    <w:t xml:space="preserve">-0.007</w:t>
                  </w:r>
                </w:p>
              </w:tc>
              <w:tc>
                <w:tcPr/>
                <w:p>
                  <w:pPr>
                    <w:pStyle w:val="Compact"/>
                    <w:jc w:val="left"/>
                    <w:jc w:val="center"/>
                  </w:pPr>
                  <w:r>
                    <w:t xml:space="preserve">0.061</w:t>
                  </w:r>
                </w:p>
              </w:tc>
              <w:tc>
                <w:tcPr/>
                <w:p>
                  <w:pPr>
                    <w:pStyle w:val="Compact"/>
                  </w:pPr>
                </w:p>
              </w:tc>
              <w:tc>
                <w:tcPr/>
                <w:p>
                  <w:pPr>
                    <w:pStyle w:val="Compact"/>
                  </w:pPr>
                </w:p>
              </w:tc>
            </w:tr>
            <w:tr>
              <w:tc>
                <w:tcPr/>
                <w:p>
                  <w:pPr>
                    <w:pStyle w:val="Compact"/>
                    <w:jc w:val="left"/>
                    <w:jc w:val="center"/>
                  </w:pPr>
                  <w:r>
                    <w:t xml:space="preserve">2015</w:t>
                  </w:r>
                </w:p>
              </w:tc>
              <w:tc>
                <w:tcPr/>
                <w:p>
                  <w:pPr>
                    <w:pStyle w:val="Compact"/>
                    <w:jc w:val="left"/>
                    <w:jc w:val="center"/>
                  </w:pPr>
                  <w:r>
                    <w:t xml:space="preserve">-0.012</w:t>
                  </w:r>
                </w:p>
              </w:tc>
              <w:tc>
                <w:tcPr/>
                <w:p>
                  <w:pPr>
                    <w:pStyle w:val="Compact"/>
                    <w:jc w:val="left"/>
                    <w:jc w:val="center"/>
                  </w:pPr>
                  <w:r>
                    <w:t xml:space="preserve">0.258</w:t>
                  </w:r>
                </w:p>
              </w:tc>
              <w:tc>
                <w:tcPr/>
                <w:p>
                  <w:pPr>
                    <w:pStyle w:val="Compact"/>
                    <w:jc w:val="left"/>
                    <w:jc w:val="center"/>
                  </w:pPr>
                  <w:r>
                    <w:t xml:space="preserve">-0.079</w:t>
                  </w:r>
                </w:p>
              </w:tc>
              <w:tc>
                <w:tcPr/>
                <w:p>
                  <w:pPr>
                    <w:pStyle w:val="Compact"/>
                  </w:pPr>
                </w:p>
              </w:tc>
              <w:tc>
                <w:tcPr/>
                <w:p>
                  <w:pPr>
                    <w:pStyle w:val="Compact"/>
                  </w:pPr>
                </w:p>
              </w:tc>
            </w:tr>
            <w:tr>
              <w:tc>
                <w:tcPr/>
                <w:p>
                  <w:pPr>
                    <w:pStyle w:val="Compact"/>
                    <w:jc w:val="left"/>
                    <w:jc w:val="center"/>
                  </w:pPr>
                  <w:r>
                    <w:t xml:space="preserve">2016</w:t>
                  </w:r>
                </w:p>
              </w:tc>
              <w:tc>
                <w:tcPr/>
                <w:p>
                  <w:pPr>
                    <w:pStyle w:val="Compact"/>
                    <w:jc w:val="left"/>
                    <w:jc w:val="center"/>
                  </w:pPr>
                  <w:r>
                    <w:t xml:space="preserve">0.105</w:t>
                  </w:r>
                </w:p>
              </w:tc>
              <w:tc>
                <w:tcPr/>
                <w:p>
                  <w:pPr>
                    <w:pStyle w:val="Compact"/>
                    <w:jc w:val="left"/>
                    <w:jc w:val="center"/>
                  </w:pPr>
                  <w:r>
                    <w:t xml:space="preserve">0.077</w:t>
                  </w:r>
                </w:p>
              </w:tc>
              <w:tc>
                <w:tcPr/>
                <w:p>
                  <w:pPr>
                    <w:pStyle w:val="Compact"/>
                    <w:jc w:val="left"/>
                    <w:jc w:val="center"/>
                  </w:pPr>
                  <w:r>
                    <w:t xml:space="preserve">-0.049</w:t>
                  </w:r>
                </w:p>
              </w:tc>
              <w:tc>
                <w:tcPr/>
                <w:p>
                  <w:pPr>
                    <w:pStyle w:val="Compact"/>
                  </w:pPr>
                </w:p>
              </w:tc>
              <w:tc>
                <w:tcPr/>
                <w:p>
                  <w:pPr>
                    <w:pStyle w:val="Compact"/>
                  </w:pPr>
                </w:p>
              </w:tc>
            </w:tr>
            <w:tr>
              <w:tc>
                <w:tcPr/>
                <w:p>
                  <w:pPr>
                    <w:pStyle w:val="Compact"/>
                    <w:jc w:val="left"/>
                    <w:jc w:val="center"/>
                  </w:pPr>
                  <w:r>
                    <w:t xml:space="preserve">Macrozooplankton cluster</w:t>
                  </w:r>
                </w:p>
              </w:tc>
              <w:tc>
                <w:tcPr/>
                <w:p>
                  <w:pPr>
                    <w:pStyle w:val="Compact"/>
                  </w:pPr>
                </w:p>
              </w:tc>
              <w:tc>
                <w:tcPr/>
                <w:p>
                  <w:pPr>
                    <w:pStyle w:val="Compact"/>
                  </w:pPr>
                </w:p>
              </w:tc>
              <w:tc>
                <w:tcPr/>
                <w:p>
                  <w:pPr>
                    <w:pStyle w:val="Compact"/>
                  </w:pPr>
                </w:p>
              </w:tc>
              <w:tc>
                <w:tcPr/>
                <w:p>
                  <w:pPr>
                    <w:pStyle w:val="Compact"/>
                    <w:jc w:val="left"/>
                    <w:jc w:val="center"/>
                  </w:pPr>
                  <w:r>
                    <w:t xml:space="preserve">0.028</w:t>
                  </w:r>
                </w:p>
              </w:tc>
              <w:tc>
                <w:tcPr/>
                <w:p>
                  <w:pPr>
                    <w:pStyle w:val="Compact"/>
                    <w:jc w:val="left"/>
                    <w:jc w:val="center"/>
                  </w:pPr>
                  <w:r>
                    <w:t xml:space="preserve">0.194</w:t>
                  </w:r>
                </w:p>
              </w:tc>
            </w:tr>
            <w:tr>
              <w:tc>
                <w:tcPr/>
                <w:p>
                  <w:pPr>
                    <w:pStyle w:val="Compact"/>
                    <w:jc w:val="left"/>
                    <w:jc w:val="center"/>
                  </w:pPr>
                  <w:r>
                    <w:t xml:space="preserve">1</w:t>
                  </w:r>
                </w:p>
              </w:tc>
              <w:tc>
                <w:tcPr/>
                <w:p>
                  <w:pPr>
                    <w:pStyle w:val="Compact"/>
                    <w:jc w:val="left"/>
                    <w:jc w:val="center"/>
                  </w:pPr>
                  <w:r>
                    <w:t xml:space="preserve">0.024</w:t>
                  </w:r>
                </w:p>
              </w:tc>
              <w:tc>
                <w:tcPr/>
                <w:p>
                  <w:pPr>
                    <w:pStyle w:val="Compact"/>
                    <w:jc w:val="left"/>
                    <w:jc w:val="center"/>
                  </w:pPr>
                  <w:r>
                    <w:t xml:space="preserve">0.041</w:t>
                  </w:r>
                </w:p>
              </w:tc>
              <w:tc>
                <w:tcPr/>
                <w:p>
                  <w:pPr>
                    <w:pStyle w:val="Compact"/>
                    <w:jc w:val="left"/>
                    <w:jc w:val="center"/>
                  </w:pPr>
                  <w:r>
                    <w:t xml:space="preserve">-0.020</w:t>
                  </w:r>
                </w:p>
              </w:tc>
              <w:tc>
                <w:tcPr/>
                <w:p>
                  <w:pPr>
                    <w:pStyle w:val="Compact"/>
                  </w:pPr>
                </w:p>
              </w:tc>
              <w:tc>
                <w:tcPr/>
                <w:p>
                  <w:pPr>
                    <w:pStyle w:val="Compact"/>
                  </w:pPr>
                </w:p>
              </w:tc>
            </w:tr>
            <w:tr>
              <w:tc>
                <w:tcPr/>
                <w:p>
                  <w:pPr>
                    <w:pStyle w:val="Compact"/>
                    <w:jc w:val="left"/>
                    <w:jc w:val="center"/>
                  </w:pPr>
                  <w:r>
                    <w:t xml:space="preserve">2a</w:t>
                  </w:r>
                </w:p>
              </w:tc>
              <w:tc>
                <w:tcPr/>
                <w:p>
                  <w:pPr>
                    <w:pStyle w:val="Compact"/>
                    <w:jc w:val="left"/>
                    <w:jc w:val="center"/>
                  </w:pPr>
                  <w:r>
                    <w:t xml:space="preserve">0.072</w:t>
                  </w:r>
                </w:p>
              </w:tc>
              <w:tc>
                <w:tcPr/>
                <w:p>
                  <w:pPr>
                    <w:pStyle w:val="Compact"/>
                    <w:jc w:val="left"/>
                    <w:jc w:val="center"/>
                  </w:pPr>
                  <w:r>
                    <w:t xml:space="preserve">0.048</w:t>
                  </w:r>
                </w:p>
              </w:tc>
              <w:tc>
                <w:tcPr/>
                <w:p>
                  <w:pPr>
                    <w:pStyle w:val="Compact"/>
                    <w:jc w:val="left"/>
                    <w:jc w:val="center"/>
                  </w:pPr>
                  <w:r>
                    <w:t xml:space="preserve">-0.003</w:t>
                  </w:r>
                </w:p>
              </w:tc>
              <w:tc>
                <w:tcPr/>
                <w:p>
                  <w:pPr>
                    <w:pStyle w:val="Compact"/>
                  </w:pPr>
                </w:p>
              </w:tc>
              <w:tc>
                <w:tcPr/>
                <w:p>
                  <w:pPr>
                    <w:pStyle w:val="Compact"/>
                  </w:pPr>
                </w:p>
              </w:tc>
            </w:tr>
            <w:tr>
              <w:tc>
                <w:tcPr/>
                <w:p>
                  <w:pPr>
                    <w:pStyle w:val="Compact"/>
                    <w:jc w:val="left"/>
                    <w:jc w:val="center"/>
                  </w:pPr>
                  <w:r>
                    <w:t xml:space="preserve">2b</w:t>
                  </w:r>
                </w:p>
              </w:tc>
              <w:tc>
                <w:tcPr/>
                <w:p>
                  <w:pPr>
                    <w:pStyle w:val="Compact"/>
                    <w:jc w:val="left"/>
                    <w:jc w:val="center"/>
                  </w:pPr>
                  <w:r>
                    <w:t xml:space="preserve">-0.064</w:t>
                  </w:r>
                </w:p>
              </w:tc>
              <w:tc>
                <w:tcPr/>
                <w:p>
                  <w:pPr>
                    <w:pStyle w:val="Compact"/>
                    <w:jc w:val="left"/>
                    <w:jc w:val="center"/>
                  </w:pPr>
                  <w:r>
                    <w:t xml:space="preserve">-0.102</w:t>
                  </w:r>
                </w:p>
              </w:tc>
              <w:tc>
                <w:tcPr/>
                <w:p>
                  <w:pPr>
                    <w:pStyle w:val="Compact"/>
                    <w:jc w:val="left"/>
                    <w:jc w:val="center"/>
                  </w:pPr>
                  <w:r>
                    <w:t xml:space="preserve">0.117</w:t>
                  </w:r>
                </w:p>
              </w:tc>
              <w:tc>
                <w:tcPr/>
                <w:p>
                  <w:pPr>
                    <w:pStyle w:val="Compact"/>
                  </w:pPr>
                </w:p>
              </w:tc>
              <w:tc>
                <w:tcPr/>
                <w:p>
                  <w:pPr>
                    <w:pStyle w:val="Compact"/>
                  </w:pPr>
                </w:p>
              </w:tc>
            </w:tr>
            <w:tr>
              <w:tc>
                <w:tcPr/>
                <w:p>
                  <w:pPr>
                    <w:pStyle w:val="Compact"/>
                    <w:jc w:val="left"/>
                    <w:jc w:val="center"/>
                  </w:pPr>
                  <w:r>
                    <w:t xml:space="preserve">3a</w:t>
                  </w:r>
                </w:p>
              </w:tc>
              <w:tc>
                <w:tcPr/>
                <w:p>
                  <w:pPr>
                    <w:pStyle w:val="Compact"/>
                    <w:jc w:val="left"/>
                    <w:jc w:val="center"/>
                  </w:pPr>
                  <w:r>
                    <w:t xml:space="preserve">-0.133</w:t>
                  </w:r>
                </w:p>
              </w:tc>
              <w:tc>
                <w:tcPr/>
                <w:p>
                  <w:pPr>
                    <w:pStyle w:val="Compact"/>
                    <w:jc w:val="left"/>
                    <w:jc w:val="center"/>
                  </w:pPr>
                  <w:r>
                    <w:t xml:space="preserve">-0.158</w:t>
                  </w:r>
                </w:p>
              </w:tc>
              <w:tc>
                <w:tcPr/>
                <w:p>
                  <w:pPr>
                    <w:pStyle w:val="Compact"/>
                    <w:jc w:val="left"/>
                    <w:jc w:val="center"/>
                  </w:pPr>
                  <w:r>
                    <w:t xml:space="preserve">0.122</w:t>
                  </w:r>
                </w:p>
              </w:tc>
              <w:tc>
                <w:tcPr/>
                <w:p>
                  <w:pPr>
                    <w:pStyle w:val="Compact"/>
                  </w:pPr>
                </w:p>
              </w:tc>
              <w:tc>
                <w:tcPr/>
                <w:p>
                  <w:pPr>
                    <w:pStyle w:val="Compact"/>
                  </w:pPr>
                </w:p>
              </w:tc>
            </w:tr>
            <w:tr>
              <w:tc>
                <w:tcPr/>
                <w:p>
                  <w:pPr>
                    <w:pStyle w:val="Compact"/>
                    <w:jc w:val="left"/>
                    <w:jc w:val="center"/>
                  </w:pPr>
                  <w:r>
                    <w:t xml:space="preserve">3b</w:t>
                  </w:r>
                </w:p>
              </w:tc>
              <w:tc>
                <w:tcPr/>
                <w:p>
                  <w:pPr>
                    <w:pStyle w:val="Compact"/>
                    <w:jc w:val="left"/>
                    <w:jc w:val="center"/>
                  </w:pPr>
                  <w:r>
                    <w:t xml:space="preserve">-0.171</w:t>
                  </w:r>
                </w:p>
              </w:tc>
              <w:tc>
                <w:tcPr/>
                <w:p>
                  <w:pPr>
                    <w:pStyle w:val="Compact"/>
                    <w:jc w:val="left"/>
                    <w:jc w:val="center"/>
                  </w:pPr>
                  <w:r>
                    <w:t xml:space="preserve">-0.073</w:t>
                  </w:r>
                </w:p>
              </w:tc>
              <w:tc>
                <w:tcPr/>
                <w:p>
                  <w:pPr>
                    <w:pStyle w:val="Compact"/>
                    <w:jc w:val="left"/>
                    <w:jc w:val="center"/>
                  </w:pPr>
                  <w:r>
                    <w:t xml:space="preserve">-0.308</w:t>
                  </w:r>
                </w:p>
              </w:tc>
              <w:tc>
                <w:tcPr/>
                <w:p>
                  <w:pPr>
                    <w:pStyle w:val="Compact"/>
                  </w:pPr>
                </w:p>
              </w:tc>
              <w:tc>
                <w:tcPr/>
                <w:p>
                  <w:pPr>
                    <w:pStyle w:val="Compact"/>
                  </w:pPr>
                </w:p>
              </w:tc>
            </w:tr>
            <w:tr>
              <w:tc>
                <w:tcPr/>
                <w:p>
                  <w:pPr>
                    <w:pStyle w:val="Compact"/>
                    <w:jc w:val="left"/>
                    <w:jc w:val="center"/>
                  </w:pPr>
                  <w:r>
                    <w:t xml:space="preserve">Ice type</w:t>
                  </w:r>
                </w:p>
              </w:tc>
              <w:tc>
                <w:tcPr/>
                <w:p>
                  <w:pPr>
                    <w:pStyle w:val="Compact"/>
                  </w:pPr>
                </w:p>
              </w:tc>
              <w:tc>
                <w:tcPr/>
                <w:p>
                  <w:pPr>
                    <w:pStyle w:val="Compact"/>
                  </w:pPr>
                </w:p>
              </w:tc>
              <w:tc>
                <w:tcPr/>
                <w:p>
                  <w:pPr>
                    <w:pStyle w:val="Compact"/>
                  </w:pPr>
                </w:p>
              </w:tc>
              <w:tc>
                <w:tcPr/>
                <w:p>
                  <w:pPr>
                    <w:pStyle w:val="Compact"/>
                    <w:jc w:val="left"/>
                    <w:jc w:val="center"/>
                  </w:pPr>
                  <w:r>
                    <w:t xml:space="preserve">0.014</w:t>
                  </w:r>
                </w:p>
              </w:tc>
              <w:tc>
                <w:tcPr/>
                <w:p>
                  <w:pPr>
                    <w:pStyle w:val="Compact"/>
                    <w:jc w:val="left"/>
                    <w:jc w:val="center"/>
                  </w:pPr>
                  <w:r>
                    <w:t xml:space="preserve">0.536</w:t>
                  </w:r>
                </w:p>
              </w:tc>
            </w:tr>
            <w:tr>
              <w:tc>
                <w:tcPr/>
                <w:p>
                  <w:pPr>
                    <w:pStyle w:val="Compact"/>
                    <w:jc w:val="left"/>
                    <w:jc w:val="center"/>
                  </w:pPr>
                  <w:r>
                    <w:t xml:space="preserve">Open</w:t>
                  </w:r>
                </w:p>
              </w:tc>
              <w:tc>
                <w:tcPr/>
                <w:p>
                  <w:pPr>
                    <w:pStyle w:val="Compact"/>
                    <w:jc w:val="left"/>
                    <w:jc w:val="center"/>
                  </w:pPr>
                  <w:r>
                    <w:t xml:space="preserve">-0.030</w:t>
                  </w:r>
                </w:p>
              </w:tc>
              <w:tc>
                <w:tcPr/>
                <w:p>
                  <w:pPr>
                    <w:pStyle w:val="Compact"/>
                    <w:jc w:val="left"/>
                    <w:jc w:val="center"/>
                  </w:pPr>
                  <w:r>
                    <w:t xml:space="preserve">0.081</w:t>
                  </w:r>
                </w:p>
              </w:tc>
              <w:tc>
                <w:tcPr/>
                <w:p>
                  <w:pPr>
                    <w:pStyle w:val="Compact"/>
                    <w:jc w:val="left"/>
                    <w:jc w:val="center"/>
                  </w:pPr>
                  <w:r>
                    <w:t xml:space="preserve">0.085</w:t>
                  </w:r>
                </w:p>
              </w:tc>
              <w:tc>
                <w:tcPr/>
                <w:p>
                  <w:pPr>
                    <w:pStyle w:val="Compact"/>
                  </w:pPr>
                </w:p>
              </w:tc>
              <w:tc>
                <w:tcPr/>
                <w:p>
                  <w:pPr>
                    <w:pStyle w:val="Compact"/>
                  </w:pPr>
                </w:p>
              </w:tc>
            </w:tr>
            <w:tr>
              <w:tc>
                <w:tcPr/>
                <w:p>
                  <w:pPr>
                    <w:pStyle w:val="Compact"/>
                    <w:jc w:val="left"/>
                    <w:jc w:val="center"/>
                  </w:pPr>
                  <w:r>
                    <w:t xml:space="preserve">Thin</w:t>
                  </w:r>
                </w:p>
              </w:tc>
              <w:tc>
                <w:tcPr/>
                <w:p>
                  <w:pPr>
                    <w:pStyle w:val="Compact"/>
                    <w:jc w:val="left"/>
                    <w:jc w:val="center"/>
                  </w:pPr>
                  <w:r>
                    <w:t xml:space="preserve">-0.018</w:t>
                  </w:r>
                </w:p>
              </w:tc>
              <w:tc>
                <w:tcPr/>
                <w:p>
                  <w:pPr>
                    <w:pStyle w:val="Compact"/>
                    <w:jc w:val="left"/>
                    <w:jc w:val="center"/>
                  </w:pPr>
                  <w:r>
                    <w:t xml:space="preserve">-0.002</w:t>
                  </w:r>
                </w:p>
              </w:tc>
              <w:tc>
                <w:tcPr/>
                <w:p>
                  <w:pPr>
                    <w:pStyle w:val="Compact"/>
                    <w:jc w:val="left"/>
                    <w:jc w:val="center"/>
                  </w:pPr>
                  <w:r>
                    <w:t xml:space="preserve">-0.094</w:t>
                  </w:r>
                </w:p>
              </w:tc>
              <w:tc>
                <w:tcPr/>
                <w:p>
                  <w:pPr>
                    <w:pStyle w:val="Compact"/>
                  </w:pPr>
                </w:p>
              </w:tc>
              <w:tc>
                <w:tcPr/>
                <w:p>
                  <w:pPr>
                    <w:pStyle w:val="Compact"/>
                  </w:pPr>
                </w:p>
              </w:tc>
            </w:tr>
            <w:tr>
              <w:tc>
                <w:tcPr/>
                <w:p>
                  <w:pPr>
                    <w:pStyle w:val="Compact"/>
                    <w:jc w:val="left"/>
                    <w:jc w:val="center"/>
                  </w:pPr>
                  <w:r>
                    <w:t xml:space="preserve">First-year</w:t>
                  </w:r>
                </w:p>
              </w:tc>
              <w:tc>
                <w:tcPr/>
                <w:p>
                  <w:pPr>
                    <w:pStyle w:val="Compact"/>
                    <w:jc w:val="left"/>
                    <w:jc w:val="center"/>
                  </w:pPr>
                  <w:r>
                    <w:t xml:space="preserve">0.022</w:t>
                  </w:r>
                </w:p>
              </w:tc>
              <w:tc>
                <w:tcPr/>
                <w:p>
                  <w:pPr>
                    <w:pStyle w:val="Compact"/>
                    <w:jc w:val="left"/>
                    <w:jc w:val="center"/>
                  </w:pPr>
                  <w:r>
                    <w:t xml:space="preserve">-0.043</w:t>
                  </w:r>
                </w:p>
              </w:tc>
              <w:tc>
                <w:tcPr/>
                <w:p>
                  <w:pPr>
                    <w:pStyle w:val="Compact"/>
                    <w:jc w:val="left"/>
                    <w:jc w:val="center"/>
                  </w:pPr>
                  <w:r>
                    <w:t xml:space="preserve">0.040</w:t>
                  </w:r>
                </w:p>
              </w:tc>
              <w:tc>
                <w:tcPr/>
                <w:p>
                  <w:pPr>
                    <w:pStyle w:val="Compact"/>
                  </w:pPr>
                </w:p>
              </w:tc>
              <w:tc>
                <w:tcPr/>
                <w:p>
                  <w:pPr>
                    <w:pStyle w:val="Compact"/>
                  </w:pPr>
                </w:p>
              </w:tc>
            </w:tr>
            <w:tr>
              <w:tc>
                <w:tcPr/>
                <w:p>
                  <w:pPr>
                    <w:pStyle w:val="Compact"/>
                    <w:jc w:val="left"/>
                    <w:jc w:val="center"/>
                  </w:pPr>
                  <w:r>
                    <w:t xml:space="preserve">Multi-year</w:t>
                  </w:r>
                </w:p>
              </w:tc>
              <w:tc>
                <w:tcPr/>
                <w:p>
                  <w:pPr>
                    <w:pStyle w:val="Compact"/>
                    <w:jc w:val="left"/>
                    <w:jc w:val="center"/>
                  </w:pPr>
                  <w:r>
                    <w:t xml:space="preserve">0.618</w:t>
                  </w:r>
                </w:p>
              </w:tc>
              <w:tc>
                <w:tcPr/>
                <w:p>
                  <w:pPr>
                    <w:pStyle w:val="Compact"/>
                    <w:jc w:val="left"/>
                    <w:jc w:val="center"/>
                  </w:pPr>
                  <w:r>
                    <w:t xml:space="preserve">0.279</w:t>
                  </w:r>
                </w:p>
              </w:tc>
              <w:tc>
                <w:tcPr/>
                <w:p>
                  <w:pPr>
                    <w:pStyle w:val="Compact"/>
                    <w:jc w:val="left"/>
                    <w:jc w:val="center"/>
                  </w:pPr>
                  <w:r>
                    <w:t xml:space="preserve">-0.042</w:t>
                  </w:r>
                </w:p>
              </w:tc>
              <w:tc>
                <w:tcPr/>
                <w:p>
                  <w:pPr>
                    <w:pStyle w:val="Compact"/>
                  </w:pPr>
                </w:p>
              </w:tc>
              <w:tc>
                <w:tcPr/>
                <w:p>
                  <w:pPr>
                    <w:pStyle w:val="Compact"/>
                  </w:pPr>
                </w:p>
              </w:tc>
            </w:tr>
          </w:tbl>
          <w:bookmarkEnd w:id="69"/>
          <w:p/>
        </w:tc>
      </w:tr>
    </w:tbl>
    <w:p>
      <w:r>
        <w:br w:type="page"/>
      </w:r>
    </w:p>
    <w:bookmarkEnd w:id="70"/>
    <w:bookmarkEnd w:id="71"/>
    <w:bookmarkStart w:id="266" w:name="references"/>
    <w:p>
      <w:pPr>
        <w:pStyle w:val="Heading1"/>
      </w:pPr>
      <w:r>
        <w:t xml:space="preserve">References</w:t>
      </w:r>
    </w:p>
    <w:bookmarkStart w:id="265" w:name="refs"/>
    <w:bookmarkStart w:id="73" w:name="ref-ainleyCetaceanOccurrencePatterns2007"/>
    <w:p>
      <w:pPr>
        <w:pStyle w:val="Bibliography"/>
      </w:pPr>
      <w:r>
        <w:t xml:space="preserve">Ainley DG, Dugger KM, Toniolo V, Gaffney I (2007)</w:t>
      </w:r>
      <w:r>
        <w:t xml:space="preserve"> </w:t>
      </w:r>
      <w:hyperlink r:id="rId72">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73"/>
    <w:bookmarkStart w:id="75" w:name="Xac6cc9b5548384d047e782284cbfcbce89c30ee"/>
    <w:p>
      <w:pPr>
        <w:pStyle w:val="Bibliography"/>
      </w:pPr>
      <w:r>
        <w:t xml:space="preserve">Ainley DG, Fraser WR, Sullivan CW, Torres JJ, Hopkins TL, Smith WO (1986)</w:t>
      </w:r>
      <w:r>
        <w:t xml:space="preserve"> </w:t>
      </w:r>
      <w:hyperlink r:id="rId74">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75"/>
    <w:bookmarkStart w:id="76"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76"/>
    <w:bookmarkStart w:id="78" w:name="X2071f06785f6d0fe678e9b514dbc8172dc84050"/>
    <w:p>
      <w:pPr>
        <w:pStyle w:val="Bibliography"/>
      </w:pPr>
      <w:r>
        <w:t xml:space="preserve">Ainley DG, Ribic CA, Spear LB (1993)</w:t>
      </w:r>
      <w:r>
        <w:t xml:space="preserve"> </w:t>
      </w:r>
      <w:hyperlink r:id="rId77">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78"/>
    <w:bookmarkStart w:id="80" w:name="ref-ainleyBirdsAntarcticSea2017"/>
    <w:p>
      <w:pPr>
        <w:pStyle w:val="Bibliography"/>
      </w:pPr>
      <w:r>
        <w:t xml:space="preserve">Ainley DG, Woehler EJ, Lescroël A (2017)</w:t>
      </w:r>
      <w:r>
        <w:t xml:space="preserve"> </w:t>
      </w:r>
      <w:hyperlink r:id="rId79">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570–582</w:t>
      </w:r>
    </w:p>
    <w:bookmarkEnd w:id="80"/>
    <w:bookmarkStart w:id="82" w:name="X08b337b9df47b5311c88de9b41f7f7ad5271474"/>
    <w:p>
      <w:pPr>
        <w:pStyle w:val="Bibliography"/>
      </w:pPr>
      <w:r>
        <w:t xml:space="preserve">Bathmann UV, Makarov RR, Spiridonov VA, Rohardt G (1993)</w:t>
      </w:r>
      <w:r>
        <w:t xml:space="preserve"> </w:t>
      </w:r>
      <w:hyperlink r:id="rId81">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
            <w:iCs/>
          </w:rPr>
          <w:t xml:space="preserve">Calanoides</w:t>
        </w:r>
        <w:r>
          <w:rPr>
            <w:rStyle w:val="Hyperlink"/>
          </w:rPr>
          <w:t xml:space="preserve"> </w:t>
        </w:r>
        <w:r>
          <w:rPr>
            <w:rStyle w:val="Hyperlink"/>
            <w:i/>
            <w:iCs/>
          </w:rPr>
          <w:t xml:space="preserve">Acutus</w:t>
        </w:r>
        <w:r>
          <w:rPr>
            <w:rStyle w:val="Hyperlink"/>
          </w:rPr>
          <w:t xml:space="preserve">,</w:t>
        </w:r>
        <w:r>
          <w:rPr>
            <w:rStyle w:val="Hyperlink"/>
          </w:rPr>
          <w:t xml:space="preserve"> </w:t>
        </w:r>
        <w:r>
          <w:rPr>
            <w:rStyle w:val="Hyperlink"/>
            <w:i/>
            <w:iCs/>
          </w:rPr>
          <w:t xml:space="preserve">Rhincalanus</w:t>
        </w:r>
        <w:r>
          <w:rPr>
            <w:rStyle w:val="Hyperlink"/>
          </w:rPr>
          <w:t xml:space="preserve"> </w:t>
        </w:r>
        <w:r>
          <w:rPr>
            <w:rStyle w:val="Hyperlink"/>
            <w:i/>
            <w:iCs/>
          </w:rPr>
          <w:t xml:space="preserve">Gigas</w:t>
        </w:r>
        <w:r>
          <w:rPr>
            <w:rStyle w:val="Hyperlink"/>
          </w:rPr>
          <w:t xml:space="preserve"> </w:t>
        </w:r>
        <w:r>
          <w:rPr>
            <w:rStyle w:val="Hyperlink"/>
          </w:rPr>
          <w:t xml:space="preserve">and</w:t>
        </w:r>
        <w:r>
          <w:rPr>
            <w:rStyle w:val="Hyperlink"/>
          </w:rPr>
          <w:t xml:space="preserve"> </w:t>
        </w:r>
        <w:r>
          <w:rPr>
            <w:rStyle w:val="Hyperlink"/>
            <w:i/>
            <w:iCs/>
          </w:rPr>
          <w:t xml:space="preserve">Calanus</w:t>
        </w:r>
        <w:r>
          <w:rPr>
            <w:rStyle w:val="Hyperlink"/>
          </w:rPr>
          <w:t xml:space="preserve"> </w:t>
        </w:r>
        <w:r>
          <w:rPr>
            <w:rStyle w:val="Hyperlink"/>
            <w:i/>
            <w:iCs/>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82"/>
    <w:bookmarkStart w:id="84" w:name="ref-besterAntarcticMarineMammals2017"/>
    <w:p>
      <w:pPr>
        <w:pStyle w:val="Bibliography"/>
      </w:pPr>
      <w:r>
        <w:t xml:space="preserve">Bester MN, Bornemann H, McIntyre T (2017)</w:t>
      </w:r>
      <w:r>
        <w:t xml:space="preserve"> </w:t>
      </w:r>
      <w:hyperlink r:id="rId83">
        <w:r>
          <w:rPr>
            <w:rStyle w:val="Hyperlink"/>
          </w:rPr>
          <w:t xml:space="preserve">Antarctic marine mammals and 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534–555</w:t>
      </w:r>
    </w:p>
    <w:bookmarkEnd w:id="84"/>
    <w:bookmarkStart w:id="86"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85">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86"/>
    <w:bookmarkStart w:id="88" w:name="ref-blixRossSealOmmatophoca2007"/>
    <w:p>
      <w:pPr>
        <w:pStyle w:val="Bibliography"/>
      </w:pPr>
      <w:r>
        <w:t xml:space="preserve">Blix AS, Nordøy ES (2007)</w:t>
      </w:r>
      <w:r>
        <w:t xml:space="preserve"> </w:t>
      </w:r>
      <w:hyperlink r:id="rId87">
        <w:r>
          <w:rPr>
            <w:rStyle w:val="Hyperlink"/>
          </w:rPr>
          <w:t xml:space="preserve">Ross Seal (</w:t>
        </w:r>
        <w:r>
          <w:rPr>
            <w:rStyle w:val="Hyperlink"/>
            <w:i/>
            <w:iCs/>
          </w:rPr>
          <w:t xml:space="preserve">Ommatophoca</w:t>
        </w:r>
        <w:r>
          <w:rPr>
            <w:rStyle w:val="Hyperlink"/>
          </w:rPr>
          <w:t xml:space="preserve"> </w:t>
        </w:r>
        <w:r>
          <w:rPr>
            <w:rStyle w:val="Hyperlink"/>
            <w:i/>
            <w:iCs/>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88"/>
    <w:bookmarkStart w:id="90" w:name="ref-burnsWinterHabitatUse2004"/>
    <w:p>
      <w:pPr>
        <w:pStyle w:val="Bibliography"/>
      </w:pPr>
      <w:r>
        <w:t xml:space="preserve">Burns JM, Costa DP, Fedak MA, Hindell MA, Bradshaw CJA, Gales NJ, McDonald B, Trumble SJ, Crocker DE (2004)</w:t>
      </w:r>
      <w:r>
        <w:t xml:space="preserve"> </w:t>
      </w:r>
      <w:hyperlink r:id="rId89">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90"/>
    <w:bookmarkStart w:id="92" w:name="ref-casauxDietLeopardSeal2009"/>
    <w:p>
      <w:pPr>
        <w:pStyle w:val="Bibliography"/>
      </w:pPr>
      <w:r>
        <w:t xml:space="preserve">Casaux R, Baroni A, Ramón A, Carlini A, Bertolin M, DiPrinzio CY (2009)</w:t>
      </w:r>
      <w:r>
        <w:t xml:space="preserve"> </w:t>
      </w:r>
      <w:hyperlink r:id="rId91">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92"/>
    <w:bookmarkStart w:id="94" w:name="ref-casauxShagsAntarcticaTheir2006"/>
    <w:p>
      <w:pPr>
        <w:pStyle w:val="Bibliography"/>
      </w:pPr>
      <w:r>
        <w:t xml:space="preserve">Casaux R, Barrera-Oro E (2006)</w:t>
      </w:r>
      <w:r>
        <w:t xml:space="preserve"> </w:t>
      </w:r>
      <w:hyperlink r:id="rId93">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94"/>
    <w:bookmarkStart w:id="96" w:name="ref-ciminoClimatedrivenSympatryMay2016"/>
    <w:p>
      <w:pPr>
        <w:pStyle w:val="Bibliography"/>
      </w:pPr>
      <w:r>
        <w:t xml:space="preserve">Cimino MA, Moline MA, Fraser WR, Patterson-Fraser DL, Oliver MJ (2016)</w:t>
      </w:r>
      <w:r>
        <w:t xml:space="preserve"> </w:t>
      </w:r>
      <w:hyperlink r:id="rId95">
        <w:r>
          <w:rPr>
            <w:rStyle w:val="Hyperlink"/>
          </w:rPr>
          <w:t xml:space="preserve">Climate-Driven Sympatry May Not Lead to Foraging Competition Between Congeneric Top-Predators</w:t>
        </w:r>
      </w:hyperlink>
      <w:r>
        <w:t xml:space="preserve">. Scientific Reports 6:18820.</w:t>
      </w:r>
    </w:p>
    <w:bookmarkEnd w:id="96"/>
    <w:bookmarkStart w:id="98" w:name="ref-clarkeClimateChangeMarine2007"/>
    <w:p>
      <w:pPr>
        <w:pStyle w:val="Bibliography"/>
      </w:pPr>
      <w:r>
        <w:t xml:space="preserve">Clarke A, Murphy EJ, Meredith MP, King JC, Peck LS, Barnes DKA, Smith RC (2007)</w:t>
      </w:r>
      <w:r>
        <w:t xml:space="preserve"> </w:t>
      </w:r>
      <w:hyperlink r:id="rId97">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98"/>
    <w:bookmarkStart w:id="100" w:name="ref-corsoClimateDrivesLongterm2022"/>
    <w:p>
      <w:pPr>
        <w:pStyle w:val="Bibliography"/>
      </w:pPr>
      <w:r>
        <w:t xml:space="preserve">Corso AD, Steinberg DK, Stammerjohn SE, Hilton EJ (2022)</w:t>
      </w:r>
      <w:r>
        <w:t xml:space="preserve"> </w:t>
      </w:r>
      <w:hyperlink r:id="rId99">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100"/>
    <w:bookmarkStart w:id="102" w:name="ref-costaLargeDiatomBloom2021"/>
    <w:p>
      <w:pPr>
        <w:pStyle w:val="Bibliography"/>
      </w:pPr>
      <w:r>
        <w:t xml:space="preserve">Costa RR, Mendes CRB, Ferreira A, Tavano VM, Dotto TS, Secchi ER (2021)</w:t>
      </w:r>
      <w:r>
        <w:t xml:space="preserve"> </w:t>
      </w:r>
      <w:hyperlink r:id="rId101">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102"/>
    <w:bookmarkStart w:id="104" w:name="ref-croxallFoodFeedingEcology1980"/>
    <w:p>
      <w:pPr>
        <w:pStyle w:val="Bibliography"/>
      </w:pPr>
      <w:r>
        <w:t xml:space="preserve">Croxall JP, Prince PA (1980)</w:t>
      </w:r>
      <w:r>
        <w:t xml:space="preserve"> </w:t>
      </w:r>
      <w:hyperlink r:id="rId103">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104"/>
    <w:bookmarkStart w:id="106" w:name="ref-croxallImportancePatagonianShelf2002"/>
    <w:p>
      <w:pPr>
        <w:pStyle w:val="Bibliography"/>
      </w:pPr>
      <w:r>
        <w:t xml:space="preserve">Croxall JP, Wood AG (2002)</w:t>
      </w:r>
      <w:r>
        <w:t xml:space="preserve"> </w:t>
      </w:r>
      <w:hyperlink r:id="rId105">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106"/>
    <w:bookmarkStart w:id="108" w:name="ref-dakosCriticalSlowingEarly2014"/>
    <w:p>
      <w:pPr>
        <w:pStyle w:val="Bibliography"/>
      </w:pPr>
      <w:r>
        <w:t xml:space="preserve">Dakos V, Bascompte J (2014)</w:t>
      </w:r>
      <w:r>
        <w:t xml:space="preserve"> </w:t>
      </w:r>
      <w:hyperlink r:id="rId107">
        <w:r>
          <w:rPr>
            <w:rStyle w:val="Hyperlink"/>
          </w:rPr>
          <w:t xml:space="preserve">Critical Slowing down as Early Warning for the Onset of Collapse in Mutualistic Communities</w:t>
        </w:r>
      </w:hyperlink>
      <w:r>
        <w:t xml:space="preserve">. Proceedings of the National Academy of Sciences 111:17546–17551.</w:t>
      </w:r>
    </w:p>
    <w:bookmarkEnd w:id="108"/>
    <w:bookmarkStart w:id="110" w:name="ref-daneriDietAntarcticFur2005"/>
    <w:p>
      <w:pPr>
        <w:pStyle w:val="Bibliography"/>
      </w:pPr>
      <w:r>
        <w:t xml:space="preserve">Daneri GA, Carlini AR, Hernandez CM, Harrington A (2005)</w:t>
      </w:r>
      <w:r>
        <w:t xml:space="preserve"> </w:t>
      </w:r>
      <w:hyperlink r:id="rId109">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10"/>
    <w:bookmarkStart w:id="112" w:name="ref-daneriFeedingHabitsSouthern2015"/>
    <w:p>
      <w:pPr>
        <w:pStyle w:val="Bibliography"/>
      </w:pPr>
      <w:r>
        <w:t xml:space="preserve">Daneri GA, Carlini AR, Marschoff ER, Harrington A, Negrete J, Mennucci JA, Márquez MEI (2015)</w:t>
      </w:r>
      <w:r>
        <w:t xml:space="preserve"> </w:t>
      </w:r>
      <w:hyperlink r:id="rId111">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
            <w:iCs/>
          </w:rPr>
          <w:t xml:space="preserve">Mirounga</w:t>
        </w:r>
        <w:r>
          <w:rPr>
            <w:rStyle w:val="Hyperlink"/>
          </w:rPr>
          <w:t xml:space="preserve"> </w:t>
        </w:r>
        <w:r>
          <w:rPr>
            <w:rStyle w:val="Hyperlink"/>
            <w:i/>
            <w:iCs/>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12"/>
    <w:bookmarkStart w:id="114" w:name="ref-delordAntarcticPetrelsIce2020"/>
    <w:p>
      <w:pPr>
        <w:pStyle w:val="Bibliography"/>
      </w:pPr>
      <w:r>
        <w:t xml:space="preserve">Delord K, Kato A, Tarroux A, Orgeret F, Cotté C, Ropert-Coudert Y, Cherel Y, Descamps S (2020)</w:t>
      </w:r>
      <w:r>
        <w:t xml:space="preserve"> </w:t>
      </w:r>
      <w:hyperlink r:id="rId113">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14"/>
    <w:bookmarkStart w:id="116" w:name="ref-delordSpeciesSpecificForaging2016"/>
    <w:p>
      <w:pPr>
        <w:pStyle w:val="Bibliography"/>
      </w:pPr>
      <w:r>
        <w:t xml:space="preserve">Delord K, Pinet P, Pinaud D, Barbraud C, De Grissac S, Lewden A, Cherel Y, Weimerskirch H (2016)</w:t>
      </w:r>
      <w:r>
        <w:t xml:space="preserve"> </w:t>
      </w:r>
      <w:hyperlink r:id="rId115">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16"/>
    <w:bookmarkStart w:id="118" w:name="ref-descalzoRelevanceFishSummer2023"/>
    <w:p>
      <w:pPr>
        <w:pStyle w:val="Bibliography"/>
      </w:pPr>
      <w:r>
        <w:t xml:space="preserve">Descalzo M, Daneri GA, Harrington A, Negrete J, Negri A, Corbalán A, Barrera-Oro E (2023)</w:t>
      </w:r>
      <w:r>
        <w:t xml:space="preserve"> </w:t>
      </w:r>
      <w:hyperlink r:id="rId117">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18"/>
    <w:bookmarkStart w:id="119"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9"/>
    <w:bookmarkStart w:id="121" w:name="X62706a2b55eb9f534cdc2f902b2e8e47c40ba0e"/>
    <w:p>
      <w:pPr>
        <w:pStyle w:val="Bibliography"/>
      </w:pPr>
      <w:r>
        <w:t xml:space="preserve">Dominello T, Širović A (2016)</w:t>
      </w:r>
      <w:r>
        <w:t xml:space="preserve"> </w:t>
      </w:r>
      <w:hyperlink r:id="rId120">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21"/>
    <w:bookmarkStart w:id="123"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22">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23"/>
    <w:bookmarkStart w:id="125" w:name="ref-ducklowMarinePelagicEcosystem2022"/>
    <w:p>
      <w:pPr>
        <w:pStyle w:val="Bibliography"/>
      </w:pPr>
      <w:r>
        <w:t xml:space="preserve">Ducklow HW, Cimino MA, Dunton KH, Fraser WR, Hopcroft RR, Ji R, Miller AJ, Ohman MD, Sosik HM (2022)</w:t>
      </w:r>
      <w:r>
        <w:t xml:space="preserve"> </w:t>
      </w:r>
      <w:hyperlink r:id="rId124">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25"/>
    <w:bookmarkStart w:id="126"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26"/>
    <w:bookmarkStart w:id="127" w:name="ref-dufrene1997species"/>
    <w:p>
      <w:pPr>
        <w:pStyle w:val="Bibliography"/>
      </w:pPr>
      <w:r>
        <w:t xml:space="preserve">Dufrêne M, Legendre P (1997) Species Assemblages and Indicator Species: The Need for a Flexible Asymmetrical Approach. Ecological monographs 67:345–366.</w:t>
      </w:r>
    </w:p>
    <w:bookmarkEnd w:id="127"/>
    <w:bookmarkStart w:id="129" w:name="ref-eayrsRapidDeclineAntarctic2021"/>
    <w:p>
      <w:pPr>
        <w:pStyle w:val="Bibliography"/>
      </w:pPr>
      <w:r>
        <w:t xml:space="preserve">Eayrs C, Li X, Raphael MN, Holland DM (2021)</w:t>
      </w:r>
      <w:r>
        <w:t xml:space="preserve"> </w:t>
      </w:r>
      <w:hyperlink r:id="rId128">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9"/>
    <w:bookmarkStart w:id="131" w:name="ref-espositoFirstSightingsAntarctic2021"/>
    <w:p>
      <w:pPr>
        <w:pStyle w:val="Bibliography"/>
      </w:pPr>
      <w:r>
        <w:t xml:space="preserve">Esposito C, Bichet O, Petit M (2021)</w:t>
      </w:r>
      <w:r>
        <w:t xml:space="preserve"> </w:t>
      </w:r>
      <w:hyperlink r:id="rId130">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31"/>
    <w:bookmarkStart w:id="133" w:name="X8c7b19fc498333ce938afcd0a312f17e5a08b2f"/>
    <w:p>
      <w:pPr>
        <w:pStyle w:val="Bibliography"/>
      </w:pPr>
      <w:r>
        <w:t xml:space="preserve">Evans PGH (1982)</w:t>
      </w:r>
      <w:r>
        <w:t xml:space="preserve"> </w:t>
      </w:r>
      <w:hyperlink r:id="rId132">
        <w:r>
          <w:rPr>
            <w:rStyle w:val="Hyperlink"/>
          </w:rPr>
          <w:t xml:space="preserve">Associations Between Seabirds and Cetaceans: A Review</w:t>
        </w:r>
      </w:hyperlink>
      <w:r>
        <w:t xml:space="preserve">. Mammal Review 12:187–206.</w:t>
      </w:r>
    </w:p>
    <w:bookmarkEnd w:id="133"/>
    <w:bookmarkStart w:id="135" w:name="ref-faveroForagingEcologyPaleFaced1996"/>
    <w:p>
      <w:pPr>
        <w:pStyle w:val="Bibliography"/>
      </w:pPr>
      <w:r>
        <w:t xml:space="preserve">Favero M (1996)</w:t>
      </w:r>
      <w:r>
        <w:t xml:space="preserve"> </w:t>
      </w:r>
      <w:hyperlink r:id="rId134">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35"/>
    <w:bookmarkStart w:id="137" w:name="ref-filunFrozenVersesAntarctic2020"/>
    <w:p>
      <w:pPr>
        <w:pStyle w:val="Bibliography"/>
      </w:pPr>
      <w:r>
        <w:t xml:space="preserve">Filun D, Thomisch K, Boebel O, Brey T, Širović A, Spiesecke S, Van Opzeeland I (2020)</w:t>
      </w:r>
      <w:r>
        <w:t xml:space="preserve"> </w:t>
      </w:r>
      <w:hyperlink r:id="rId136">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 Predominantly During Austral Winter</w:t>
        </w:r>
      </w:hyperlink>
      <w:r>
        <w:t xml:space="preserve">. Royal Society Open Science 7:192112.</w:t>
      </w:r>
    </w:p>
    <w:bookmarkEnd w:id="137"/>
    <w:bookmarkStart w:id="139" w:name="ref-floresSeasonalChangesVertical2014"/>
    <w:p>
      <w:pPr>
        <w:pStyle w:val="Bibliography"/>
      </w:pPr>
      <w:r>
        <w:t xml:space="preserve">Flores H, Hunt BPV, Kruse S, Pakhomov EA, Siegel V, Van Franeker JA, Strass V, Van De Putte AP, Meesters EHWG, Bathmann U (2014)</w:t>
      </w:r>
      <w:r>
        <w:t xml:space="preserve"> </w:t>
      </w:r>
      <w:hyperlink r:id="rId138">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9"/>
    <w:bookmarkStart w:id="141" w:name="ref-forcadaNinetyYearsChange2023"/>
    <w:p>
      <w:pPr>
        <w:pStyle w:val="Bibliography"/>
      </w:pPr>
      <w:r>
        <w:t xml:space="preserve">Forcada J, Hoffman JI, Gimenez O, Staniland IJ, Bucktrout P, Wood AG (2023)</w:t>
      </w:r>
      <w:r>
        <w:t xml:space="preserve"> </w:t>
      </w:r>
      <w:hyperlink r:id="rId140">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41"/>
    <w:bookmarkStart w:id="143" w:name="ref-fraserIceEdgesSeabird1986"/>
    <w:p>
      <w:pPr>
        <w:pStyle w:val="Bibliography"/>
      </w:pPr>
      <w:r>
        <w:t xml:space="preserve">Fraser WR, Ainley DG (1986)</w:t>
      </w:r>
      <w:r>
        <w:t xml:space="preserve"> </w:t>
      </w:r>
      <w:hyperlink r:id="rId142">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43"/>
    <w:bookmarkStart w:id="145" w:name="ref-friedlaenderFeedingRatesUnderice2014"/>
    <w:p>
      <w:pPr>
        <w:pStyle w:val="Bibliography"/>
      </w:pPr>
      <w:r>
        <w:t xml:space="preserve">Friedlaender AS, Goldbogen JA, Nowacek DP, Read AJ, Johnston D, Gales N (2014)</w:t>
      </w:r>
      <w:r>
        <w:t xml:space="preserve"> </w:t>
      </w:r>
      <w:hyperlink r:id="rId144">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w:t>
        </w:r>
        <w:r>
          <w:rPr>
            <w:rStyle w:val="Hyperlink"/>
          </w:rPr>
          <w:t xml:space="preserve">)</w:t>
        </w:r>
      </w:hyperlink>
      <w:r>
        <w:t xml:space="preserve">. Journal of Experimental Biology 217:2851–2854.</w:t>
      </w:r>
    </w:p>
    <w:bookmarkEnd w:id="145"/>
    <w:bookmarkStart w:id="147" w:name="ref-guinetSouthernElephantSeal2014"/>
    <w:p>
      <w:pPr>
        <w:pStyle w:val="Bibliography"/>
      </w:pPr>
      <w:r>
        <w:t xml:space="preserve">Guinet C, Vacquié-Garcia J, Picard B, Bessigneul G, Lebras Y, Dragon A, Viviant M, Arnould J, Bailleul F (2014)</w:t>
      </w:r>
      <w:r>
        <w:t xml:space="preserve"> </w:t>
      </w:r>
      <w:hyperlink r:id="rId146">
        <w:r>
          <w:rPr>
            <w:rStyle w:val="Hyperlink"/>
          </w:rPr>
          <w:t xml:space="preserve">Southern Elephant Seal Foraging Success in Relation to Temperature and Light Conditions: Insight into Prey Distribution</w:t>
        </w:r>
      </w:hyperlink>
      <w:r>
        <w:t xml:space="preserve">. Marine Ecology Progress Series 499:285–301.</w:t>
      </w:r>
    </w:p>
    <w:bookmarkEnd w:id="147"/>
    <w:bookmarkStart w:id="149" w:name="X409c036d0f4a92a430fe83cccc66fe7f5473dbb"/>
    <w:p>
      <w:pPr>
        <w:pStyle w:val="Bibliography"/>
      </w:pPr>
      <w:r>
        <w:t xml:space="preserve">Harrison NM, Whitehouse MJ, Heinemann D, Prince PA, Hunt GL Jr., Veit RR (1991)</w:t>
      </w:r>
      <w:r>
        <w:t xml:space="preserve"> </w:t>
      </w:r>
      <w:hyperlink r:id="rId148">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9"/>
    <w:bookmarkStart w:id="151" w:name="ref-herrAerialSurveysAntarctic2019"/>
    <w:p>
      <w:pPr>
        <w:pStyle w:val="Bibliography"/>
      </w:pPr>
      <w:r>
        <w:t xml:space="preserve">Herr H, Kelly N, Dorschel B, Huntemann M, Kock K-H, Lehnert LS, Siebert U, Viquerat S, Williams R, Scheidat M (2019)</w:t>
      </w:r>
      <w:r>
        <w:t xml:space="preserve"> </w:t>
      </w:r>
      <w:hyperlink r:id="rId150">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Reveal Sea Ice Dependent Distribution Patterns</w:t>
        </w:r>
      </w:hyperlink>
      <w:r>
        <w:t xml:space="preserve">. Ecology and Evolution 9:5664–5682.</w:t>
      </w:r>
    </w:p>
    <w:bookmarkEnd w:id="151"/>
    <w:bookmarkStart w:id="153" w:name="ref-hinkeIdentifyingRiskConcurrent2017"/>
    <w:p>
      <w:pPr>
        <w:pStyle w:val="Bibliography"/>
      </w:pPr>
      <w:r>
        <w:t xml:space="preserve">Hinke JT, Cossio AM, Goebel ME, Reiss CS, Trivelpiece WZ, Watters GM (2017)</w:t>
      </w:r>
      <w:r>
        <w:t xml:space="preserve"> </w:t>
      </w:r>
      <w:hyperlink r:id="rId152">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53"/>
    <w:bookmarkStart w:id="155" w:name="ref-hinkeDailyActivityMinimum2011"/>
    <w:p>
      <w:pPr>
        <w:pStyle w:val="Bibliography"/>
      </w:pPr>
      <w:r>
        <w:t xml:space="preserve">Hinke JT, Trivelpiece WZ (2011)</w:t>
      </w:r>
      <w:r>
        <w:t xml:space="preserve"> </w:t>
      </w:r>
      <w:hyperlink r:id="rId154">
        <w:r>
          <w:rPr>
            <w:rStyle w:val="Hyperlink"/>
          </w:rPr>
          <w:t xml:space="preserve">Daily Activity and Minimum Food Requirements During Winter for Gentoo Penguins (</w:t>
        </w:r>
        <w:r>
          <w:rPr>
            <w:rStyle w:val="Hyperlink"/>
            <w:i/>
            <w:iCs/>
          </w:rPr>
          <w:t xml:space="preserve">Pygoscelis</w:t>
        </w:r>
        <w:r>
          <w:rPr>
            <w:rStyle w:val="Hyperlink"/>
          </w:rPr>
          <w:t xml:space="preserve"> </w:t>
        </w:r>
        <w:r>
          <w:rPr>
            <w:rStyle w:val="Hyperlink"/>
            <w:i/>
            <w:iCs/>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55"/>
    <w:bookmarkStart w:id="157" w:name="ref-hoffmanEcologySeabirdFeeding1981"/>
    <w:p>
      <w:pPr>
        <w:pStyle w:val="Bibliography"/>
      </w:pPr>
      <w:r>
        <w:t xml:space="preserve">Hoffman W, Heinemann D, Wiens JA (1981)</w:t>
      </w:r>
      <w:r>
        <w:t xml:space="preserve"> </w:t>
      </w:r>
      <w:hyperlink r:id="rId156">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57"/>
    <w:bookmarkStart w:id="159" w:name="Xc7b0d5d508b6adc1cd448cf31bbf62b0ea27fe0"/>
    <w:p>
      <w:pPr>
        <w:pStyle w:val="Bibliography"/>
      </w:pPr>
      <w:r>
        <w:t xml:space="preserve">Hopkins TL, Torres JJ (1988)</w:t>
      </w:r>
      <w:r>
        <w:t xml:space="preserve"> </w:t>
      </w:r>
      <w:hyperlink r:id="rId158">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9"/>
    <w:bookmarkStart w:id="161" w:name="ref-huckstadtDietSpecialistChanging2012"/>
    <w:p>
      <w:pPr>
        <w:pStyle w:val="Bibliography"/>
      </w:pPr>
      <w:r>
        <w:t xml:space="preserve">Hückstädt LA, Burns JM, Koch PL, McDonald BI, Crocker DE, Costa DP (2012)</w:t>
      </w:r>
      <w:r>
        <w:t xml:space="preserve"> </w:t>
      </w:r>
      <w:hyperlink r:id="rId160">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61"/>
    <w:bookmarkStart w:id="163" w:name="X9fbe8ab1970b9f1e81cccc43ab3cd1ac8d76be7"/>
    <w:p>
      <w:pPr>
        <w:pStyle w:val="Bibliography"/>
      </w:pPr>
      <w:r>
        <w:t xml:space="preserve">Hunt GL, Heinemann D, Veit RR, Heywood RB, Everson I (1990)</w:t>
      </w:r>
      <w:r>
        <w:t xml:space="preserve"> </w:t>
      </w:r>
      <w:hyperlink r:id="rId162">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63"/>
    <w:bookmarkStart w:id="165" w:name="ref-hunterFoodFeedingEcology1983"/>
    <w:p>
      <w:pPr>
        <w:pStyle w:val="Bibliography"/>
      </w:pPr>
      <w:r>
        <w:t xml:space="preserve">Hunter S (1983)</w:t>
      </w:r>
      <w:r>
        <w:t xml:space="preserve"> </w:t>
      </w:r>
      <w:hyperlink r:id="rId164">
        <w:r>
          <w:rPr>
            <w:rStyle w:val="Hyperlink"/>
          </w:rPr>
          <w:t xml:space="preserve">The Food and Feeding Ecology of the Giant Petrels</w:t>
        </w:r>
        <w:r>
          <w:rPr>
            <w:rStyle w:val="Hyperlink"/>
          </w:rPr>
          <w:t xml:space="preserve"> </w:t>
        </w:r>
        <w:r>
          <w:rPr>
            <w:rStyle w:val="Hyperlink"/>
            <w:i/>
            <w:iCs/>
          </w:rPr>
          <w:t xml:space="preserve">Macronectes</w:t>
        </w:r>
        <w:r>
          <w:rPr>
            <w:rStyle w:val="Hyperlink"/>
          </w:rPr>
          <w:t xml:space="preserve"> </w:t>
        </w:r>
        <w:r>
          <w:rPr>
            <w:rStyle w:val="Hyperlink"/>
            <w:i/>
            <w:iCs/>
          </w:rPr>
          <w:t xml:space="preserve">Halli</w:t>
        </w:r>
        <w:r>
          <w:rPr>
            <w:rStyle w:val="Hyperlink"/>
          </w:rPr>
          <w:t xml:space="preserve"> </w:t>
        </w:r>
        <w:r>
          <w:rPr>
            <w:rStyle w:val="Hyperlink"/>
          </w:rPr>
          <w:t xml:space="preserve">and</w:t>
        </w:r>
        <w:r>
          <w:rPr>
            <w:rStyle w:val="Hyperlink"/>
          </w:rPr>
          <w:t xml:space="preserve"> </w:t>
        </w:r>
        <w:r>
          <w:rPr>
            <w:rStyle w:val="Hyperlink"/>
            <w:i/>
            <w:iCs/>
          </w:rPr>
          <w:t xml:space="preserve">M</w:t>
        </w:r>
        <w:r>
          <w:rPr>
            <w:rStyle w:val="Hyperlink"/>
            <w:i/>
            <w:iCs/>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65"/>
    <w:bookmarkStart w:id="167" w:name="ref-jonesSixtyYearsWidespread2019"/>
    <w:p>
      <w:pPr>
        <w:pStyle w:val="Bibliography"/>
      </w:pPr>
      <w:r>
        <w:t xml:space="preserve">Jones ME, Bromwich DH, Nicolas JP, Carrasco J, Plavcová E, Zou X, Wang S-H (2019)</w:t>
      </w:r>
      <w:r>
        <w:t xml:space="preserve"> </w:t>
      </w:r>
      <w:hyperlink r:id="rId166">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67"/>
    <w:bookmarkStart w:id="169" w:name="ref-juaresDietAdeliePenguins2018"/>
    <w:p>
      <w:pPr>
        <w:pStyle w:val="Bibliography"/>
      </w:pPr>
      <w:r>
        <w:t xml:space="preserve">Juáres MA, Casaux R, Corbalán A, Blanco G, Pereira GA, Perchivale PJ, Coria NR, Santos MM (2018)</w:t>
      </w:r>
      <w:r>
        <w:t xml:space="preserve"> </w:t>
      </w:r>
      <w:hyperlink r:id="rId168">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
            <w:iCs/>
          </w:rPr>
          <w:t xml:space="preserve">Pygoscelis</w:t>
        </w:r>
        <w:r>
          <w:rPr>
            <w:rStyle w:val="Hyperlink"/>
          </w:rPr>
          <w:t xml:space="preserve"> </w:t>
        </w:r>
        <w:r>
          <w:rPr>
            <w:rStyle w:val="Hyperlink"/>
            <w:i/>
            <w:iCs/>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9"/>
    <w:bookmarkStart w:id="170" w:name="ref-kawaguchi2020krill"/>
    <w:p>
      <w:pPr>
        <w:pStyle w:val="Bibliography"/>
      </w:pPr>
      <w:r>
        <w:t xml:space="preserve">Kawaguchi S, Nicol S (2020) Krill Fishery. Fisheries and Aquaculture:137–158.</w:t>
      </w:r>
    </w:p>
    <w:bookmarkEnd w:id="170"/>
    <w:bookmarkStart w:id="172" w:name="ref-kirkwoodForagingEcologyFemale1997"/>
    <w:p>
      <w:pPr>
        <w:pStyle w:val="Bibliography"/>
      </w:pPr>
      <w:r>
        <w:t xml:space="preserve">Kirkwood R, Robertson G (1997)</w:t>
      </w:r>
      <w:r>
        <w:t xml:space="preserve"> </w:t>
      </w:r>
      <w:hyperlink r:id="rId171">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72"/>
    <w:bookmarkStart w:id="174" w:name="ref-krauseRapidPopulationCollapse2022"/>
    <w:p>
      <w:pPr>
        <w:pStyle w:val="Bibliography"/>
      </w:pPr>
      <w:r>
        <w:t xml:space="preserve">Krause DJ, Bonin CA, Goebel ME, Reiss CS, Watters GM (2022)</w:t>
      </w:r>
      <w:r>
        <w:t xml:space="preserve"> </w:t>
      </w:r>
      <w:hyperlink r:id="rId173">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74"/>
    <w:bookmarkStart w:id="176" w:name="ref-krauseNovelForagingStrategies2015"/>
    <w:p>
      <w:pPr>
        <w:pStyle w:val="Bibliography"/>
      </w:pPr>
      <w:r>
        <w:t xml:space="preserve">Krause DJ, Goebel ME, Marshall GJ, Abernathy K (2015)</w:t>
      </w:r>
      <w:r>
        <w:t xml:space="preserve"> </w:t>
      </w:r>
      <w:hyperlink r:id="rId175">
        <w:r>
          <w:rPr>
            <w:rStyle w:val="Hyperlink"/>
          </w:rPr>
          <w:t xml:space="preserve">Novel Foraging Strategies Observed in a Growing Leopard Seal (</w:t>
        </w:r>
        <w:r>
          <w:rPr>
            <w:rStyle w:val="Hyperlink"/>
            <w:i/>
            <w:iCs/>
          </w:rPr>
          <w:t xml:space="preserve">Hydrurga</w:t>
        </w:r>
        <w:r>
          <w:rPr>
            <w:rStyle w:val="Hyperlink"/>
          </w:rPr>
          <w:t xml:space="preserve"> </w:t>
        </w:r>
        <w:r>
          <w:rPr>
            <w:rStyle w:val="Hyperlink"/>
            <w:i/>
            <w:iCs/>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76"/>
    <w:bookmarkStart w:id="178" w:name="ref-lakeRegionalTemporalFinescale2003"/>
    <w:p>
      <w:pPr>
        <w:pStyle w:val="Bibliography"/>
      </w:pPr>
      <w:r>
        <w:t xml:space="preserve">Lake S, Burton H, Van Den Hoff G (2003)</w:t>
      </w:r>
      <w:r>
        <w:t xml:space="preserve"> </w:t>
      </w:r>
      <w:hyperlink r:id="rId177">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78"/>
    <w:bookmarkStart w:id="180" w:name="X1f0cd1eff7826728501a3a926460d8e2f3331f0"/>
    <w:p>
      <w:pPr>
        <w:pStyle w:val="Bibliography"/>
      </w:pPr>
      <w:r>
        <w:t xml:space="preserve">Lee JF, Friedlaender AS, Oliver MJ, DeLiberty TL (2017)</w:t>
      </w:r>
      <w:r>
        <w:t xml:space="preserve"> </w:t>
      </w:r>
      <w:hyperlink r:id="rId179">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80"/>
    <w:bookmarkStart w:id="182" w:name="X0e0342c3a11abb318ff8f43bb949991f70bdcc4"/>
    <w:p>
      <w:pPr>
        <w:pStyle w:val="Bibliography"/>
      </w:pPr>
      <w:r>
        <w:t xml:space="preserve">Levin PS, Fogarty MJ, Murawski SA, Fluharty D (2009)</w:t>
      </w:r>
      <w:r>
        <w:t xml:space="preserve"> </w:t>
      </w:r>
      <w:hyperlink r:id="rId181">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82"/>
    <w:bookmarkStart w:id="184" w:name="ref-linDeclinePlanktonDiversity2021"/>
    <w:p>
      <w:pPr>
        <w:pStyle w:val="Bibliography"/>
      </w:pPr>
      <w:r>
        <w:t xml:space="preserve">Lin Y, Moreno C, Marchetti A, Ducklow H, Schofield O, Delage E, Meredith M, Li Z, Eveillard D, Chaffron S, Cassar N (2021)</w:t>
      </w:r>
      <w:r>
        <w:t xml:space="preserve"> </w:t>
      </w:r>
      <w:hyperlink r:id="rId183">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84"/>
    <w:bookmarkStart w:id="185"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
          <w:iCs/>
        </w:rPr>
        <w:t xml:space="preserve">Thalassoica</w:t>
      </w:r>
      <w:r>
        <w:t xml:space="preserve"> </w:t>
      </w:r>
      <w:r>
        <w:rPr>
          <w:i/>
          <w:iCs/>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85"/>
    <w:bookmarkStart w:id="187" w:name="ref-macleodReviewDataDiets2003"/>
    <w:p>
      <w:pPr>
        <w:pStyle w:val="Bibliography"/>
      </w:pPr>
      <w:r>
        <w:t xml:space="preserve">MacLeod CD, Santos MB, Pierce GJ (2003)</w:t>
      </w:r>
      <w:r>
        <w:t xml:space="preserve"> </w:t>
      </w:r>
      <w:hyperlink r:id="rId186">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87"/>
    <w:bookmarkStart w:id="188"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88"/>
    <w:bookmarkStart w:id="190" w:name="ref-massomAntarcticSeaIce2010"/>
    <w:p>
      <w:pPr>
        <w:pStyle w:val="Bibliography"/>
      </w:pPr>
      <w:r>
        <w:t xml:space="preserve">Massom RA, Stammerjohn SE (2010)</w:t>
      </w:r>
      <w:r>
        <w:t xml:space="preserve"> </w:t>
      </w:r>
      <w:hyperlink r:id="rId189">
        <w:r>
          <w:rPr>
            <w:rStyle w:val="Hyperlink"/>
          </w:rPr>
          <w:t xml:space="preserve">Antarctic Sea Ice Change and Variability – Physical and Ecological Implications</w:t>
        </w:r>
      </w:hyperlink>
      <w:r>
        <w:t xml:space="preserve">. Polar Science 4:149–186.</w:t>
      </w:r>
    </w:p>
    <w:bookmarkEnd w:id="190"/>
    <w:bookmarkStart w:id="192"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91">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92"/>
    <w:bookmarkStart w:id="194" w:name="ref-mitchell1991"/>
    <w:p>
      <w:pPr>
        <w:pStyle w:val="Bibliography"/>
      </w:pPr>
      <w:r>
        <w:t xml:space="preserve">Mitchell BG, Holm-Hansen O (1991)</w:t>
      </w:r>
      <w:r>
        <w:t xml:space="preserve"> </w:t>
      </w:r>
      <w:hyperlink r:id="rId193">
        <w:r>
          <w:rPr>
            <w:rStyle w:val="Hyperlink"/>
          </w:rPr>
          <w:t xml:space="preserve">Observations of Modeling of the Antartic Phytoplankton Crop in Relation to Mixing Depth</w:t>
        </w:r>
      </w:hyperlink>
      <w:r>
        <w:t xml:space="preserve">. Deep Sea Research Part A Oceanographic Research Papers 38:981–1007.</w:t>
      </w:r>
    </w:p>
    <w:bookmarkEnd w:id="194"/>
    <w:bookmarkStart w:id="196" w:name="ref-moffatShelfOceanExchange2018"/>
    <w:p>
      <w:pPr>
        <w:pStyle w:val="Bibliography"/>
      </w:pPr>
      <w:r>
        <w:t xml:space="preserve">Moffat C, Meredith M (2018)</w:t>
      </w:r>
      <w:r>
        <w:t xml:space="preserve"> </w:t>
      </w:r>
      <w:hyperlink r:id="rId195">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96"/>
    <w:bookmarkStart w:id="198" w:name="X38d12e35d0c5f4398096933a7b2c121f1eae851"/>
    <w:p>
      <w:pPr>
        <w:pStyle w:val="Bibliography"/>
      </w:pPr>
      <w:r>
        <w:t xml:space="preserve">Monier SA, Veit RR, Manne LL (2020)</w:t>
      </w:r>
      <w:r>
        <w:t xml:space="preserve"> </w:t>
      </w:r>
      <w:hyperlink r:id="rId197">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98"/>
    <w:bookmarkStart w:id="200" w:name="Xfc6a34894b1f46f61ccdc914e6c90e15ab89c80"/>
    <w:p>
      <w:pPr>
        <w:pStyle w:val="Bibliography"/>
      </w:pPr>
      <w:r>
        <w:t xml:space="preserve">Montes-Hugo M, Doney SC, Ducklow HW, Fraser W, Martinson D, Stammerjohn SE, Schofield O (2009)</w:t>
      </w:r>
      <w:r>
        <w:t xml:space="preserve"> </w:t>
      </w:r>
      <w:hyperlink r:id="rId199">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200"/>
    <w:bookmarkStart w:id="201"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201"/>
    <w:bookmarkStart w:id="202"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202"/>
    <w:bookmarkStart w:id="204" w:name="ref-parkinson40yRecordReveals2019"/>
    <w:p>
      <w:pPr>
        <w:pStyle w:val="Bibliography"/>
      </w:pPr>
      <w:r>
        <w:t xml:space="preserve">Parkinson CL (2019)</w:t>
      </w:r>
      <w:r>
        <w:t xml:space="preserve"> </w:t>
      </w:r>
      <w:hyperlink r:id="rId203">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204"/>
    <w:bookmarkStart w:id="206" w:name="ref-pitmanThreeFormsKiller2003"/>
    <w:p>
      <w:pPr>
        <w:pStyle w:val="Bibliography"/>
      </w:pPr>
      <w:r>
        <w:t xml:space="preserve">Pitman RL, Ensor P (2003)</w:t>
      </w:r>
      <w:r>
        <w:t xml:space="preserve"> </w:t>
      </w:r>
      <w:hyperlink r:id="rId205">
        <w:r>
          <w:rPr>
            <w:rStyle w:val="Hyperlink"/>
          </w:rPr>
          <w:t xml:space="preserve">Three Forms of Killer Whales (</w:t>
        </w:r>
        <w:r>
          <w:rPr>
            <w:rStyle w:val="Hyperlink"/>
            <w:i/>
            <w:iCs/>
          </w:rPr>
          <w:t xml:space="preserve">Orcinus</w:t>
        </w:r>
        <w:r>
          <w:rPr>
            <w:rStyle w:val="Hyperlink"/>
          </w:rPr>
          <w:t xml:space="preserve"> </w:t>
        </w:r>
        <w:r>
          <w:rPr>
            <w:rStyle w:val="Hyperlink"/>
            <w:i/>
            <w:iCs/>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206"/>
    <w:bookmarkStart w:id="208" w:name="ref-politoInvestigatingUseStable2010"/>
    <w:p>
      <w:pPr>
        <w:pStyle w:val="Bibliography"/>
      </w:pPr>
      <w:r>
        <w:t xml:space="preserve">Polito MJ, Goebel ME (2010)</w:t>
      </w:r>
      <w:r>
        <w:t xml:space="preserve"> </w:t>
      </w:r>
      <w:hyperlink r:id="rId207">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208"/>
    <w:bookmarkStart w:id="210" w:name="ref-princeFoodFeedingEcology1980"/>
    <w:p>
      <w:pPr>
        <w:pStyle w:val="Bibliography"/>
      </w:pPr>
      <w:r>
        <w:t xml:space="preserve">Prince PA (1980)</w:t>
      </w:r>
      <w:r>
        <w:t xml:space="preserve"> </w:t>
      </w:r>
      <w:hyperlink r:id="rId209">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
            <w:iCs/>
          </w:rPr>
          <w:t xml:space="preserve">Halobaena</w:t>
        </w:r>
        <w:r>
          <w:rPr>
            <w:rStyle w:val="Hyperlink"/>
          </w:rPr>
          <w:t xml:space="preserve"> </w:t>
        </w:r>
        <w:r>
          <w:rPr>
            <w:rStyle w:val="Hyperlink"/>
            <w:i/>
            <w:iCs/>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
            <w:iCs/>
          </w:rPr>
          <w:t xml:space="preserve">Pachyptila</w:t>
        </w:r>
        <w:r>
          <w:rPr>
            <w:rStyle w:val="Hyperlink"/>
          </w:rPr>
          <w:t xml:space="preserve"> </w:t>
        </w:r>
        <w:r>
          <w:rPr>
            <w:rStyle w:val="Hyperlink"/>
            <w:i/>
            <w:iCs/>
          </w:rPr>
          <w:t xml:space="preserve">Desolata</w:t>
        </w:r>
        <w:r>
          <w:rPr>
            <w:rStyle w:val="Hyperlink"/>
          </w:rPr>
          <w:t xml:space="preserve"> </w:t>
        </w:r>
        <w:r>
          <w:rPr>
            <w:rStyle w:val="Hyperlink"/>
          </w:rPr>
          <w:t xml:space="preserve">)</w:t>
        </w:r>
      </w:hyperlink>
      <w:r>
        <w:t xml:space="preserve">. Journal of Zoology 190:59–76.</w:t>
      </w:r>
    </w:p>
    <w:bookmarkEnd w:id="210"/>
    <w:bookmarkStart w:id="212" w:name="ref-purichRecordLowAntarctic2023"/>
    <w:p>
      <w:pPr>
        <w:pStyle w:val="Bibliography"/>
      </w:pPr>
      <w:r>
        <w:t xml:space="preserve">Purich A, Doddridge EW (2023)</w:t>
      </w:r>
      <w:r>
        <w:t xml:space="preserve"> </w:t>
      </w:r>
      <w:hyperlink r:id="rId211">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12"/>
    <w:bookmarkStart w:id="214" w:name="ref-reissOverwinterHabitatSelection2017"/>
    <w:p>
      <w:pPr>
        <w:pStyle w:val="Bibliography"/>
      </w:pPr>
      <w:r>
        <w:t xml:space="preserve">Reiss CS, Cossio A, Santora JA, Dietrich KS, Murray A, Mitchell BG, Walsh J, Weiss EL, Gimpel C, Jones CD, Watters GM (2017)</w:t>
      </w:r>
      <w:r>
        <w:t xml:space="preserve"> </w:t>
      </w:r>
      <w:hyperlink r:id="rId213">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14"/>
    <w:bookmarkStart w:id="216" w:name="ref-ribicWaterMassesOcean2011"/>
    <w:p>
      <w:pPr>
        <w:pStyle w:val="Bibliography"/>
      </w:pPr>
      <w:r>
        <w:t xml:space="preserve">Ribic CA, Ainley DG, Glenn Ford R, Fraser WR, Tynan CT, Woehler EJ (2011)</w:t>
      </w:r>
      <w:r>
        <w:t xml:space="preserve"> </w:t>
      </w:r>
      <w:hyperlink r:id="rId215">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16"/>
    <w:bookmarkStart w:id="217"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17"/>
    <w:bookmarkStart w:id="219" w:name="ref-rischCommonAntarcticMinke2019"/>
    <w:p>
      <w:pPr>
        <w:pStyle w:val="Bibliography"/>
      </w:pPr>
      <w:r>
        <w:t xml:space="preserve">Risch D, Norris T, Curnock M, Friedlaender A (2019)</w:t>
      </w:r>
      <w:r>
        <w:t xml:space="preserve"> </w:t>
      </w:r>
      <w:hyperlink r:id="rId218">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9"/>
    <w:bookmarkStart w:id="220"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20"/>
    <w:bookmarkStart w:id="222" w:name="ref-rodaryBenthicDivingMale2000"/>
    <w:p>
      <w:pPr>
        <w:pStyle w:val="Bibliography"/>
      </w:pPr>
      <w:r>
        <w:t xml:space="preserve">Rodary D, Bonneau W, Maho YL, Bost CA (2000)</w:t>
      </w:r>
      <w:r>
        <w:t xml:space="preserve"> </w:t>
      </w:r>
      <w:hyperlink r:id="rId221">
        <w:r>
          <w:rPr>
            <w:rStyle w:val="Hyperlink"/>
          </w:rPr>
          <w:t xml:space="preserve">Benthic Diving in Male Emperor Penguins</w:t>
        </w:r>
        <w:r>
          <w:rPr>
            <w:rStyle w:val="Hyperlink"/>
          </w:rPr>
          <w:t xml:space="preserve"> </w:t>
        </w:r>
        <w:r>
          <w:rPr>
            <w:rStyle w:val="Hyperlink"/>
            <w:i/>
            <w:iCs/>
          </w:rPr>
          <w:t xml:space="preserve">Aptenodytes</w:t>
        </w:r>
        <w:r>
          <w:rPr>
            <w:rStyle w:val="Hyperlink"/>
          </w:rPr>
          <w:t xml:space="preserve"> </w:t>
        </w:r>
        <w:r>
          <w:rPr>
            <w:rStyle w:val="Hyperlink"/>
            <w:i/>
            <w:iCs/>
          </w:rPr>
          <w:t xml:space="preserve">Forsteri</w:t>
        </w:r>
        <w:r>
          <w:rPr>
            <w:rStyle w:val="Hyperlink"/>
          </w:rPr>
          <w:t xml:space="preserve"> </w:t>
        </w:r>
        <w:r>
          <w:rPr>
            <w:rStyle w:val="Hyperlink"/>
          </w:rPr>
          <w:t xml:space="preserve">Foraging in Winter</w:t>
        </w:r>
      </w:hyperlink>
      <w:r>
        <w:t xml:space="preserve">. Marine Ecology Progress Series 207:171–181.</w:t>
      </w:r>
    </w:p>
    <w:bookmarkEnd w:id="222"/>
    <w:bookmarkStart w:id="224"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23">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24"/>
    <w:bookmarkStart w:id="226" w:name="X01d6b3488954b98c3df02db88f49ae2d68c72a7"/>
    <w:p>
      <w:pPr>
        <w:pStyle w:val="Bibliography"/>
      </w:pPr>
      <w:r>
        <w:t xml:space="preserve">Santora JA (2014)</w:t>
      </w:r>
      <w:r>
        <w:t xml:space="preserve"> </w:t>
      </w:r>
      <w:hyperlink r:id="rId225">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26"/>
    <w:bookmarkStart w:id="228" w:name="Xd3d873ceeaf11ffa434a4dda2943421e4f51cd6"/>
    <w:p>
      <w:pPr>
        <w:pStyle w:val="Bibliography"/>
      </w:pPr>
      <w:r>
        <w:t xml:space="preserve">Santora JA, Veit RR (2013)</w:t>
      </w:r>
      <w:r>
        <w:t xml:space="preserve"> </w:t>
      </w:r>
      <w:hyperlink r:id="rId227">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28"/>
    <w:bookmarkStart w:id="229" w:name="ref-silvaDoesAccessHighquality2001"/>
    <w:p>
      <w:pPr>
        <w:pStyle w:val="Bibliography"/>
      </w:pPr>
      <w:r>
        <w:t xml:space="preserve">Silva MP, Favero M, Copello S, Bastida R (2001) Does Access to High-Quality Pelagic Prey Increase the Breeding Success of Kelp Gulls</w:t>
      </w:r>
      <w:r>
        <w:t xml:space="preserve"> </w:t>
      </w:r>
      <w:r>
        <w:rPr>
          <w:i/>
          <w:iCs/>
        </w:rPr>
        <w:t xml:space="preserve">Larus</w:t>
      </w:r>
      <w:r>
        <w:t xml:space="preserve"> </w:t>
      </w:r>
      <w:r>
        <w:rPr>
          <w:i/>
          <w:iCs/>
        </w:rPr>
        <w:t xml:space="preserve">Dominicanus</w:t>
      </w:r>
      <w:r>
        <w:t xml:space="preserve"> </w:t>
      </w:r>
      <w:r>
        <w:t xml:space="preserve">in the</w:t>
      </w:r>
      <w:r>
        <w:t xml:space="preserve"> </w:t>
      </w:r>
      <w:r>
        <w:t xml:space="preserve">Antarctic Peninsula</w:t>
      </w:r>
      <w:r>
        <w:t xml:space="preserve">? Marine Ornithology 29:85–88.</w:t>
      </w:r>
    </w:p>
    <w:bookmarkEnd w:id="229"/>
    <w:bookmarkStart w:id="230"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30"/>
    <w:bookmarkStart w:id="232" w:name="ref-southwellTimingPuppingPackice2003"/>
    <w:p>
      <w:pPr>
        <w:pStyle w:val="Bibliography"/>
      </w:pPr>
      <w:r>
        <w:t xml:space="preserve">Southwell C, Kerry K, Ensor P, Woehler EJ, Rogers T (2003)</w:t>
      </w:r>
      <w:r>
        <w:t xml:space="preserve"> </w:t>
      </w:r>
      <w:hyperlink r:id="rId231">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32"/>
    <w:bookmarkStart w:id="234" w:name="X171672f82c1547386eb0b080a9861a97d84d786"/>
    <w:p>
      <w:pPr>
        <w:pStyle w:val="Bibliography"/>
      </w:pPr>
      <w:r>
        <w:t xml:space="preserve">Spear LB, Ainley DG (1998)</w:t>
      </w:r>
      <w:r>
        <w:t xml:space="preserve"> </w:t>
      </w:r>
      <w:hyperlink r:id="rId233">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34"/>
    <w:bookmarkStart w:id="236" w:name="Xd404d694a14fb6d14de33e5bf3ce07054064c00"/>
    <w:p>
      <w:pPr>
        <w:pStyle w:val="Bibliography"/>
      </w:pPr>
      <w:r>
        <w:t xml:space="preserve">Stachowicz JJ (2001)</w:t>
      </w:r>
      <w:r>
        <w:t xml:space="preserve"> </w:t>
      </w:r>
      <w:hyperlink r:id="rId235">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36"/>
    <w:bookmarkStart w:id="238" w:name="ref-stammerjohnSeaIceWestern2008"/>
    <w:p>
      <w:pPr>
        <w:pStyle w:val="Bibliography"/>
      </w:pPr>
      <w:r>
        <w:t xml:space="preserve">Stammerjohn SE, Martinson DG, Smith RC, Iannuzzi RA (2008)</w:t>
      </w:r>
      <w:r>
        <w:t xml:space="preserve"> </w:t>
      </w:r>
      <w:hyperlink r:id="rId237">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38"/>
    <w:bookmarkStart w:id="240" w:name="ref-stanilandForagingBehaviourTwo2011"/>
    <w:p>
      <w:pPr>
        <w:pStyle w:val="Bibliography"/>
      </w:pPr>
      <w:r>
        <w:t xml:space="preserve">Staniland I, Morton A, Robinson S, Malone D, Forcada J (2011)</w:t>
      </w:r>
      <w:r>
        <w:t xml:space="preserve"> </w:t>
      </w:r>
      <w:hyperlink r:id="rId239">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40"/>
    <w:bookmarkStart w:id="242" w:name="ref-testaOverwinterMovementsDiving1994"/>
    <w:p>
      <w:pPr>
        <w:pStyle w:val="Bibliography"/>
      </w:pPr>
      <w:r>
        <w:t xml:space="preserve">Testa JW (1994)</w:t>
      </w:r>
      <w:r>
        <w:t xml:space="preserve"> </w:t>
      </w:r>
      <w:hyperlink r:id="rId241">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
            <w:iCs/>
          </w:rPr>
          <w:t xml:space="preserve">Leptonychotes</w:t>
        </w:r>
        <w:r>
          <w:rPr>
            <w:rStyle w:val="Hyperlink"/>
          </w:rPr>
          <w:t xml:space="preserve"> </w:t>
        </w:r>
        <w:r>
          <w:rPr>
            <w:rStyle w:val="Hyperlink"/>
            <w:i/>
            <w:iCs/>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42"/>
    <w:bookmarkStart w:id="244" w:name="ref-thiebotAdeliePenguinsExtensive2019"/>
    <w:p>
      <w:pPr>
        <w:pStyle w:val="Bibliography"/>
      </w:pPr>
      <w:r>
        <w:t xml:space="preserve">Thiebot J-B, Ropert-Coudert Y, Raclot T, Poupart T, Kato A, Takahashi A (2019)</w:t>
      </w:r>
      <w:r>
        <w:t xml:space="preserve"> </w:t>
      </w:r>
      <w:hyperlink r:id="rId243">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44"/>
    <w:bookmarkStart w:id="246" w:name="X884756223ddc7b6713f766144366ec91913014d"/>
    <w:p>
      <w:pPr>
        <w:pStyle w:val="Bibliography"/>
      </w:pPr>
      <w:r>
        <w:t xml:space="preserve">Tibshirani R, Walther G, Hastie T (2001)</w:t>
      </w:r>
      <w:r>
        <w:t xml:space="preserve"> </w:t>
      </w:r>
      <w:hyperlink r:id="rId245">
        <w:r>
          <w:rPr>
            <w:rStyle w:val="Hyperlink"/>
          </w:rPr>
          <w:t xml:space="preserve">Estimating the Number of Clusters in a Data Set via the Gap Statistic</w:t>
        </w:r>
      </w:hyperlink>
      <w:r>
        <w:t xml:space="preserve">. Journal of the Royal Statistical Society: Series B (Statistical Methodology) 63:411–423.</w:t>
      </w:r>
    </w:p>
    <w:bookmarkEnd w:id="246"/>
    <w:bookmarkStart w:id="248" w:name="Xa0f6a34f550fc2bc1d1027319d9086ed136f03e"/>
    <w:p>
      <w:pPr>
        <w:pStyle w:val="Bibliography"/>
      </w:pPr>
      <w:r>
        <w:t xml:space="preserve">Trathan PN, Warwick-Evans V, Young EF, Friedlaender A, Kim JH, Kokubun N (2022)</w:t>
      </w:r>
      <w:r>
        <w:t xml:space="preserve"> </w:t>
      </w:r>
      <w:hyperlink r:id="rId247">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48"/>
    <w:bookmarkStart w:id="249"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9"/>
    <w:bookmarkStart w:id="251" w:name="ref-veitPositiveInteractionsForaging2017"/>
    <w:p>
      <w:pPr>
        <w:pStyle w:val="Bibliography"/>
      </w:pPr>
      <w:r>
        <w:t xml:space="preserve">Veit RR, Harrison NM (2017)</w:t>
      </w:r>
      <w:r>
        <w:t xml:space="preserve"> </w:t>
      </w:r>
      <w:hyperlink r:id="rId250">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51"/>
    <w:bookmarkStart w:id="253" w:name="ref-veitAggregationPatternsPelagic1993"/>
    <w:p>
      <w:pPr>
        <w:pStyle w:val="Bibliography"/>
      </w:pPr>
      <w:r>
        <w:t xml:space="preserve">Veit RR, Silverman ED, Everson I (1993)</w:t>
      </w:r>
      <w:r>
        <w:t xml:space="preserve"> </w:t>
      </w:r>
      <w:hyperlink r:id="rId252">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53"/>
    <w:bookmarkStart w:id="255" w:name="ref-walkerSeasonalOccurrenceDiet1998"/>
    <w:p>
      <w:pPr>
        <w:pStyle w:val="Bibliography"/>
      </w:pPr>
      <w:r>
        <w:t xml:space="preserve">Walker TR, Boyd IL, McCafferty DJ, Huin N, Taylor RI, Reid K (1998)</w:t>
      </w:r>
      <w:r>
        <w:t xml:space="preserve"> </w:t>
      </w:r>
      <w:hyperlink r:id="rId254">
        <w:r>
          <w:rPr>
            <w:rStyle w:val="Hyperlink"/>
          </w:rPr>
          <w:t xml:space="preserve">Seasonal Occurrence and Diet of Leopard Seals (</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55"/>
    <w:bookmarkStart w:id="257" w:name="ref-walshExtremeNinoSouthern2023"/>
    <w:p>
      <w:pPr>
        <w:pStyle w:val="Bibliography"/>
      </w:pPr>
      <w:r>
        <w:t xml:space="preserve">Walsh J, Reiss C (2023)</w:t>
      </w:r>
      <w:r>
        <w:t xml:space="preserve"> </w:t>
      </w:r>
      <w:hyperlink r:id="rId256">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57"/>
    <w:bookmarkStart w:id="259" w:name="X03cfcb148327393cd810c628d97ec820b617595"/>
    <w:p>
      <w:pPr>
        <w:pStyle w:val="Bibliography"/>
      </w:pPr>
      <w:r>
        <w:t xml:space="preserve">Warwick-Evans V, A Santora J, Waggitt JJ, Trathan PN (2021)</w:t>
      </w:r>
      <w:r>
        <w:t xml:space="preserve"> </w:t>
      </w:r>
      <w:hyperlink r:id="rId258">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9"/>
    <w:bookmarkStart w:id="261" w:name="Xf9879b10b82788e9236df05ca18718254f72b7a"/>
    <w:p>
      <w:pPr>
        <w:pStyle w:val="Bibliography"/>
      </w:pPr>
      <w:r>
        <w:t xml:space="preserve">Watters GM, Hinke JT, Reiss CS (2020)</w:t>
      </w:r>
      <w:r>
        <w:t xml:space="preserve"> </w:t>
      </w:r>
      <w:hyperlink r:id="rId260">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61"/>
    <w:bookmarkStart w:id="263" w:name="Xedaeb889f386179efa19bcf5604dabf6940b893"/>
    <w:p>
      <w:pPr>
        <w:pStyle w:val="Bibliography"/>
      </w:pPr>
      <w:r>
        <w:t xml:space="preserve">Whitehouse MJ, Veit RR (1994)</w:t>
      </w:r>
      <w:r>
        <w:t xml:space="preserve"> </w:t>
      </w:r>
      <w:hyperlink r:id="rId262">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63"/>
    <w:bookmarkStart w:id="264"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
          <w:iCs/>
        </w:rPr>
        <w:t xml:space="preserve">A technique for making ship-based observations of</w:t>
      </w:r>
      <w:r>
        <w:rPr>
          <w:i/>
          <w:iCs/>
        </w:rPr>
        <w:t xml:space="preserve"> </w:t>
      </w:r>
      <w:r>
        <w:rPr>
          <w:i/>
          <w:iCs/>
        </w:rPr>
        <w:t xml:space="preserve">Antarctic</w:t>
      </w:r>
      <w:r>
        <w:rPr>
          <w:i/>
          <w:iCs/>
        </w:rPr>
        <w:t xml:space="preserve"> </w:t>
      </w:r>
      <w:r>
        <w:rPr>
          <w:i/>
          <w:iCs/>
        </w:rPr>
        <w:t xml:space="preserve">sea ice thickness and characteristics</w:t>
      </w:r>
      <w:r>
        <w:t xml:space="preserve">. Research report (</w:t>
      </w:r>
      <w:r>
        <w:t xml:space="preserve">Antarctic CRC</w:t>
      </w:r>
      <w:r>
        <w:t xml:space="preserve">), Antarctic CRC, Hobart, Tas.</w:t>
      </w:r>
    </w:p>
    <w:bookmarkEnd w:id="264"/>
    <w:bookmarkEnd w:id="265"/>
    <w:p>
      <w:r>
        <w:br w:type="page"/>
      </w:r>
    </w:p>
    <w:bookmarkEnd w:id="266"/>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0D0643"/>
    <w:rsid w:val="000E37BE"/>
    <w:rsid w:val="0025017B"/>
    <w:rsid w:val="003264DE"/>
    <w:rsid w:val="004212AE"/>
    <w:rsid w:val="004C579B"/>
    <w:rsid w:val="004E203A"/>
    <w:rsid w:val="004E29B3"/>
    <w:rsid w:val="00590D07"/>
    <w:rsid w:val="005A091B"/>
    <w:rsid w:val="00606278"/>
    <w:rsid w:val="00705E12"/>
    <w:rsid w:val="00784D58"/>
    <w:rsid w:val="00842134"/>
    <w:rsid w:val="00884F3F"/>
    <w:rsid w:val="008D6863"/>
    <w:rsid w:val="00970303"/>
    <w:rsid w:val="009F60EE"/>
    <w:rsid w:val="00B86B75"/>
    <w:rsid w:val="00BC48D5"/>
    <w:rsid w:val="00C36279"/>
    <w:rsid w:val="00DA425F"/>
    <w:rsid w:val="00E315A3"/>
    <w:rsid w:val="00F95C9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F95C95"/>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F95C95"/>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F95C95"/>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rsid w:val="00F95C95"/>
    <w:pPr>
      <w:keepNext/>
      <w:keepLines/>
      <w:spacing w:after="0" w:before="200"/>
      <w:outlineLvl w:val="3"/>
    </w:pPr>
    <w:rPr>
      <w:rFonts w:cstheme="majorBidi" w:eastAsiaTheme="majorEastAsia"/>
      <w:b/>
      <w:bCs/>
      <w:i/>
      <w:i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hyperlink" Id="rId83" Target="https://doi.org/10.1002/9781118778371.ch22" TargetMode="External" /><Relationship Type="http://schemas.openxmlformats.org/officeDocument/2006/relationships/hyperlink" Id="rId79" Target="https://doi.org/10.1002/9781118778371.ch24" TargetMode="External" /><Relationship Type="http://schemas.openxmlformats.org/officeDocument/2006/relationships/hyperlink" Id="rId105" Target="https://doi.org/10.1002/aqc.480" TargetMode="External" /><Relationship Type="http://schemas.openxmlformats.org/officeDocument/2006/relationships/hyperlink" Id="rId150" Target="https://doi.org/10.1002/ece3.5149" TargetMode="External" /><Relationship Type="http://schemas.openxmlformats.org/officeDocument/2006/relationships/hyperlink" Id="rId81" Target="https://doi.org/10.1007/BF00238360" TargetMode="External" /><Relationship Type="http://schemas.openxmlformats.org/officeDocument/2006/relationships/hyperlink" Id="rId262" Target="https://doi.org/10.1007/BF00238448" TargetMode="External" /><Relationship Type="http://schemas.openxmlformats.org/officeDocument/2006/relationships/hyperlink" Id="rId158" Target="https://doi.org/10.1007/BF00442033" TargetMode="External" /><Relationship Type="http://schemas.openxmlformats.org/officeDocument/2006/relationships/hyperlink" Id="rId231" Target="https://doi.org/10.1007/s00300-003-0534-8" TargetMode="External" /><Relationship Type="http://schemas.openxmlformats.org/officeDocument/2006/relationships/hyperlink" Id="rId109" Target="https://doi.org/10.1007/s00300-004-0693-2" TargetMode="External" /><Relationship Type="http://schemas.openxmlformats.org/officeDocument/2006/relationships/hyperlink" Id="rId87" Target="https://doi.org/10.1007/s00300-007-0306-y" TargetMode="External" /><Relationship Type="http://schemas.openxmlformats.org/officeDocument/2006/relationships/hyperlink" Id="rId91" Target="https://doi.org/10.1007/s00300-008-0567-0" TargetMode="External" /><Relationship Type="http://schemas.openxmlformats.org/officeDocument/2006/relationships/hyperlink" Id="rId154" Target="https://doi.org/10.1007/s00300-011-1018-x" TargetMode="External" /><Relationship Type="http://schemas.openxmlformats.org/officeDocument/2006/relationships/hyperlink" Id="rId225" Target="https://doi.org/10.1007/s00300-014-1502-1" TargetMode="External" /><Relationship Type="http://schemas.openxmlformats.org/officeDocument/2006/relationships/hyperlink" Id="rId111" Target="https://doi.org/10.1007/s00300-014-1629-0" TargetMode="External" /><Relationship Type="http://schemas.openxmlformats.org/officeDocument/2006/relationships/hyperlink" Id="rId168" Target="https://doi.org/10.1007/s00300-017-2191-3" TargetMode="External" /><Relationship Type="http://schemas.openxmlformats.org/officeDocument/2006/relationships/hyperlink" Id="rId197" Target="https://doi.org/10.1007/s00300-020-02720-4" TargetMode="External" /><Relationship Type="http://schemas.openxmlformats.org/officeDocument/2006/relationships/hyperlink" Id="rId256" Target="https://doi.org/10.1007/s00300-023-03129-5" TargetMode="External" /><Relationship Type="http://schemas.openxmlformats.org/officeDocument/2006/relationships/hyperlink" Id="rId117" Target="https://doi.org/10.1007/s00300-023-03159-z" TargetMode="External" /><Relationship Type="http://schemas.openxmlformats.org/officeDocument/2006/relationships/hyperlink" Id="rId193" Target="https://doi.org/10.1016/0198-0149(91)90093-u" TargetMode="External" /><Relationship Type="http://schemas.openxmlformats.org/officeDocument/2006/relationships/hyperlink" Id="rId162" Target="https://doi.org/10.1016/0278-4343(90)90021-D" TargetMode="External" /><Relationship Type="http://schemas.openxmlformats.org/officeDocument/2006/relationships/hyperlink" Id="rId138" Target="https://doi.org/10.1016/j.dsr.2013.11.001" TargetMode="External" /><Relationship Type="http://schemas.openxmlformats.org/officeDocument/2006/relationships/hyperlink" Id="rId89" Target="https://doi.org/10.1016/j.dsr2.2004.07.021" TargetMode="External" /><Relationship Type="http://schemas.openxmlformats.org/officeDocument/2006/relationships/hyperlink" Id="rId237" Target="https://doi.org/10.1016/j.dsr2.2008.04.026" TargetMode="External" /><Relationship Type="http://schemas.openxmlformats.org/officeDocument/2006/relationships/hyperlink" Id="rId215" Target="https://doi.org/10.1016/j.dsr2.2009.09.017" TargetMode="External" /><Relationship Type="http://schemas.openxmlformats.org/officeDocument/2006/relationships/hyperlink" Id="rId207" Target="https://doi.org/10.1016/j.jembe.2010.08.015" TargetMode="External" /><Relationship Type="http://schemas.openxmlformats.org/officeDocument/2006/relationships/hyperlink" Id="rId247" Target="https://doi.org/10.1016/j.jmarsys.2021.103598" TargetMode="External" /><Relationship Type="http://schemas.openxmlformats.org/officeDocument/2006/relationships/hyperlink" Id="rId243" Target="https://doi.org/10.1016/j.marpol.2019.103692" TargetMode="External" /><Relationship Type="http://schemas.openxmlformats.org/officeDocument/2006/relationships/hyperlink" Id="rId189" Target="https://doi.org/10.1016/j.polar.2010.05.001" TargetMode="External" /><Relationship Type="http://schemas.openxmlformats.org/officeDocument/2006/relationships/hyperlink" Id="rId186" Target="https://doi.org/10.1017/S0025315403007616h" TargetMode="External" /><Relationship Type="http://schemas.openxmlformats.org/officeDocument/2006/relationships/hyperlink" Id="rId93" Target="https://doi.org/10.1017/S0954102006000010" TargetMode="External" /><Relationship Type="http://schemas.openxmlformats.org/officeDocument/2006/relationships/hyperlink" Id="rId254" Target="https://doi.org/10.1017/S0954102098000108" TargetMode="External" /><Relationship Type="http://schemas.openxmlformats.org/officeDocument/2006/relationships/hyperlink" Id="rId223" Target="https://doi.org/10.1038/ncomms5318" TargetMode="External" /><Relationship Type="http://schemas.openxmlformats.org/officeDocument/2006/relationships/hyperlink" Id="rId183" Target="https://doi.org/10.1038/s41467-021-25235-w" TargetMode="External" /><Relationship Type="http://schemas.openxmlformats.org/officeDocument/2006/relationships/hyperlink" Id="rId191" Target="https://doi.org/10.1038/s41559-017-0368-3" TargetMode="External" /><Relationship Type="http://schemas.openxmlformats.org/officeDocument/2006/relationships/hyperlink" Id="rId128" Target="https://doi.org/10.1038/s41561-021-00768-3" TargetMode="External" /><Relationship Type="http://schemas.openxmlformats.org/officeDocument/2006/relationships/hyperlink" Id="rId122" Target="https://doi.org/10.1038/s41597-022-01366-7" TargetMode="External" /><Relationship Type="http://schemas.openxmlformats.org/officeDocument/2006/relationships/hyperlink" Id="rId260" Target="https://doi.org/10.1038/s41598-020-59223-9" TargetMode="External" /><Relationship Type="http://schemas.openxmlformats.org/officeDocument/2006/relationships/hyperlink" Id="rId99" Target="https://doi.org/10.1038/s42003-022-03042-3" TargetMode="External" /><Relationship Type="http://schemas.openxmlformats.org/officeDocument/2006/relationships/hyperlink" Id="rId101" Target="https://doi.org/10.1038/s43247-021-00322-4" TargetMode="External" /><Relationship Type="http://schemas.openxmlformats.org/officeDocument/2006/relationships/hyperlink" Id="rId211" Target="https://doi.org/10.1038/s43247-023-00961-9" TargetMode="External" /><Relationship Type="http://schemas.openxmlformats.org/officeDocument/2006/relationships/hyperlink" Id="rId95" Target="https://doi.org/10.1038/srep18820" TargetMode="External" /><Relationship Type="http://schemas.openxmlformats.org/officeDocument/2006/relationships/hyperlink" Id="rId107" Target="https://doi.org/10.1073/pnas.1406326111" TargetMode="External" /><Relationship Type="http://schemas.openxmlformats.org/officeDocument/2006/relationships/hyperlink" Id="rId203" Target="https://doi.org/10.1073/pnas.1906556116" TargetMode="External" /><Relationship Type="http://schemas.openxmlformats.org/officeDocument/2006/relationships/hyperlink" Id="rId148" Target="https://doi.org/10.1093/auk/108.4.801" TargetMode="External" /><Relationship Type="http://schemas.openxmlformats.org/officeDocument/2006/relationships/hyperlink" Id="rId156" Target="https://doi.org/10.1093/auk/98.3.437" TargetMode="External" /><Relationship Type="http://schemas.openxmlformats.org/officeDocument/2006/relationships/hyperlink" Id="rId124" Target="https://doi.org/10.1093/biosci/biac050" TargetMode="External" /><Relationship Type="http://schemas.openxmlformats.org/officeDocument/2006/relationships/hyperlink" Id="rId258" Target="https://doi.org/10.1093/icesjms/fsab020" TargetMode="External" /><Relationship Type="http://schemas.openxmlformats.org/officeDocument/2006/relationships/hyperlink" Id="rId113" Target="https://doi.org/10.1098/rsos.191429" TargetMode="External" /><Relationship Type="http://schemas.openxmlformats.org/officeDocument/2006/relationships/hyperlink" Id="rId136" Target="https://doi.org/10.1098/rsos.192112" TargetMode="External" /><Relationship Type="http://schemas.openxmlformats.org/officeDocument/2006/relationships/hyperlink" Id="rId195" Target="https://doi.org/10.1098/rsta.2017.0164" TargetMode="External" /><Relationship Type="http://schemas.openxmlformats.org/officeDocument/2006/relationships/hyperlink" Id="rId97" Target="https://doi.org/10.1098/rstb.2006.1958" TargetMode="External" /><Relationship Type="http://schemas.openxmlformats.org/officeDocument/2006/relationships/hyperlink" Id="rId245" Target="https://doi.org/10.1111/1467-9868.00293" TargetMode="External" /><Relationship Type="http://schemas.openxmlformats.org/officeDocument/2006/relationships/hyperlink" Id="rId140" Target="https://doi.org/10.1111/gcb.16947" TargetMode="External" /><Relationship Type="http://schemas.openxmlformats.org/officeDocument/2006/relationships/hyperlink" Id="rId115" Target="https://doi.org/10.1111/ibi.12365" TargetMode="External" /><Relationship Type="http://schemas.openxmlformats.org/officeDocument/2006/relationships/hyperlink" Id="rId103" Target="https://doi.org/10.1111/j.1095-8312.1980.tb00101.x" TargetMode="External" /><Relationship Type="http://schemas.openxmlformats.org/officeDocument/2006/relationships/hyperlink" Id="rId132" Target="https://doi.org/10.1111/j.1365-2907.1982.tb00015.x" TargetMode="External" /><Relationship Type="http://schemas.openxmlformats.org/officeDocument/2006/relationships/hyperlink" Id="rId209" Target="https://doi.org/10.1111/j.1469-7998.1980.tb01423.x" TargetMode="External" /><Relationship Type="http://schemas.openxmlformats.org/officeDocument/2006/relationships/hyperlink" Id="rId164" Target="https://doi.org/10.1111/j.1469-7998.1983.tb02813.x" TargetMode="External" /><Relationship Type="http://schemas.openxmlformats.org/officeDocument/2006/relationships/hyperlink" Id="rId72" Target="https://doi.org/10.1111/j.1748-7692.2007.00109.x" TargetMode="External" /><Relationship Type="http://schemas.openxmlformats.org/officeDocument/2006/relationships/hyperlink" Id="rId120" Target="https://doi.org/10.1111/mms.12302" TargetMode="External" /><Relationship Type="http://schemas.openxmlformats.org/officeDocument/2006/relationships/hyperlink" Id="rId199" Target="https://doi.org/10.1126/science.1164533" TargetMode="External" /><Relationship Type="http://schemas.openxmlformats.org/officeDocument/2006/relationships/hyperlink" Id="rId74" Target="https://doi.org/10.1126/science.232.4752.847" TargetMode="External" /><Relationship Type="http://schemas.openxmlformats.org/officeDocument/2006/relationships/hyperlink" Id="rId241" Target="https://doi.org/10.1139/z94-229" TargetMode="External" /><Relationship Type="http://schemas.openxmlformats.org/officeDocument/2006/relationships/hyperlink" Id="rId166" Target="https://doi.org/10.1175/JCLI-D-18-0565.1" TargetMode="External" /><Relationship Type="http://schemas.openxmlformats.org/officeDocument/2006/relationships/hyperlink" Id="rId175" Target="https://doi.org/10.1186/s40317-015-0059-2" TargetMode="External" /><Relationship Type="http://schemas.openxmlformats.org/officeDocument/2006/relationships/hyperlink" Id="rId179" Target="https://doi.org/10.1186/s40317-017-0138-7" TargetMode="External" /><Relationship Type="http://schemas.openxmlformats.org/officeDocument/2006/relationships/hyperlink" Id="rId144" Target="https://doi.org/10.1242/jeb.106682" TargetMode="External" /><Relationship Type="http://schemas.openxmlformats.org/officeDocument/2006/relationships/hyperlink" Id="rId181" Target="https://doi.org/10.1371/journal.pbio.1000014" TargetMode="External" /><Relationship Type="http://schemas.openxmlformats.org/officeDocument/2006/relationships/hyperlink" Id="rId152" Target="https://doi.org/10.1371/journal.pone.0170132" TargetMode="External" /><Relationship Type="http://schemas.openxmlformats.org/officeDocument/2006/relationships/hyperlink" Id="rId130" Target="https://doi.org/10.1578/AM.47.2.2021.175" TargetMode="External" /><Relationship Type="http://schemas.openxmlformats.org/officeDocument/2006/relationships/hyperlink" Id="rId235" Target="https://doi.org/10.1641/0006-3568(2001)051[0235:MFATSO]2.0.CO;2" TargetMode="External" /><Relationship Type="http://schemas.openxmlformats.org/officeDocument/2006/relationships/hyperlink" Id="rId171" Target="https://doi.org/10.1890/0012-9615(1997)067[0155:TFEOFE]2.0.CO;2" TargetMode="External" /><Relationship Type="http://schemas.openxmlformats.org/officeDocument/2006/relationships/hyperlink" Id="rId142" Target="https://doi.org/10.2307/1310216" TargetMode="External" /><Relationship Type="http://schemas.openxmlformats.org/officeDocument/2006/relationships/hyperlink" Id="rId77" Target="https://doi.org/10.2307/1369419" TargetMode="External" /><Relationship Type="http://schemas.openxmlformats.org/officeDocument/2006/relationships/hyperlink" Id="rId233" Target="https://doi.org/10.2307/4089519" TargetMode="External" /><Relationship Type="http://schemas.openxmlformats.org/officeDocument/2006/relationships/hyperlink" Id="rId252" Target="https://doi.org/10.2307/5204" TargetMode="External" /><Relationship Type="http://schemas.openxmlformats.org/officeDocument/2006/relationships/hyperlink" Id="rId239" Target="https://doi.org/10.3354/meps09201" TargetMode="External" /><Relationship Type="http://schemas.openxmlformats.org/officeDocument/2006/relationships/hyperlink" Id="rId160" Target="https://doi.org/10.3354/meps09601" TargetMode="External" /><Relationship Type="http://schemas.openxmlformats.org/officeDocument/2006/relationships/hyperlink" Id="rId227" Target="https://doi.org/10.3354/meps10350" TargetMode="External" /><Relationship Type="http://schemas.openxmlformats.org/officeDocument/2006/relationships/hyperlink" Id="rId146" Target="https://doi.org/10.3354/meps10660" TargetMode="External" /><Relationship Type="http://schemas.openxmlformats.org/officeDocument/2006/relationships/hyperlink" Id="rId213" Target="https://doi.org/10.3354/meps12099" TargetMode="External" /><Relationship Type="http://schemas.openxmlformats.org/officeDocument/2006/relationships/hyperlink" Id="rId221" Target="https://doi.org/10.3354/meps207171" TargetMode="External" /><Relationship Type="http://schemas.openxmlformats.org/officeDocument/2006/relationships/hyperlink" Id="rId177" Target="https://doi.org/10.3354/meps254293" TargetMode="External" /><Relationship Type="http://schemas.openxmlformats.org/officeDocument/2006/relationships/hyperlink" Id="rId250" Target="https://doi.org/10.3389/fevo.2017.00121" TargetMode="External" /><Relationship Type="http://schemas.openxmlformats.org/officeDocument/2006/relationships/hyperlink" Id="rId85" Target="https://doi.org/10.3389/fevo.2020.566936" TargetMode="External" /><Relationship Type="http://schemas.openxmlformats.org/officeDocument/2006/relationships/hyperlink" Id="rId218" Target="https://doi.org/10.3389/fmars.2019.00247" TargetMode="External" /><Relationship Type="http://schemas.openxmlformats.org/officeDocument/2006/relationships/hyperlink" Id="rId173" Target="https://doi.org/10.3389/fmars.2021.796488" TargetMode="External" /><Relationship Type="http://schemas.openxmlformats.org/officeDocument/2006/relationships/hyperlink" Id="rId205" Target="https://doi.org/10.47536/jcrm.v5i2.813" TargetMode="External" /><Relationship Type="http://schemas.openxmlformats.org/officeDocument/2006/relationships/hyperlink" Id="rId134"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1002/9781118778371.ch22" TargetMode="External" /><Relationship Type="http://schemas.openxmlformats.org/officeDocument/2006/relationships/hyperlink" Id="rId79" Target="https://doi.org/10.1002/9781118778371.ch24" TargetMode="External" /><Relationship Type="http://schemas.openxmlformats.org/officeDocument/2006/relationships/hyperlink" Id="rId105" Target="https://doi.org/10.1002/aqc.480" TargetMode="External" /><Relationship Type="http://schemas.openxmlformats.org/officeDocument/2006/relationships/hyperlink" Id="rId150" Target="https://doi.org/10.1002/ece3.5149" TargetMode="External" /><Relationship Type="http://schemas.openxmlformats.org/officeDocument/2006/relationships/hyperlink" Id="rId81" Target="https://doi.org/10.1007/BF00238360" TargetMode="External" /><Relationship Type="http://schemas.openxmlformats.org/officeDocument/2006/relationships/hyperlink" Id="rId262" Target="https://doi.org/10.1007/BF00238448" TargetMode="External" /><Relationship Type="http://schemas.openxmlformats.org/officeDocument/2006/relationships/hyperlink" Id="rId158" Target="https://doi.org/10.1007/BF00442033" TargetMode="External" /><Relationship Type="http://schemas.openxmlformats.org/officeDocument/2006/relationships/hyperlink" Id="rId231" Target="https://doi.org/10.1007/s00300-003-0534-8" TargetMode="External" /><Relationship Type="http://schemas.openxmlformats.org/officeDocument/2006/relationships/hyperlink" Id="rId109" Target="https://doi.org/10.1007/s00300-004-0693-2" TargetMode="External" /><Relationship Type="http://schemas.openxmlformats.org/officeDocument/2006/relationships/hyperlink" Id="rId87" Target="https://doi.org/10.1007/s00300-007-0306-y" TargetMode="External" /><Relationship Type="http://schemas.openxmlformats.org/officeDocument/2006/relationships/hyperlink" Id="rId91" Target="https://doi.org/10.1007/s00300-008-0567-0" TargetMode="External" /><Relationship Type="http://schemas.openxmlformats.org/officeDocument/2006/relationships/hyperlink" Id="rId154" Target="https://doi.org/10.1007/s00300-011-1018-x" TargetMode="External" /><Relationship Type="http://schemas.openxmlformats.org/officeDocument/2006/relationships/hyperlink" Id="rId225" Target="https://doi.org/10.1007/s00300-014-1502-1" TargetMode="External" /><Relationship Type="http://schemas.openxmlformats.org/officeDocument/2006/relationships/hyperlink" Id="rId111" Target="https://doi.org/10.1007/s00300-014-1629-0" TargetMode="External" /><Relationship Type="http://schemas.openxmlformats.org/officeDocument/2006/relationships/hyperlink" Id="rId168" Target="https://doi.org/10.1007/s00300-017-2191-3" TargetMode="External" /><Relationship Type="http://schemas.openxmlformats.org/officeDocument/2006/relationships/hyperlink" Id="rId197" Target="https://doi.org/10.1007/s00300-020-02720-4" TargetMode="External" /><Relationship Type="http://schemas.openxmlformats.org/officeDocument/2006/relationships/hyperlink" Id="rId256" Target="https://doi.org/10.1007/s00300-023-03129-5" TargetMode="External" /><Relationship Type="http://schemas.openxmlformats.org/officeDocument/2006/relationships/hyperlink" Id="rId117" Target="https://doi.org/10.1007/s00300-023-03159-z" TargetMode="External" /><Relationship Type="http://schemas.openxmlformats.org/officeDocument/2006/relationships/hyperlink" Id="rId193" Target="https://doi.org/10.1016/0198-0149(91)90093-u" TargetMode="External" /><Relationship Type="http://schemas.openxmlformats.org/officeDocument/2006/relationships/hyperlink" Id="rId162" Target="https://doi.org/10.1016/0278-4343(90)90021-D" TargetMode="External" /><Relationship Type="http://schemas.openxmlformats.org/officeDocument/2006/relationships/hyperlink" Id="rId138" Target="https://doi.org/10.1016/j.dsr.2013.11.001" TargetMode="External" /><Relationship Type="http://schemas.openxmlformats.org/officeDocument/2006/relationships/hyperlink" Id="rId89" Target="https://doi.org/10.1016/j.dsr2.2004.07.021" TargetMode="External" /><Relationship Type="http://schemas.openxmlformats.org/officeDocument/2006/relationships/hyperlink" Id="rId237" Target="https://doi.org/10.1016/j.dsr2.2008.04.026" TargetMode="External" /><Relationship Type="http://schemas.openxmlformats.org/officeDocument/2006/relationships/hyperlink" Id="rId215" Target="https://doi.org/10.1016/j.dsr2.2009.09.017" TargetMode="External" /><Relationship Type="http://schemas.openxmlformats.org/officeDocument/2006/relationships/hyperlink" Id="rId207" Target="https://doi.org/10.1016/j.jembe.2010.08.015" TargetMode="External" /><Relationship Type="http://schemas.openxmlformats.org/officeDocument/2006/relationships/hyperlink" Id="rId247" Target="https://doi.org/10.1016/j.jmarsys.2021.103598" TargetMode="External" /><Relationship Type="http://schemas.openxmlformats.org/officeDocument/2006/relationships/hyperlink" Id="rId243" Target="https://doi.org/10.1016/j.marpol.2019.103692" TargetMode="External" /><Relationship Type="http://schemas.openxmlformats.org/officeDocument/2006/relationships/hyperlink" Id="rId189" Target="https://doi.org/10.1016/j.polar.2010.05.001" TargetMode="External" /><Relationship Type="http://schemas.openxmlformats.org/officeDocument/2006/relationships/hyperlink" Id="rId186" Target="https://doi.org/10.1017/S0025315403007616h" TargetMode="External" /><Relationship Type="http://schemas.openxmlformats.org/officeDocument/2006/relationships/hyperlink" Id="rId93" Target="https://doi.org/10.1017/S0954102006000010" TargetMode="External" /><Relationship Type="http://schemas.openxmlformats.org/officeDocument/2006/relationships/hyperlink" Id="rId254" Target="https://doi.org/10.1017/S0954102098000108" TargetMode="External" /><Relationship Type="http://schemas.openxmlformats.org/officeDocument/2006/relationships/hyperlink" Id="rId223" Target="https://doi.org/10.1038/ncomms5318" TargetMode="External" /><Relationship Type="http://schemas.openxmlformats.org/officeDocument/2006/relationships/hyperlink" Id="rId183" Target="https://doi.org/10.1038/s41467-021-25235-w" TargetMode="External" /><Relationship Type="http://schemas.openxmlformats.org/officeDocument/2006/relationships/hyperlink" Id="rId191" Target="https://doi.org/10.1038/s41559-017-0368-3" TargetMode="External" /><Relationship Type="http://schemas.openxmlformats.org/officeDocument/2006/relationships/hyperlink" Id="rId128" Target="https://doi.org/10.1038/s41561-021-00768-3" TargetMode="External" /><Relationship Type="http://schemas.openxmlformats.org/officeDocument/2006/relationships/hyperlink" Id="rId122" Target="https://doi.org/10.1038/s41597-022-01366-7" TargetMode="External" /><Relationship Type="http://schemas.openxmlformats.org/officeDocument/2006/relationships/hyperlink" Id="rId260" Target="https://doi.org/10.1038/s41598-020-59223-9" TargetMode="External" /><Relationship Type="http://schemas.openxmlformats.org/officeDocument/2006/relationships/hyperlink" Id="rId99" Target="https://doi.org/10.1038/s42003-022-03042-3" TargetMode="External" /><Relationship Type="http://schemas.openxmlformats.org/officeDocument/2006/relationships/hyperlink" Id="rId101" Target="https://doi.org/10.1038/s43247-021-00322-4" TargetMode="External" /><Relationship Type="http://schemas.openxmlformats.org/officeDocument/2006/relationships/hyperlink" Id="rId211" Target="https://doi.org/10.1038/s43247-023-00961-9" TargetMode="External" /><Relationship Type="http://schemas.openxmlformats.org/officeDocument/2006/relationships/hyperlink" Id="rId95" Target="https://doi.org/10.1038/srep18820" TargetMode="External" /><Relationship Type="http://schemas.openxmlformats.org/officeDocument/2006/relationships/hyperlink" Id="rId107" Target="https://doi.org/10.1073/pnas.1406326111" TargetMode="External" /><Relationship Type="http://schemas.openxmlformats.org/officeDocument/2006/relationships/hyperlink" Id="rId203" Target="https://doi.org/10.1073/pnas.1906556116" TargetMode="External" /><Relationship Type="http://schemas.openxmlformats.org/officeDocument/2006/relationships/hyperlink" Id="rId148" Target="https://doi.org/10.1093/auk/108.4.801" TargetMode="External" /><Relationship Type="http://schemas.openxmlformats.org/officeDocument/2006/relationships/hyperlink" Id="rId156" Target="https://doi.org/10.1093/auk/98.3.437" TargetMode="External" /><Relationship Type="http://schemas.openxmlformats.org/officeDocument/2006/relationships/hyperlink" Id="rId124" Target="https://doi.org/10.1093/biosci/biac050" TargetMode="External" /><Relationship Type="http://schemas.openxmlformats.org/officeDocument/2006/relationships/hyperlink" Id="rId258" Target="https://doi.org/10.1093/icesjms/fsab020" TargetMode="External" /><Relationship Type="http://schemas.openxmlformats.org/officeDocument/2006/relationships/hyperlink" Id="rId113" Target="https://doi.org/10.1098/rsos.191429" TargetMode="External" /><Relationship Type="http://schemas.openxmlformats.org/officeDocument/2006/relationships/hyperlink" Id="rId136" Target="https://doi.org/10.1098/rsos.192112" TargetMode="External" /><Relationship Type="http://schemas.openxmlformats.org/officeDocument/2006/relationships/hyperlink" Id="rId195" Target="https://doi.org/10.1098/rsta.2017.0164" TargetMode="External" /><Relationship Type="http://schemas.openxmlformats.org/officeDocument/2006/relationships/hyperlink" Id="rId97" Target="https://doi.org/10.1098/rstb.2006.1958" TargetMode="External" /><Relationship Type="http://schemas.openxmlformats.org/officeDocument/2006/relationships/hyperlink" Id="rId245" Target="https://doi.org/10.1111/1467-9868.00293" TargetMode="External" /><Relationship Type="http://schemas.openxmlformats.org/officeDocument/2006/relationships/hyperlink" Id="rId140" Target="https://doi.org/10.1111/gcb.16947" TargetMode="External" /><Relationship Type="http://schemas.openxmlformats.org/officeDocument/2006/relationships/hyperlink" Id="rId115" Target="https://doi.org/10.1111/ibi.12365" TargetMode="External" /><Relationship Type="http://schemas.openxmlformats.org/officeDocument/2006/relationships/hyperlink" Id="rId103" Target="https://doi.org/10.1111/j.1095-8312.1980.tb00101.x" TargetMode="External" /><Relationship Type="http://schemas.openxmlformats.org/officeDocument/2006/relationships/hyperlink" Id="rId132" Target="https://doi.org/10.1111/j.1365-2907.1982.tb00015.x" TargetMode="External" /><Relationship Type="http://schemas.openxmlformats.org/officeDocument/2006/relationships/hyperlink" Id="rId209" Target="https://doi.org/10.1111/j.1469-7998.1980.tb01423.x" TargetMode="External" /><Relationship Type="http://schemas.openxmlformats.org/officeDocument/2006/relationships/hyperlink" Id="rId164" Target="https://doi.org/10.1111/j.1469-7998.1983.tb02813.x" TargetMode="External" /><Relationship Type="http://schemas.openxmlformats.org/officeDocument/2006/relationships/hyperlink" Id="rId72" Target="https://doi.org/10.1111/j.1748-7692.2007.00109.x" TargetMode="External" /><Relationship Type="http://schemas.openxmlformats.org/officeDocument/2006/relationships/hyperlink" Id="rId120" Target="https://doi.org/10.1111/mms.12302" TargetMode="External" /><Relationship Type="http://schemas.openxmlformats.org/officeDocument/2006/relationships/hyperlink" Id="rId199" Target="https://doi.org/10.1126/science.1164533" TargetMode="External" /><Relationship Type="http://schemas.openxmlformats.org/officeDocument/2006/relationships/hyperlink" Id="rId74" Target="https://doi.org/10.1126/science.232.4752.847" TargetMode="External" /><Relationship Type="http://schemas.openxmlformats.org/officeDocument/2006/relationships/hyperlink" Id="rId241" Target="https://doi.org/10.1139/z94-229" TargetMode="External" /><Relationship Type="http://schemas.openxmlformats.org/officeDocument/2006/relationships/hyperlink" Id="rId166" Target="https://doi.org/10.1175/JCLI-D-18-0565.1" TargetMode="External" /><Relationship Type="http://schemas.openxmlformats.org/officeDocument/2006/relationships/hyperlink" Id="rId175" Target="https://doi.org/10.1186/s40317-015-0059-2" TargetMode="External" /><Relationship Type="http://schemas.openxmlformats.org/officeDocument/2006/relationships/hyperlink" Id="rId179" Target="https://doi.org/10.1186/s40317-017-0138-7" TargetMode="External" /><Relationship Type="http://schemas.openxmlformats.org/officeDocument/2006/relationships/hyperlink" Id="rId144" Target="https://doi.org/10.1242/jeb.106682" TargetMode="External" /><Relationship Type="http://schemas.openxmlformats.org/officeDocument/2006/relationships/hyperlink" Id="rId181" Target="https://doi.org/10.1371/journal.pbio.1000014" TargetMode="External" /><Relationship Type="http://schemas.openxmlformats.org/officeDocument/2006/relationships/hyperlink" Id="rId152" Target="https://doi.org/10.1371/journal.pone.0170132" TargetMode="External" /><Relationship Type="http://schemas.openxmlformats.org/officeDocument/2006/relationships/hyperlink" Id="rId130" Target="https://doi.org/10.1578/AM.47.2.2021.175" TargetMode="External" /><Relationship Type="http://schemas.openxmlformats.org/officeDocument/2006/relationships/hyperlink" Id="rId235" Target="https://doi.org/10.1641/0006-3568(2001)051[0235:MFATSO]2.0.CO;2" TargetMode="External" /><Relationship Type="http://schemas.openxmlformats.org/officeDocument/2006/relationships/hyperlink" Id="rId171" Target="https://doi.org/10.1890/0012-9615(1997)067[0155:TFEOFE]2.0.CO;2" TargetMode="External" /><Relationship Type="http://schemas.openxmlformats.org/officeDocument/2006/relationships/hyperlink" Id="rId142" Target="https://doi.org/10.2307/1310216" TargetMode="External" /><Relationship Type="http://schemas.openxmlformats.org/officeDocument/2006/relationships/hyperlink" Id="rId77" Target="https://doi.org/10.2307/1369419" TargetMode="External" /><Relationship Type="http://schemas.openxmlformats.org/officeDocument/2006/relationships/hyperlink" Id="rId233" Target="https://doi.org/10.2307/4089519" TargetMode="External" /><Relationship Type="http://schemas.openxmlformats.org/officeDocument/2006/relationships/hyperlink" Id="rId252" Target="https://doi.org/10.2307/5204" TargetMode="External" /><Relationship Type="http://schemas.openxmlformats.org/officeDocument/2006/relationships/hyperlink" Id="rId239" Target="https://doi.org/10.3354/meps09201" TargetMode="External" /><Relationship Type="http://schemas.openxmlformats.org/officeDocument/2006/relationships/hyperlink" Id="rId160" Target="https://doi.org/10.3354/meps09601" TargetMode="External" /><Relationship Type="http://schemas.openxmlformats.org/officeDocument/2006/relationships/hyperlink" Id="rId227" Target="https://doi.org/10.3354/meps10350" TargetMode="External" /><Relationship Type="http://schemas.openxmlformats.org/officeDocument/2006/relationships/hyperlink" Id="rId146" Target="https://doi.org/10.3354/meps10660" TargetMode="External" /><Relationship Type="http://schemas.openxmlformats.org/officeDocument/2006/relationships/hyperlink" Id="rId213" Target="https://doi.org/10.3354/meps12099" TargetMode="External" /><Relationship Type="http://schemas.openxmlformats.org/officeDocument/2006/relationships/hyperlink" Id="rId221" Target="https://doi.org/10.3354/meps207171" TargetMode="External" /><Relationship Type="http://schemas.openxmlformats.org/officeDocument/2006/relationships/hyperlink" Id="rId177" Target="https://doi.org/10.3354/meps254293" TargetMode="External" /><Relationship Type="http://schemas.openxmlformats.org/officeDocument/2006/relationships/hyperlink" Id="rId250" Target="https://doi.org/10.3389/fevo.2017.00121" TargetMode="External" /><Relationship Type="http://schemas.openxmlformats.org/officeDocument/2006/relationships/hyperlink" Id="rId85" Target="https://doi.org/10.3389/fevo.2020.566936" TargetMode="External" /><Relationship Type="http://schemas.openxmlformats.org/officeDocument/2006/relationships/hyperlink" Id="rId218" Target="https://doi.org/10.3389/fmars.2019.00247" TargetMode="External" /><Relationship Type="http://schemas.openxmlformats.org/officeDocument/2006/relationships/hyperlink" Id="rId173" Target="https://doi.org/10.3389/fmars.2021.796488" TargetMode="External" /><Relationship Type="http://schemas.openxmlformats.org/officeDocument/2006/relationships/hyperlink" Id="rId205" Target="https://doi.org/10.47536/jcrm.v5i2.813" TargetMode="External" /><Relationship Type="http://schemas.openxmlformats.org/officeDocument/2006/relationships/hyperlink" Id="rId134"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2024-06-13T18:15:58Z</dcterms:created>
  <dcterms:modified xsi:type="dcterms:W3CDTF">2024-06-13T18:15:58Z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rossref">
    <vt:lpwstr/>
  </property>
  <property fmtid="{D5CDD505-2E9C-101B-9397-08002B2CF9AE}" pid="8" name="csl">
    <vt:lpwstr>../templates/marine-ecology-progress-series.csl</vt:lpwstr>
  </property>
  <property fmtid="{D5CDD505-2E9C-101B-9397-08002B2CF9AE}" pid="9" name="date">
    <vt:lpwstr>June 13, 2024</vt:lpwstr>
  </property>
  <property fmtid="{D5CDD505-2E9C-101B-9397-08002B2CF9AE}" pid="10" name="date-format">
    <vt:lpwstr>long</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knitr">
    <vt:lpwstr/>
  </property>
  <property fmtid="{D5CDD505-2E9C-101B-9397-08002B2CF9AE}" pid="17" name="labels">
    <vt:lpwstr/>
  </property>
  <property fmtid="{D5CDD505-2E9C-101B-9397-08002B2CF9AE}" pid="18" name="title-block-published">
    <vt:lpwstr>Last updated</vt:lpwstr>
  </property>
  <property fmtid="{D5CDD505-2E9C-101B-9397-08002B2CF9AE}" pid="19" name="toc-title">
    <vt:lpwstr>Table of contents</vt:lpwstr>
  </property>
</Properties>
</file>