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15</w:t>
      </w:r>
      <w:r>
        <w:t xml:space="preserve"> </w:t>
      </w:r>
      <w:r>
        <w:t xml:space="preserve">February,</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 cranio-caudal acceleration. We validated our method with a simultaneously recorded ECG on an adult killer whale in managed care (</w:t>
      </w:r>
      <w:r>
        <w:rPr>
          <w:iCs/>
          <w:i/>
        </w:rPr>
        <w:t xml:space="preserve">Orcinus orca</w:t>
      </w:r>
      <w:r>
        <w:t xml:space="preserve">) and applied it to detect heartrate in a blue whale. The relative orientation of a tag on a cetacean’s body is often uncertain when bio-loggers are deployed in the wild</w:t>
      </w:r>
      <w:r>
        <w:t xml:space="preserve"> </w:t>
      </w:r>
      <w:r>
        <w:t xml:space="preserve">(Johnson and Tyack, 2003)</w:t>
      </w:r>
      <w:r>
        <w:t xml:space="preserve">, so isolating acceleration along the cranio-caudal axis is subject to error. Therefore, we also compared a tri-axial BCG to the cranio-caudal BCG. Specifically, we tested three hypotheses to validate our method. First, a cranio-caudal (1D) BCG would, in a controlled setting, produce instantaneous heartrates that are statistically equivalent to ECG instantaneous heartrates. Second, a tri-axial (3D) BCG would, in a field setting, produce a more robust signal than a 1D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tri-axial acceleration at 400 Hz, tri-axial magnetometer and tri-axial gyroscope at 50 Hz, pressure at 10 Hz, and video at 30 fps. The IMU in the CATS tag was a MPU-9250 (InvenSense, San Jose, CA; www.invensense.com). The accelerometer had dynamic range of ±4 g, sensitivity of 8,192 LSB g</w:t>
      </w:r>
      <w:r>
        <w:rPr>
          <w:vertAlign w:val="superscript"/>
        </w:rPr>
        <w:t xml:space="preserve">-1</w:t>
      </w:r>
      <w:r>
        <w:t xml:space="preserve">, and accuracy of 6.1 × 10</w:t>
      </w:r>
      <w:r>
        <w:rPr>
          <w:vertAlign w:val="superscript"/>
        </w:rPr>
        <w:t xml:space="preserve">-6</w:t>
      </w:r>
      <w:r>
        <w:t xml:space="preserve"> </w:t>
      </w:r>
      <w:r>
        <w:t xml:space="preserve">g.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w:t>
      </w:r>
      <w:r>
        <w:t xml:space="preserve"> </w:t>
      </w:r>
      <w:r>
        <w:t xml:space="preserve">(as described by Goldbogen et al., 2006)</w:t>
      </w:r>
      <w:r>
        <w:t xml:space="preserve"> </w:t>
      </w:r>
      <w:r>
        <w:t xml:space="preserve">The tag slid behind the left pectoral flipper, similar to the placement of the CATS tag on the killer whale. Tag configuration and data processing followed the same procedure as the killer whale, including accelerometer specification and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the signal should be de-noised prior to differentiation. A moving average smoother can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The signal-to-noise ratio was 2.00 for the 3-dimensional BCG, compared to 0.17 for the 1-dimensional BCG (Fig.</w:t>
      </w:r>
      <w:r>
        <w:t xml:space="preserve"> </w:t>
      </w:r>
      <w:r>
        <w:t xml:space="preserve">3</w:t>
      </w:r>
      <w:r>
        <w:rPr>
          <w:bCs/>
          <w:b/>
        </w:rPr>
        <w:t xml:space="preserve">A</w:t>
      </w:r>
      <w:r>
        <w:t xml:space="preserve">).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(Inan et al., 2015)</w:t>
      </w:r>
      <w:r>
        <w:t xml:space="preserve">, so only motionless periods are valid for analysis. This limits the behavioral and physiological contexts in which heartrate may be measured. For example, the BCG is unlikely to quantify neither the magnitude of surface tachycardia</w:t>
      </w:r>
      <w:r>
        <w:t xml:space="preserve"> </w:t>
      </w:r>
      <w:r>
        <w:t xml:space="preserve">(Goldbogen et al., 2019)</w:t>
      </w:r>
      <w:r>
        <w:t xml:space="preserve"> </w:t>
      </w:r>
      <w:r>
        <w:t xml:space="preserve">nor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w:t>
      </w:r>
      <w:r>
        <w:t xml:space="preserve"> </w:t>
      </w:r>
      <w:r>
        <w:t xml:space="preserve">(Fahlman et al., 2021; Hawkes et al., 2021; Williams and Hindle, 2021)</w:t>
      </w:r>
      <w:r>
        <w:t xml:space="preserve">,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 We thank Lucy Hawkes and two anonymous reviewers for comments on the manuscript.</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w:t>
      </w:r>
      <w:r>
        <w:t xml:space="preserve"> </w:t>
      </w:r>
      <w:r>
        <w:t xml:space="preserve">(Czapanskiy, 2021)</w:t>
      </w:r>
      <w:r>
        <w:t xml:space="preserve">.</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943600" cy="59436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9" w:name="references"/>
    <w:p>
      <w:pPr>
        <w:pStyle w:val="Heading1"/>
      </w:pPr>
      <w:r>
        <w:t xml:space="preserve">References</w:t>
      </w:r>
    </w:p>
    <w:bookmarkStart w:id="9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50"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 R package version 2.3.3.</w:t>
      </w:r>
      <w:r>
        <w:t xml:space="preserve"> </w:t>
      </w:r>
      <w:hyperlink r:id="rId49">
        <w:r>
          <w:rPr>
            <w:rStyle w:val="Hyperlink"/>
          </w:rPr>
          <w:t xml:space="preserve">https://CRAN.R-project.org/package=pracma</w:t>
        </w:r>
      </w:hyperlink>
      <w:r>
        <w:t xml:space="preserve">.</w:t>
      </w:r>
    </w:p>
    <w:bookmarkEnd w:id="50"/>
    <w:bookmarkStart w:id="51"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1"/>
    <w:bookmarkStart w:id="5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2"/>
    <w:bookmarkStart w:id="54" w:name="ref-cetaceanbcgzenodo"/>
    <w:p>
      <w:pPr>
        <w:pStyle w:val="Bibliography"/>
      </w:pPr>
      <w:r>
        <w:rPr>
          <w:bCs/>
          <w:b/>
        </w:rPr>
        <w:t xml:space="preserve">Czapanskiy, M.</w:t>
      </w:r>
      <w:r>
        <w:t xml:space="preserve"> </w:t>
      </w:r>
      <w:r>
        <w:t xml:space="preserve">(2021).</w:t>
      </w:r>
      <w:r>
        <w:t xml:space="preserve"> </w:t>
      </w:r>
      <w:r>
        <w:rPr>
          <w:iCs/>
          <w:i/>
        </w:rPr>
        <w:t xml:space="preserve">FlukeAndFeather/cetaceanbcg: v0.1.1</w:t>
      </w:r>
      <w:r>
        <w:t xml:space="preserve">. Zenodo. DOI:</w:t>
      </w:r>
      <w:r>
        <w:t xml:space="preserve"> </w:t>
      </w:r>
      <w:hyperlink r:id="rId53">
        <w:r>
          <w:rPr>
            <w:rStyle w:val="Hyperlink"/>
          </w:rPr>
          <w:t xml:space="preserve">10.5281/zenodo.5753233</w:t>
        </w:r>
      </w:hyperlink>
      <w:r>
        <w:t xml:space="preserve">.</w:t>
      </w:r>
    </w:p>
    <w:bookmarkEnd w:id="54"/>
    <w:bookmarkStart w:id="55"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5"/>
    <w:bookmarkStart w:id="56" w:name="ref-fahlman2021"/>
    <w:p>
      <w:pPr>
        <w:pStyle w:val="Bibliography"/>
      </w:pPr>
      <w:r>
        <w:rPr>
          <w:bCs/>
          <w:b/>
        </w:rPr>
        <w:t xml:space="preserve">Fahlman, A., Aoki, K., Bale, G., Brijs, J., Chon, K. H., Drummond, C. K., Føre, M., Manteca, X., McDonald, B. I., McKnight, J. C., et al.</w:t>
      </w:r>
      <w:r>
        <w:t xml:space="preserve"> </w:t>
      </w:r>
      <w:r>
        <w:t xml:space="preserve">(2021). The new era of physio-logging and their grand challenges.</w:t>
      </w:r>
      <w:r>
        <w:t xml:space="preserve"> </w:t>
      </w:r>
      <w:r>
        <w:rPr>
          <w:iCs/>
          <w:i/>
        </w:rPr>
        <w:t xml:space="preserve">Frontiers in Physiology</w:t>
      </w:r>
      <w:r>
        <w:t xml:space="preserve"> </w:t>
      </w:r>
      <w:r>
        <w:rPr>
          <w:bCs/>
          <w:b/>
        </w:rPr>
        <w:t xml:space="preserve">12</w:t>
      </w:r>
      <w:r>
        <w:t xml:space="preserve">,.</w:t>
      </w:r>
    </w:p>
    <w:bookmarkEnd w:id="56"/>
    <w:bookmarkStart w:id="57"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7"/>
    <w:bookmarkStart w:id="58"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8"/>
    <w:bookmarkStart w:id="59"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9"/>
    <w:bookmarkStart w:id="60"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60"/>
    <w:bookmarkStart w:id="61"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61"/>
    <w:bookmarkStart w:id="62"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62"/>
    <w:bookmarkStart w:id="64"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w:t>
      </w:r>
      <w:r>
        <w:t xml:space="preserve">. R package version 1.2.0.</w:t>
      </w:r>
      <w:r>
        <w:t xml:space="preserve"> </w:t>
      </w:r>
      <w:hyperlink r:id="rId63">
        <w:r>
          <w:rPr>
            <w:rStyle w:val="Hyperlink"/>
          </w:rPr>
          <w:t xml:space="preserve">https://CRAN.R-project.org/package=RobustLinearReg</w:t>
        </w:r>
      </w:hyperlink>
      <w:r>
        <w:t xml:space="preserve">.</w:t>
      </w:r>
    </w:p>
    <w:bookmarkEnd w:id="64"/>
    <w:bookmarkStart w:id="65"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5"/>
    <w:bookmarkStart w:id="66"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6"/>
    <w:bookmarkStart w:id="67"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7"/>
    <w:bookmarkStart w:id="6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8"/>
    <w:bookmarkStart w:id="70"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w:t>
      </w:r>
      <w:r>
        <w:t xml:space="preserve">. R package version 0.7-7.</w:t>
      </w:r>
      <w:r>
        <w:t xml:space="preserve"> </w:t>
      </w:r>
      <w:hyperlink r:id="rId69">
        <w:r>
          <w:rPr>
            <w:rStyle w:val="Hyperlink"/>
          </w:rPr>
          <w:t xml:space="preserve">https://CRAN.R-project.org/package=signal</w:t>
        </w:r>
      </w:hyperlink>
      <w:r>
        <w:t xml:space="preserve">.</w:t>
      </w:r>
    </w:p>
    <w:bookmarkEnd w:id="70"/>
    <w:bookmarkStart w:id="71"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71"/>
    <w:bookmarkStart w:id="7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 R package version 0.1.5.</w:t>
      </w:r>
      <w:r>
        <w:t xml:space="preserve"> </w:t>
      </w:r>
      <w:hyperlink r:id="rId72">
        <w:r>
          <w:rPr>
            <w:rStyle w:val="Hyperlink"/>
          </w:rPr>
          <w:t xml:space="preserve">https://github.com/benmarwick/rrtools</w:t>
        </w:r>
      </w:hyperlink>
      <w:r>
        <w:t xml:space="preserve">.</w:t>
      </w:r>
    </w:p>
    <w:bookmarkEnd w:id="73"/>
    <w:bookmarkStart w:id="7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74"/>
    <w:bookmarkStart w:id="7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75"/>
    <w:bookmarkStart w:id="7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76"/>
    <w:bookmarkStart w:id="77" w:name="ref-moukadem2018"/>
    <w:p>
      <w:pPr>
        <w:pStyle w:val="Bibliography"/>
      </w:pPr>
      <w:r>
        <w:rPr>
          <w:bCs/>
          <w:b/>
        </w:rPr>
        <w:t xml:space="preserve">Moukadem, A., Finnaoui, A., Gassara, H. E., Adolphe, D., Schacher, L. and Dieterlen, A.</w:t>
      </w:r>
      <w:r>
        <w:t xml:space="preserve"> </w:t>
      </w:r>
      <w:r>
        <w:t xml:space="preserve">(2018). Time-frequency domain for BCG analysis. In</w:t>
      </w:r>
      <w:r>
        <w:t xml:space="preserve"> </w:t>
      </w:r>
      <w:r>
        <w:rPr>
          <w:iCs/>
          <w:i/>
        </w:rPr>
        <w:t xml:space="preserve">2018 international conference on computer and applications (ICCA)</w:t>
      </w:r>
      <w:r>
        <w:t xml:space="preserve">, pp. 226–230.</w:t>
      </w:r>
    </w:p>
    <w:bookmarkEnd w:id="77"/>
    <w:bookmarkStart w:id="78"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 1970051.</w:t>
      </w:r>
    </w:p>
    <w:bookmarkEnd w:id="78"/>
    <w:bookmarkStart w:id="79"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9"/>
    <w:bookmarkStart w:id="80"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80"/>
    <w:bookmarkStart w:id="81"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81"/>
    <w:bookmarkStart w:id="82"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82"/>
    <w:bookmarkStart w:id="83"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w:t>
      </w:r>
      <w:r>
        <w:rPr>
          <w:iCs/>
          <w:i/>
        </w:rPr>
        <w:t xml:space="preserve"> </w:t>
      </w:r>
      <w:r>
        <w:rPr>
          <w:iCs/>
          <w:i/>
        </w:rPr>
        <w:t xml:space="preserve">robustus</w:t>
      </w:r>
      <w:r>
        <w:t xml:space="preserve">).</w:t>
      </w:r>
      <w:r>
        <w:t xml:space="preserve"> </w:t>
      </w:r>
      <w:r>
        <w:rPr>
          <w:iCs/>
          <w:i/>
        </w:rPr>
        <w:t xml:space="preserve">Marine Mammal Science</w:t>
      </w:r>
      <w:r>
        <w:t xml:space="preserve"> </w:t>
      </w:r>
      <w:r>
        <w:rPr>
          <w:bCs/>
          <w:b/>
        </w:rPr>
        <w:t xml:space="preserve">15</w:t>
      </w:r>
      <w:r>
        <w:t xml:space="preserve">, 1198–1207.</w:t>
      </w:r>
    </w:p>
    <w:bookmarkEnd w:id="83"/>
    <w:bookmarkStart w:id="84"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84"/>
    <w:bookmarkStart w:id="85"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85"/>
    <w:bookmarkStart w:id="86"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86"/>
    <w:bookmarkStart w:id="87"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7"/>
    <w:bookmarkStart w:id="88"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8"/>
    <w:bookmarkStart w:id="89"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w:t>
      </w:r>
      <w:r>
        <w:rPr>
          <w:iCs/>
          <w:i/>
        </w:rPr>
        <w:t xml:space="preserve">Balaenoptera</w:t>
      </w:r>
      <w:r>
        <w:rPr>
          <w:iCs/>
          <w:i/>
        </w:rPr>
        <w:t xml:space="preserve"> </w:t>
      </w:r>
      <w:r>
        <w:rPr>
          <w:iCs/>
          <w:i/>
        </w:rPr>
        <w:t xml:space="preserve">musculus</w:t>
      </w:r>
      <w:r>
        <w:t xml:space="preserve">) to mid-frequency military sonar.</w:t>
      </w:r>
      <w:r>
        <w:t xml:space="preserve"> </w:t>
      </w:r>
      <w:r>
        <w:rPr>
          <w:iCs/>
          <w:i/>
        </w:rPr>
        <w:t xml:space="preserve">Journal of Experimental Biology</w:t>
      </w:r>
      <w:r>
        <w:t xml:space="preserve"> </w:t>
      </w:r>
      <w:r>
        <w:rPr>
          <w:bCs/>
          <w:b/>
        </w:rPr>
        <w:t xml:space="preserve">222</w:t>
      </w:r>
      <w:r>
        <w:t xml:space="preserve">, jeb190637.</w:t>
      </w:r>
    </w:p>
    <w:bookmarkEnd w:id="89"/>
    <w:bookmarkStart w:id="90"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90"/>
    <w:bookmarkStart w:id="9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91"/>
    <w:bookmarkStart w:id="9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92"/>
    <w:bookmarkStart w:id="9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93"/>
    <w:bookmarkStart w:id="9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rPr>
          <w:bCs/>
          <w:b/>
        </w:rPr>
        <w:t xml:space="preserve">11</w:t>
      </w:r>
      <w:r>
        <w:t xml:space="preserve">, 1979–2015.</w:t>
      </w:r>
    </w:p>
    <w:bookmarkEnd w:id="94"/>
    <w:bookmarkStart w:id="9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95"/>
    <w:bookmarkStart w:id="9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96"/>
    <w:bookmarkEnd w:id="97"/>
    <w:p>
      <w:r>
        <w:br w:type="page"/>
      </w:r>
    </w:p>
    <w:bookmarkStart w:id="98" w:name="colophon"/>
    <w:p>
      <w:pPr>
        <w:pStyle w:val="Heading3"/>
      </w:pPr>
      <w:r>
        <w:t xml:space="preserve">Colophon</w:t>
      </w:r>
    </w:p>
    <w:p>
      <w:pPr>
        <w:pStyle w:val="FirstParagraph"/>
      </w:pPr>
      <w:r>
        <w:t xml:space="preserve">This report was generated on 2022-02-15 13:57:54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2022-02-15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[f9c68ad] 2022-02-09: Almost done with edits for reviewers!</w:t>
      </w:r>
    </w:p>
    <w:bookmarkEnd w:id="98"/>
    <w:bookmarkEnd w:id="9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5753233"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5753233"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2022-02-15T21:57:55Z</dcterms:created>
  <dcterms:modified xsi:type="dcterms:W3CDTF">2022-02-15T21:57:55Z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15 February, 2022</vt:lpwstr>
  </property>
  <property fmtid="{D5CDD505-2E9C-101B-9397-08002B2CF9AE}" pid="6" name="output">
    <vt:lpwstr/>
  </property>
</Properties>
</file>