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27</w:t>
      </w:r>
      <w:r>
        <w:t xml:space="preserve"> </w:t>
      </w:r>
      <w:r>
        <w:t xml:space="preserve">October,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progressive</w:t>
      </w:r>
      <w:r>
        <w:t xml:space="preserve"> </w:t>
      </w:r>
      <w:r>
        <w:t xml:space="preserve">relaxation</w:t>
      </w:r>
      <w:r>
        <w:t xml:space="preserve"> </w:t>
      </w:r>
      <w:r>
        <w:t xml:space="preserve">of</w:t>
      </w:r>
      <w:r>
        <w:t xml:space="preserve"> </w:t>
      </w:r>
      <w:r>
        <w:t xml:space="preserve">bradycardia</w:t>
      </w:r>
      <w:r>
        <w:t xml:space="preserve"> </w:t>
      </w:r>
      <w:r>
        <w:t xml:space="preserve">during</w:t>
      </w:r>
      <w:r>
        <w:t xml:space="preserve"> </w:t>
      </w:r>
      <w:r>
        <w:t xml:space="preserve">dives.</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Veterinary Services,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rPr>
          <w:rStyle w:val="SectionNumber"/>
        </w:rPr>
        <w:t xml:space="preserve">1</w:t>
      </w:r>
      <w:r>
        <w:tab/>
      </w: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the medical community has recently returned to ballistocardiography as a potential means of passive monitoring of heart function in at-risk populations</w:t>
      </w:r>
      <w:r>
        <w:t xml:space="preserve"> </w:t>
      </w:r>
      <w:r>
        <w:t xml:space="preserve">(Giovangrandi et al., 2011)</w:t>
      </w:r>
      <w:r>
        <w:t xml:space="preserve">, which has led to substantial progress in signal processing methodology for generating interpretable BCGs</w:t>
      </w:r>
      <w:r>
        <w:t xml:space="preserve"> </w:t>
      </w:r>
      <w:r>
        <w:t xml:space="preserve">(Sadek et al., 2019)</w:t>
      </w:r>
      <w:r>
        <w:t xml:space="preserve">. While the BCG is a three-dimensional phenomenon, it is strongest in the anterior-posterior axis</w:t>
      </w:r>
      <w:r>
        <w:t xml:space="preserve"> </w:t>
      </w:r>
      <w:r>
        <w:t xml:space="preserve">(Inan et al., 2015)</w:t>
      </w:r>
      <w:r>
        <w:t xml:space="preserve">. Along this axis, the waveform is composed of multiple peaks and valleys; most prominent of these are the IJK complex, which progressively occurs during systole</w:t>
      </w:r>
      <w:r>
        <w:t xml:space="preserve"> </w:t>
      </w:r>
      <w:r>
        <w:t xml:space="preserve">(Pinheiro et al., 2010)</w:t>
      </w:r>
      <w:r>
        <w:t xml:space="preserve">. The BCG J wave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an adult killer whale in managed care (</w:t>
      </w:r>
      <w:r>
        <w:rPr>
          <w:iCs/>
          <w:i/>
        </w:rPr>
        <w:t xml:space="preserve">Orcinus orca</w:t>
      </w:r>
      <w:r>
        <w:t xml:space="preserve">) and applied it to detect heartrate in a blue whale. The relative orientation of the tag on the body is uncertain in cetacean bio-logging in the wild</w:t>
      </w:r>
      <w:r>
        <w:t xml:space="preserve"> </w:t>
      </w:r>
      <w:r>
        <w:t xml:space="preserve">(Johnson and Tyack, 2003)</w:t>
      </w:r>
      <w:r>
        <w:t xml:space="preserve">, so in addition to a one-dimensional BCG based solely on anterior-posterior acceleration (surge),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during the bottom and latter phases of dives, consistent with the progressive increase in heartrate routinely observed before and during ascent</w:t>
      </w:r>
      <w:r>
        <w:t xml:space="preserve"> </w:t>
      </w:r>
      <w:r>
        <w:t xml:space="preserve">(Goldbogen et al., 2019; McDonald and Ponganis, 2014)</w:t>
      </w:r>
      <w:r>
        <w:t xml:space="preserve">.</w:t>
      </w:r>
    </w:p>
    <w:bookmarkEnd w:id="21"/>
    <w:bookmarkStart w:id="27" w:name="materials-and-methods"/>
    <w:p>
      <w:pPr>
        <w:pStyle w:val="Heading1"/>
      </w:pPr>
      <w:r>
        <w:rPr>
          <w:rStyle w:val="SectionNumber"/>
        </w:rPr>
        <w:t xml:space="preserve">2</w:t>
      </w:r>
      <w:r>
        <w:tab/>
      </w:r>
      <w:r>
        <w:t xml:space="preserve">Materials and methods</w:t>
      </w:r>
    </w:p>
    <w:bookmarkStart w:id="22" w:name="animal-tagging"/>
    <w:p>
      <w:pPr>
        <w:pStyle w:val="Heading2"/>
      </w:pPr>
      <w:r>
        <w:rPr>
          <w:rStyle w:val="SectionNumber"/>
        </w:rPr>
        <w:t xml:space="preserve">2.1</w:t>
      </w:r>
      <w:r>
        <w:tab/>
      </w:r>
      <w:r>
        <w:t xml:space="preserve">Animal tagging</w:t>
      </w:r>
    </w:p>
    <w:p>
      <w:pPr>
        <w:pStyle w:val="FirstParagraph"/>
      </w:pPr>
      <w:r>
        <w:rPr>
          <w:bCs/>
          <w:b/>
        </w:rPr>
        <w:t xml:space="preserve">Killer whale</w:t>
      </w:r>
    </w:p>
    <w:p>
      <w:pPr>
        <w:pStyle w:val="BodyText"/>
      </w:pPr>
      <w:r>
        <w:t xml:space="preserve">A killer whale in managed care at the SeaWorld, San Diego, CA marine facilities was double-tagged with Customized Animal Tracking Solutions IMU (CATS, www.cats.is) and electrocardiogram (ECG) tags on August 16, 2021 as part of clinical animal cardiac evaluations under the SeaWorld display permit. The CATS tag recorded acceleration at 400 Hz, magnetometer and gyroscope at 50 Hz, pressure at 10 Hz, and video at 30 fps. All sensors were rotated from the tag’s frame of reference to that of the whale using MATLAB (MathWorks, Inc., v2020b) tools for processing CATS data</w:t>
      </w:r>
      <w:r>
        <w:t xml:space="preserve"> </w:t>
      </w:r>
      <w:r>
        <w:t xml:space="preserve">(Cade et al., 2021)</w:t>
      </w:r>
      <w:r>
        <w:t xml:space="preserve">. The ECG tag hardware and data processing followed the methods in</w:t>
      </w:r>
      <w:r>
        <w:t xml:space="preserve"> </w:t>
      </w:r>
      <w:r>
        <w:t xml:space="preserve">(Bickett et al., 2019)</w:t>
      </w:r>
      <w:r>
        <w:t xml:space="preserve">. Briefly, we recorded ECG at 100 Hz and identified individual heart beats from visually verified R-waves using a customized peak detection program (K. Ponganis; Origin 2017, OriginLab Co., Northampton, MA). ECG and IMU were recorded during a submerged breath hold.</w:t>
      </w:r>
    </w:p>
    <w:p>
      <w:pPr>
        <w:pStyle w:val="BodyText"/>
      </w:pPr>
      <w:r>
        <w:rPr>
          <w:bCs/>
          <w:b/>
        </w:rPr>
        <w:t xml:space="preserve">Blue whale</w:t>
      </w:r>
    </w:p>
    <w:p>
      <w:pPr>
        <w:pStyle w:val="BodyText"/>
      </w:pPr>
      <w:r>
        <w:t xml:space="preserve">A 24.5 m blue whale was tagged with a CATS IMU tag on September 5, 2018 in Monterey Bay, CA under permits MBNMS-MULTI-2017-007, NMFS 21678, and Stanford University IACUC 30123 (previously published in</w:t>
      </w:r>
      <w:r>
        <w:t xml:space="preserve"> </w:t>
      </w:r>
      <w:r>
        <w:t xml:space="preserve">(Gough et al., 2019)</w:t>
      </w:r>
      <w:r>
        <w:t xml:space="preserve">). Tag configuration and data processing followed the same procedure as the killer whale, with one addition. The 400 Hz acceleration data was used for ballistocardiography (see section</w:t>
      </w:r>
      <w:r>
        <w:t xml:space="preserve"> </w:t>
      </w:r>
      <w:r>
        <w:rPr>
          <w:bCs/>
          <w:b/>
        </w:rPr>
        <w:t xml:space="preserve">Signal processing</w:t>
      </w:r>
      <w:r>
        <w:t xml:space="preserve">), but we also downsampled the multi-sensor data to 10 Hz for movement analysis using the MATLAB CATS tools.</w:t>
      </w:r>
    </w:p>
    <w:bookmarkEnd w:id="22"/>
    <w:bookmarkStart w:id="23" w:name="signal-processing"/>
    <w:p>
      <w:pPr>
        <w:pStyle w:val="Heading2"/>
      </w:pPr>
      <w:r>
        <w:rPr>
          <w:rStyle w:val="SectionNumber"/>
        </w:rPr>
        <w:t xml:space="preserve">2.2</w:t>
      </w:r>
      <w:r>
        <w:tab/>
      </w:r>
      <w:r>
        <w:t xml:space="preserve">Signal processing</w:t>
      </w:r>
    </w:p>
    <w:p>
      <w:pPr>
        <w:pStyle w:val="FirstParagraph"/>
      </w:pPr>
      <w:r>
        <w:t xml:space="preserve">The BCG waveform is three dimensional, but strongest in the anterior-posterior axis</w:t>
      </w:r>
      <w:r>
        <w:t xml:space="preserve"> </w:t>
      </w:r>
      <w:r>
        <w:t xml:space="preserve">(Inan et al., 2015)</w:t>
      </w:r>
      <w:r>
        <w:t xml:space="preserve">. We tested 1d and 3d metrics for identifying heartbeats in acceleration data based on the methods of</w:t>
      </w:r>
      <w:r>
        <w:t xml:space="preserve"> </w:t>
      </w:r>
      <w:r>
        <w:t xml:space="preserve">(Lee et al., 2016)</w:t>
      </w:r>
      <w:r>
        <w:t xml:space="preserve">. For windowed operations, we used 0.5 s for killer whale data and 2.0 s for blue whale data.</w:t>
      </w:r>
    </w:p>
    <w:p>
      <w:pPr>
        <w:pStyle w:val="BodyText"/>
      </w:pPr>
      <w:r>
        <w:rPr>
          <w:bCs/>
          <w:b/>
        </w:rPr>
        <w:t xml:space="preserve">Procedure</w:t>
      </w:r>
    </w:p>
    <w:p>
      <w:pPr>
        <w:numPr>
          <w:ilvl w:val="0"/>
          <w:numId w:val="1001"/>
        </w:numPr>
        <w:pStyle w:val="Compact"/>
      </w:pPr>
      <w:r>
        <w:t xml:space="preserve">Remove noise and de-trend the acceleration signal with a 5th order Butterworth band-pass filter (killer whale: [1-25Hz], blue whale: [1-10Hz])</w:t>
      </w:r>
      <w:r>
        <w:t xml:space="preserve"> </w:t>
      </w:r>
      <w:r>
        <w:t xml:space="preserve">(R package</w:t>
      </w:r>
      <w:r>
        <w:t xml:space="preserve"> </w:t>
      </w:r>
      <w:r>
        <w:rPr>
          <w:rStyle w:val="VerbatimChar"/>
        </w:rPr>
        <w:t xml:space="preserve">signal</w:t>
      </w:r>
      <w:r>
        <w:t xml:space="preserve"> </w:t>
      </w:r>
      <w:r>
        <w:t xml:space="preserve">Ligges et al., 2021)</w:t>
      </w:r>
      <w:r>
        <w:t xml:space="preserve">.</w:t>
      </w:r>
    </w:p>
    <w:p>
      <w:pPr>
        <w:numPr>
          <w:ilvl w:val="0"/>
          <w:numId w:val="1001"/>
        </w:numPr>
        <w:pStyle w:val="Compact"/>
      </w:pPr>
      <w:r>
        <w:t xml:space="preserve">Enhance the IJK complex by differentiating acceleration using a 4th order Savitzky-Golay filter (R package</w:t>
      </w:r>
      <w:r>
        <w:t xml:space="preserve"> </w:t>
      </w:r>
      <w:r>
        <w:rPr>
          <w:rStyle w:val="VerbatimChar"/>
        </w:rPr>
        <w:t xml:space="preserve">signal</w:t>
      </w:r>
      <w:r>
        <w:t xml:space="preserve">). Differentiation exaggerates impulses like the J wave.</w:t>
      </w:r>
    </w:p>
    <w:p>
      <w:pPr>
        <w:numPr>
          <w:ilvl w:val="0"/>
          <w:numId w:val="1001"/>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 case,</w:t>
      </w:r>
      <w:r>
        <w:t xml:space="preserve"> </w:t>
      </w:r>
      <m:oMath>
        <m:r>
          <m:t>k</m:t>
        </m:r>
      </m:oMath>
      <w:r>
        <w:t xml:space="preserve"> </w:t>
      </w:r>
      <w:r>
        <w:t xml:space="preserve">is surge (anterior-posterior acceleration) only.</w:t>
      </w:r>
    </w:p>
    <w:p>
      <w:pPr>
        <w:numPr>
          <w:ilvl w:val="0"/>
          <w:numId w:val="1001"/>
        </w:numPr>
        <w:pStyle w:val="Compact"/>
      </w:pPr>
      <w:r>
        <w:t xml:space="preserve">Remove noise by applying a triangular moving average smoother.</w:t>
      </w:r>
    </w:p>
    <w:p>
      <w:pPr>
        <w:numPr>
          <w:ilvl w:val="0"/>
          <w:numId w:val="1001"/>
        </w:numPr>
        <w:pStyle w:val="Compact"/>
      </w:pPr>
      <w:r>
        <w:t xml:space="preserve">Extract peaks and heuristically remove noisy peaks (Fig. S1).</w:t>
      </w:r>
    </w:p>
    <w:p>
      <w:pPr>
        <w:pStyle w:val="FirstParagraph"/>
      </w:pPr>
      <w:r>
        <w:t xml:space="preserve">This procedure can be applied to either 1d (i.e., surge-only) or 3d acceleration. In the case of 3d acceleration, the band-pass and Savitzky-Golay filters were applied to each axis independently.</w:t>
      </w:r>
    </w:p>
    <w:bookmarkEnd w:id="23"/>
    <w:bookmarkStart w:id="24" w:name="ecg-validation-on-killer-whale"/>
    <w:p>
      <w:pPr>
        <w:pStyle w:val="Heading2"/>
      </w:pPr>
      <w:r>
        <w:rPr>
          <w:rStyle w:val="SectionNumber"/>
        </w:rPr>
        <w:t xml:space="preserve">2.3</w:t>
      </w:r>
      <w:r>
        <w:tab/>
      </w:r>
      <w:r>
        <w:t xml:space="preserve">ECG validation on killer whale</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 BCG only).</w:t>
      </w:r>
    </w:p>
    <w:bookmarkEnd w:id="24"/>
    <w:bookmarkStart w:id="25" w:name="bcg-application-to-blue-whale"/>
    <w:p>
      <w:pPr>
        <w:pStyle w:val="Heading2"/>
      </w:pPr>
      <w:r>
        <w:rPr>
          <w:rStyle w:val="SectionNumber"/>
        </w:rPr>
        <w:t xml:space="preserve">2.4</w:t>
      </w:r>
      <w:r>
        <w:tab/>
      </w:r>
      <w:r>
        <w:t xml:space="preserve">BCG application to blue whale</w:t>
      </w:r>
    </w:p>
    <w:p>
      <w:pPr>
        <w:pStyle w:val="FirstParagraph"/>
      </w:pPr>
      <w:r>
        <w:t xml:space="preserve">Dynamic body movements produce an acceleration signal that masks the ballistocardiogram, so we limited our analyses to motionless periods (Fig. S2). These periods occured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w:t>
      </w:r>
    </w:p>
    <w:p>
      <w:pPr>
        <w:pStyle w:val="BodyText"/>
      </w:pPr>
      <w:r>
        <w:t xml:space="preserve">We tested whether the 3d BCG was more robust than 1d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exhibited bradycardia relaxation over the course of dives, consistent with diving physiology patterns in marine mammals</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w:t>
      </w:r>
      <w:r>
        <w:t xml:space="preserve">;</w:t>
      </w:r>
      <w:r>
        <w:t xml:space="preserve"> </w:t>
      </w:r>
      <w:r>
        <w:t xml:space="preserve">Sen (1968)</w:t>
      </w:r>
      <w:r>
        <w:t xml:space="preserve">;</w:t>
      </w:r>
      <w:r>
        <w:t xml:space="preserve"> </w:t>
      </w:r>
      <w:r>
        <w:t xml:space="preserve">Theil (1992)</w:t>
      </w:r>
      <w:r>
        <w:t xml:space="preserve">] and tested whether the slope was greater than 0.</w:t>
      </w:r>
    </w:p>
    <w:bookmarkEnd w:id="25"/>
    <w:bookmarkStart w:id="26" w:name="reproducibility"/>
    <w:p>
      <w:pPr>
        <w:pStyle w:val="Heading2"/>
      </w:pPr>
      <w:r>
        <w:rPr>
          <w:rStyle w:val="SectionNumber"/>
        </w:rPr>
        <w:t xml:space="preserve">2.5</w:t>
      </w:r>
      <w:r>
        <w:tab/>
      </w:r>
      <w:r>
        <w:t xml:space="preserve">Reproducibility</w:t>
      </w:r>
    </w:p>
    <w:p>
      <w:pPr>
        <w:pStyle w:val="FirstParagraph"/>
      </w:pPr>
      <w:r>
        <w:t xml:space="preserve">The data and code used in this analysis were packaged as a research compendium [R package</w:t>
      </w:r>
      <w:r>
        <w:t xml:space="preserve"> </w:t>
      </w:r>
      <w:r>
        <w:rPr>
          <w:rStyle w:val="VerbatimChar"/>
        </w:rPr>
        <w:t xml:space="preserve">rrtools</w:t>
      </w:r>
      <w:r>
        <w:t xml:space="preserve">;</w:t>
      </w:r>
      <w:r>
        <w:t xml:space="preserve"> </w:t>
      </w:r>
      <w:r>
        <w:t xml:space="preserve">Marwick et al. (2018)</w:t>
      </w:r>
      <w:r>
        <w:t xml:space="preserve">;</w:t>
      </w:r>
      <w:r>
        <w:t xml:space="preserve"> </w:t>
      </w:r>
      <w:r>
        <w:t xml:space="preserve">Marwick (2019)</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rPr>
          <w:rStyle w:val="SectionNumber"/>
        </w:rPr>
        <w:t xml:space="preserve">3</w:t>
      </w:r>
      <w:r>
        <w:tab/>
      </w:r>
      <w:r>
        <w:t xml:space="preserve">Results and discussion</w:t>
      </w:r>
    </w:p>
    <w:bookmarkStart w:id="28" w:name="ecg-validation-on-killer-whale-1"/>
    <w:p>
      <w:pPr>
        <w:pStyle w:val="Heading2"/>
      </w:pPr>
      <w:r>
        <w:rPr>
          <w:rStyle w:val="SectionNumber"/>
        </w:rPr>
        <w:t xml:space="preserve">3.1</w:t>
      </w:r>
      <w:r>
        <w:tab/>
      </w:r>
      <w:r>
        <w:t xml:space="preserve">ECG validation on killer whale</w:t>
      </w:r>
    </w:p>
    <w:p>
      <w:pPr>
        <w:pStyle w:val="FirstParagraph"/>
      </w:pPr>
      <w:r>
        <w:t xml:space="preserve">The ECG and BCG yielded nearly identical heart rate estimations (Fig.</w:t>
      </w:r>
      <w:r>
        <w:t xml:space="preserve"> </w:t>
      </w:r>
      <w:r>
        <w:t xml:space="preserve">5.1</w:t>
      </w:r>
      <w:r>
        <w:t xml:space="preserve">). We collected 14 s of simultaneous ECG and BCG data during a motionless, submerged breath hold.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rPr>
          <w:rStyle w:val="SectionNumber"/>
        </w:rPr>
        <w:t xml:space="preserve">3.2</w:t>
      </w:r>
      <w:r>
        <w:tab/>
      </w:r>
      <w:r>
        <w:t xml:space="preserve">BCG application to blue whale</w:t>
      </w:r>
    </w:p>
    <w:p>
      <w:pPr>
        <w:pStyle w:val="FirstParagraph"/>
      </w:pPr>
      <w:r>
        <w:t xml:space="preserve">We generated 1d and 3d BCGs for 2 hours of data, including 10 rest dives and 51 motionless periods totaling 76.9 minutes (Fig. S3).</w:t>
      </w:r>
    </w:p>
    <w:p>
      <w:pPr>
        <w:pStyle w:val="BodyText"/>
      </w:pPr>
      <w:r>
        <w:t xml:space="preserve">The 3d BCG (Fig.</w:t>
      </w:r>
      <w:r>
        <w:t xml:space="preserve"> </w:t>
      </w:r>
      <w:r>
        <w:t xml:space="preserve">5.2</w:t>
      </w:r>
      <w:r>
        <w:t xml:space="preserve">) produced a more robust signal than the 1d BCG, which used only anterior-posterior acceleration. The signal-to-noise ratio was 2.00 for the 3d BCG, compared to 0.17 for the 1d BCG (Fig.</w:t>
      </w:r>
      <w:r>
        <w:t xml:space="preserve"> </w:t>
      </w:r>
      <w:r>
        <w:t xml:space="preserve">5.3</w:t>
      </w:r>
      <w:r>
        <w:rPr>
          <w:bCs/>
          <w:b/>
        </w:rPr>
        <w:t xml:space="preserve">A</w:t>
      </w:r>
      <w:r>
        <w:t xml:space="preserve">).</w:t>
      </w:r>
    </w:p>
    <w:p>
      <w:pPr>
        <w:pStyle w:val="BodyText"/>
      </w:pPr>
      <w:r>
        <w:t xml:space="preserve">3d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5.3</w:t>
      </w:r>
      <w:r>
        <w:rPr>
          <w:bCs/>
          <w:b/>
        </w:rPr>
        <w:t xml:space="preserve">B</w:t>
      </w:r>
      <w:r>
        <w:t xml:space="preserve">).</w:t>
      </w:r>
    </w:p>
    <w:bookmarkEnd w:id="29"/>
    <w:bookmarkStart w:id="30" w:name="reproducibility-1"/>
    <w:p>
      <w:pPr>
        <w:pStyle w:val="Heading2"/>
      </w:pPr>
      <w:r>
        <w:rPr>
          <w:rStyle w:val="SectionNumber"/>
        </w:rPr>
        <w:t xml:space="preserve">3.3</w:t>
      </w:r>
      <w:r>
        <w:tab/>
      </w: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rPr>
          <w:rStyle w:val="SectionNumber"/>
        </w:rPr>
        <w:t xml:space="preserve">3.4</w:t>
      </w:r>
      <w:r>
        <w:tab/>
      </w: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Current IMU tag designs limit BCG analysis to motionless periods, but future dimple- or limpet-style tags could reduce acceleration noise, boost the signal-to-noise ratio, and make the method more widely applicable.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rPr>
          <w:rStyle w:val="SectionNumber"/>
        </w:rPr>
        <w:t xml:space="preserve">4</w:t>
      </w:r>
      <w:r>
        <w:tab/>
      </w:r>
      <w:r>
        <w:t xml:space="preserve">Acknowledgements</w:t>
      </w:r>
    </w:p>
    <w:p>
      <w:pPr>
        <w:numPr>
          <w:ilvl w:val="0"/>
          <w:numId w:val="1002"/>
        </w:numPr>
        <w:pStyle w:val="Compact"/>
      </w:pPr>
      <w:r>
        <w:t xml:space="preserve">Everyone who helped collect and process the blue whale data.</w:t>
      </w:r>
    </w:p>
    <w:p>
      <w:pPr>
        <w:numPr>
          <w:ilvl w:val="0"/>
          <w:numId w:val="1002"/>
        </w:numPr>
        <w:pStyle w:val="Compact"/>
      </w:pPr>
      <w:r>
        <w:t xml:space="preserve">The Sea World trainers.</w:t>
      </w:r>
    </w:p>
    <w:p>
      <w:pPr>
        <w:numPr>
          <w:ilvl w:val="0"/>
          <w:numId w:val="1002"/>
        </w:numPr>
        <w:pStyle w:val="Compact"/>
      </w:pPr>
      <w:r>
        <w:t xml:space="preserve">Anna Krystalli, Ben Marwick, Karthik Ram, Nicholas Tierney, and other members of the open science R community for developing tools and educational resources that facilitate open science practices.</w:t>
      </w:r>
    </w:p>
    <w:p>
      <w:pPr>
        <w:numPr>
          <w:ilvl w:val="0"/>
          <w:numId w:val="1002"/>
        </w:numPr>
        <w:pStyle w:val="Compact"/>
      </w:pPr>
      <w:r>
        <w:t xml:space="preserve">Funding from Office of Naval Research N000141912455, Stanford Terman Fellowship</w:t>
      </w:r>
    </w:p>
    <w:p>
      <w:pPr>
        <w:numPr>
          <w:ilvl w:val="0"/>
          <w:numId w:val="1002"/>
        </w:numPr>
        <w:pStyle w:val="Compact"/>
      </w:pPr>
      <w:r>
        <w:t xml:space="preserve">M. F. Czapanskiy was supported by the Stanford University William R. and Sara Hart Kimball Fellowship and a Stanford Data Science Scholar Fellowship.</w:t>
      </w:r>
    </w:p>
    <w:p>
      <w:r>
        <w:br w:type="page"/>
      </w:r>
    </w:p>
    <w:bookmarkEnd w:id="33"/>
    <w:bookmarkStart w:id="37" w:name="figures"/>
    <w:p>
      <w:pPr>
        <w:pStyle w:val="Heading1"/>
      </w:pPr>
      <w:r>
        <w:rPr>
          <w:rStyle w:val="SectionNumber"/>
        </w:rPr>
        <w:t xml:space="preserve">5</w:t>
      </w:r>
      <w:r>
        <w:tab/>
      </w:r>
      <w:r>
        <w:t xml:space="preserve">Figures</w:t>
      </w:r>
    </w:p>
    <w:p>
      <w:pPr>
        <w:pStyle w:val="CaptionedFigure"/>
      </w:pPr>
      <w:r>
        <w:drawing>
          <wp:inline>
            <wp:extent cx="5943600" cy="5943600"/>
            <wp:effectExtent b="0" l="0" r="0" t="0"/>
            <wp:docPr descr="Figure 5.1: The ECG (A) and BCG (E), recorded by the ECG and CATS IMU tags, respectively, produced nearly identical heart beat predictions for the killer whale. B-D display the intermediate steps in the BCG signal processing procedure. B: Anterior-posterior axis acceleration (surge) after band-pass filtering. Inset shows the IJK complex with surrounding H and L waves for the region bounded by the dashed box. C: Peaks enhanced after forward differencing. D: A strictly positive signal after calculating Shannon entropy. Y-axis labeling follows (Lee et al., 2016); y-axis value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5.1: The ECG (</w:t>
      </w:r>
      <w:r>
        <w:rPr>
          <w:bCs/>
          <w:b/>
        </w:rPr>
        <w:t xml:space="preserve">A</w:t>
      </w:r>
      <w:r>
        <w:t xml:space="preserve">) and BCG (</w:t>
      </w:r>
      <w:r>
        <w:rPr>
          <w:bCs/>
          <w:b/>
        </w:rPr>
        <w:t xml:space="preserve">E</w:t>
      </w:r>
      <w:r>
        <w:t xml:space="preserve">), recorded by the ECG and CATS IMU tags, respectively,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Anterior-posterior axis acceleration (surge) after band-pass filtering. Inset shows the IJK complex with surrounding H and L waves for the region bounded by the dashed box.</w:t>
      </w:r>
      <w:r>
        <w:t xml:space="preserve"> </w:t>
      </w:r>
      <w:r>
        <w:rPr>
          <w:bCs/>
          <w:b/>
        </w:rPr>
        <w:t xml:space="preserve">C</w:t>
      </w:r>
      <w:r>
        <w:t xml:space="preserve">: Peaks enhanced after forward differencing.</w:t>
      </w:r>
      <w:r>
        <w:t xml:space="preserve"> </w:t>
      </w:r>
      <w:r>
        <w:rPr>
          <w:bCs/>
          <w:b/>
        </w:rPr>
        <w:t xml:space="preserve">D</w:t>
      </w:r>
      <w:r>
        <w:t xml:space="preserve">: A strictly positive signal after calculating Shannon entropy. Y-axis labeling follows</w:t>
      </w:r>
      <w:r>
        <w:t xml:space="preserve"> </w:t>
      </w:r>
      <w:r>
        <w:t xml:space="preserve">(Lee et al., 2016)</w:t>
      </w:r>
      <w:r>
        <w:t xml:space="preserve">; y-axis values excluded because filtering introduces magnitude distortion and only the relative shape of the signal is relevant to the analysis.</w:t>
      </w:r>
    </w:p>
    <w:p>
      <w:pPr>
        <w:pStyle w:val="CaptionedFigure"/>
      </w:pPr>
      <w:r>
        <w:drawing>
          <wp:inline>
            <wp:extent cx="5943600" cy="5943600"/>
            <wp:effectExtent b="0" l="0" r="0" t="0"/>
            <wp:docPr descr="Figure 5.2: Example of signal processing for 3d BCG during a motionless period in a blue whale dive. A: Band-pass filtered triaxial acceleration, where surge is along the anterior-posterior axis, sway is along the lateral axis, and heave is along the dorso-ventral axis. B: Differencing the filtered acceleration enhances peaks. C: Calculating the Shannon entropy combines information from all three axes and makes the signal strictly positive. D: Smoothing the Shannon entropy facilitates robust peak detection. Detected heart beats in blue. Y-axis labeling follows (Lee et al., 2016); y-axis values were excluded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5.2: Example of signal processing for 3d BCG during a motionless period in a blue whale dive.</w:t>
      </w:r>
      <w:r>
        <w:t xml:space="preserve"> </w:t>
      </w:r>
      <w:r>
        <w:rPr>
          <w:bCs/>
          <w:b/>
        </w:rPr>
        <w:t xml:space="preserve">A</w:t>
      </w:r>
      <w:r>
        <w:t xml:space="preserve">: Band-pass filtered triaxial acceleration, where surge is along the anterior-posterior axis, sway is along the lateral axis, and heave is along the dorso-ventral axis.</w:t>
      </w:r>
      <w:r>
        <w:t xml:space="preserve"> </w:t>
      </w:r>
      <w:r>
        <w:rPr>
          <w:bCs/>
          <w:b/>
        </w:rPr>
        <w:t xml:space="preserve">B</w:t>
      </w:r>
      <w:r>
        <w:t xml:space="preserve">: Differencing the filtered acceleration enhances peaks.</w:t>
      </w:r>
      <w:r>
        <w:t xml:space="preserve"> </w:t>
      </w:r>
      <w:r>
        <w:rPr>
          <w:bCs/>
          <w:b/>
        </w:rPr>
        <w:t xml:space="preserve">C</w:t>
      </w:r>
      <w:r>
        <w:t xml:space="preserve">: Calculating the Shannon entropy combines information from all three axes and makes the signal strictly positive.</w:t>
      </w:r>
      <w:r>
        <w:t xml:space="preserve"> </w:t>
      </w:r>
      <w:r>
        <w:rPr>
          <w:bCs/>
          <w:b/>
        </w:rPr>
        <w:t xml:space="preserve">D</w:t>
      </w:r>
      <w:r>
        <w:t xml:space="preserve">: Smoothing the Shannon entropy facilitates robust peak detection. Detected heart beats in blue. Y-axis labeling follows</w:t>
      </w:r>
      <w:r>
        <w:t xml:space="preserve"> </w:t>
      </w:r>
      <w:r>
        <w:t xml:space="preserve">(Lee et al., 2016)</w:t>
      </w:r>
      <w:r>
        <w:t xml:space="preserve">; y-axis values were excluded because the filtering process introduces magnitude distortion and only the relative shape of the signal is relevant to the analysis.</w:t>
      </w:r>
    </w:p>
    <w:p>
      <w:pPr>
        <w:pStyle w:val="CaptionedFigure"/>
      </w:pPr>
      <w:r>
        <w:drawing>
          <wp:inline>
            <wp:extent cx="5943600" cy="5943600"/>
            <wp:effectExtent b="0" l="0" r="0" t="0"/>
            <wp:docPr descr="Figure 5.3: A Signal-to-noise ratio was higher for the 3d BCG (lower panel) than the 1d BCG (anterior-posterior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 BCG followed characteristic diving physiology patterns. Bradycardia is greatest at the start of the dive (~4-5 bpm), relaxing towards the end (~8-9 bpm). Points indicate instantaneous heart rates and the line is a Theil-Sen regression." title="" id="1" name="Picture"/>
            <a:graphic>
              <a:graphicData uri="http://schemas.openxmlformats.org/drawingml/2006/picture">
                <pic:pic>
                  <pic:nvPicPr>
                    <pic:cNvPr descr="../figures/bw-validation-plots-1.png" id="0"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A</w:t>
      </w:r>
      <w:r>
        <w:t xml:space="preserve"> </w:t>
      </w:r>
      <w:r>
        <w:t xml:space="preserve">Signal-to-noise ratio was higher for the 3d BCG (lower panel) than the 1d BCG (anterior-posterior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 BCG followed characteristic diving physiology patterns. Bradycardia is greatest at the start of the dive (~4-5 bpm), relaxing towards the end (~8-9 bpm). Points indicate instantaneous heart rates and the line is a Theil-Sen regression.</w:t>
      </w:r>
    </w:p>
    <w:bookmarkEnd w:id="37"/>
    <w:bookmarkStart w:id="70" w:name="references"/>
    <w:p>
      <w:pPr>
        <w:pStyle w:val="Heading1"/>
      </w:pPr>
      <w:r>
        <w:rPr>
          <w:rStyle w:val="SectionNumber"/>
        </w:rPr>
        <w:t xml:space="preserve">6</w:t>
      </w:r>
      <w:r>
        <w:tab/>
      </w:r>
      <w:r>
        <w:t xml:space="preserve">References</w:t>
      </w:r>
    </w:p>
    <w:bookmarkStart w:id="68" w:name="refs"/>
    <w:bookmarkStart w:id="38"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38"/>
    <w:bookmarkStart w:id="39"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39"/>
    <w:bookmarkStart w:id="40"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0"/>
    <w:bookmarkStart w:id="41"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41"/>
    <w:bookmarkStart w:id="42"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2"/>
    <w:bookmarkStart w:id="43"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43"/>
    <w:bookmarkStart w:id="44"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44"/>
    <w:bookmarkStart w:id="45"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45"/>
    <w:bookmarkStart w:id="46"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46"/>
    <w:bookmarkStart w:id="47"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47"/>
    <w:bookmarkStart w:id="48"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48"/>
    <w:bookmarkStart w:id="49"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49"/>
    <w:bookmarkStart w:id="50"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0"/>
    <w:bookmarkStart w:id="51"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1"/>
    <w:bookmarkStart w:id="52"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2"/>
    <w:bookmarkStart w:id="53"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53"/>
    <w:bookmarkStart w:id="54"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54"/>
    <w:bookmarkStart w:id="55"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55"/>
    <w:bookmarkStart w:id="56"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56"/>
    <w:bookmarkStart w:id="57"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57"/>
    <w:bookmarkStart w:id="58"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58"/>
    <w:bookmarkStart w:id="59"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(eschrichtius</w:t>
      </w:r>
      <w:r>
        <w:t xml:space="preserve"> </w:t>
      </w:r>
      <w:r>
        <w:t xml:space="preserve">Robustus</w:t>
      </w:r>
      <w:r>
        <w:t xml:space="preserve">)1.</w:t>
      </w:r>
      <w:r>
        <w:t xml:space="preserve"> </w:t>
      </w:r>
      <w:r>
        <w:rPr>
          <w:iCs/>
          <w:i/>
        </w:rPr>
        <w:t xml:space="preserve">Marine Mammal Science</w:t>
      </w:r>
      <w:r>
        <w:t xml:space="preserve"> </w:t>
      </w:r>
      <w:r>
        <w:rPr>
          <w:bCs/>
          <w:b/>
        </w:rPr>
        <w:t xml:space="preserve">15</w:t>
      </w:r>
      <w:r>
        <w:t xml:space="preserve">, 1198–1207.</w:t>
      </w:r>
    </w:p>
    <w:bookmarkEnd w:id="59"/>
    <w:bookmarkStart w:id="60"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60"/>
    <w:bookmarkStart w:id="61"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1"/>
    <w:bookmarkStart w:id="62"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2"/>
    <w:bookmarkStart w:id="63"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63"/>
    <w:bookmarkStart w:id="64"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64"/>
    <w:bookmarkStart w:id="65"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65"/>
    <w:bookmarkStart w:id="66"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66"/>
    <w:bookmarkStart w:id="67"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67"/>
    <w:bookmarkEnd w:id="68"/>
    <w:p>
      <w:r>
        <w:br w:type="page"/>
      </w:r>
    </w:p>
    <w:bookmarkStart w:id="69" w:name="colophon"/>
    <w:p>
      <w:pPr>
        <w:pStyle w:val="Heading3"/>
      </w:pPr>
      <w:r>
        <w:rPr>
          <w:rStyle w:val="SectionNumber"/>
        </w:rPr>
        <w:t xml:space="preserve">6.0.1</w:t>
      </w:r>
      <w:r>
        <w:tab/>
      </w:r>
      <w:r>
        <w:t xml:space="preserve">Colophon</w:t>
      </w:r>
    </w:p>
    <w:p>
      <w:pPr>
        <w:pStyle w:val="FirstParagraph"/>
      </w:pPr>
      <w:r>
        <w:t xml:space="preserve">This report was generated on 2021-10-27 14:09:29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2021-10-27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/Users/frank/Documents/GitHub/development/cetaceanbcg</w:t>
      </w:r>
      <w:r>
        <w:br/>
      </w:r>
      <w:r>
        <w:rPr>
          <w:rStyle w:val="VerbatimChar"/>
        </w:rPr>
        <w:t xml:space="preserve">#&gt; Remote:   main @ origin (https://github.com/FlukeAndFeather/cetaceanbcg.git)</w:t>
      </w:r>
      <w:r>
        <w:br/>
      </w:r>
      <w:r>
        <w:rPr>
          <w:rStyle w:val="VerbatimChar"/>
        </w:rPr>
        <w:t xml:space="preserve">#&gt; Head:     [63c209c] 2021-10-24: Remove unused dependencies</w:t>
      </w:r>
    </w:p>
    <w:bookmarkEnd w:id="69"/>
    <w:bookmarkEnd w:id="70"/>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2021-10-27T21:09:34Z</dcterms:created>
  <dcterms:modified xsi:type="dcterms:W3CDTF">2021-10-27T21:09:34Z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progressive relaxation of bradycardia during dives.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27 October, 2021</vt:lpwstr>
  </property>
  <property fmtid="{D5CDD505-2E9C-101B-9397-08002B2CF9AE}" pid="6" name="output">
    <vt:lpwstr/>
  </property>
</Properties>
</file>