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15</w:t>
      </w:r>
      <w:r>
        <w:t xml:space="preserve"> </w:t>
      </w:r>
      <w:r>
        <w:t xml:space="preserve">February,</w:t>
      </w:r>
      <w:r>
        <w:t xml:space="preserve"> </w:t>
      </w:r>
      <w:r>
        <w:t xml:space="preserve">2022</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predictions</w:t>
      </w:r>
      <w:r>
        <w:t xml:space="preserve"> </w:t>
      </w:r>
      <w:r>
        <w:t xml:space="preserve">correspond</w:t>
      </w:r>
      <w:r>
        <w:t xml:space="preserve"> </w:t>
      </w:r>
      <w:r>
        <w:t xml:space="preserve">with</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such as wing beat frequency</w:t>
      </w:r>
      <w:r>
        <w:t xml:space="preserve"> </w:t>
      </w:r>
      <w:r>
        <w:t xml:space="preserve">(Patterson et al., 2019)</w:t>
      </w:r>
      <w:r>
        <w:t xml:space="preserve"> </w:t>
      </w:r>
      <w:r>
        <w:t xml:space="preserve">and feeding rate</w:t>
      </w:r>
      <w:r>
        <w:t xml:space="preserve"> </w:t>
      </w:r>
      <w:r>
        <w:t xml:space="preserve">(di Virgilio et al., 2018)</w:t>
      </w:r>
      <w:r>
        <w:t xml:space="preserve">.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w:t>
      </w:r>
      <w:r>
        <w:t xml:space="preserve"> </w:t>
      </w:r>
      <w:r>
        <w:t xml:space="preserve">(Giovangrandi et al., 2011; Inan et al., 2015; Sadek et al., 2019)</w:t>
      </w:r>
      <w:r>
        <w:t xml:space="preserv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is the so-called IJK complex</w:t>
      </w:r>
      <w:r>
        <w:t xml:space="preserve"> </w:t>
      </w:r>
      <w:r>
        <w:t xml:space="preserve">(Pinheiro et al., 2010)</w:t>
      </w:r>
      <w:r>
        <w:t xml:space="preserve">. The precise physiological mechanism underlying the BCG waveform has not been fully resolved</w:t>
      </w:r>
      <w:r>
        <w:t xml:space="preserve"> </w:t>
      </w:r>
      <w:r>
        <w:t xml:space="preserve">(Kim et al., 2016)</w:t>
      </w:r>
      <w:r>
        <w:t xml:space="preserve">, but it has been established that the IJK complex occurs during systole and, in humans, occurs at approximately the same time as the T-wave in an electrocardiogram (ECG)</w:t>
      </w:r>
      <w:r>
        <w:t xml:space="preserve"> </w:t>
      </w:r>
      <w:r>
        <w:t xml:space="preserve">(Inan et al., 2015)</w:t>
      </w:r>
      <w:r>
        <w:t xml:space="preserve">. The BCG J wave is the most robust feature in the waveform and is typically used for detecting heart beats</w:t>
      </w:r>
      <w:r>
        <w:t xml:space="preserve"> </w:t>
      </w:r>
      <w:r>
        <w:t xml:space="preserve">(Inan et al., 2015)</w:t>
      </w:r>
      <w:r>
        <w:t xml:space="preserve">.</w:t>
      </w:r>
    </w:p>
    <w:p>
      <w:pPr>
        <w:pStyle w:val="BodyText"/>
      </w:pPr>
      <w:r>
        <w:t xml:space="preserve">Here we present a method for generating a BCG from bio-logger cranio-caudal acceleration. We validated our method with a simultaneously recorded ECG on an adult killer whale in managed care (</w:t>
      </w:r>
      <w:r>
        <w:rPr>
          <w:iCs/>
          <w:i/>
        </w:rPr>
        <w:t xml:space="preserve">Orcinus orca</w:t>
      </w:r>
      <w:r>
        <w:t xml:space="preserve">) and applied it to detect heartrate in a blue whale. The relative orientation of a tag on a cetacean’s body is often uncertain when bio-loggers are deployed in the wild</w:t>
      </w:r>
      <w:r>
        <w:t xml:space="preserve"> </w:t>
      </w:r>
      <w:r>
        <w:t xml:space="preserve">(Johnson and Tyack, 2003)</w:t>
      </w:r>
      <w:r>
        <w:t xml:space="preserve">, so isolating acceleration along the cranio-caudal axis is subject to error. Therefore, we also compared a tri-axial BCG to the cranio-caudal BCG. Specifically, we tested three hypotheses to validate our method. First, a cranio-caudal (1D) BCG would, in a controlled setting, produce instantaneous heartrates that are statistically equivalent to ECG instantaneous heartrates. Second, a tri-axial (3D) BCG would, in a field setting, produce a more robust signal than a 1D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t xml:space="preserve">Materials and methods</w:t>
      </w:r>
    </w:p>
    <w:bookmarkStart w:id="22" w:name="animal-tagging"/>
    <w:p>
      <w:pPr>
        <w:pStyle w:val="Heading2"/>
      </w:pP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an archival Customized Animal Tracking Solutions IMU (CATS, www.cats.is) tag and a custom-built, archival ECG tag on August 16, 2021 as part of clinical animal cardiac evaluations under the SeaWorld USDA APHIS display permit. The ECG tag hardware and data processing procedures were previously described by</w:t>
      </w:r>
      <w:r>
        <w:t xml:space="preserve"> </w:t>
      </w:r>
      <w:r>
        <w:t xml:space="preserve">Bickett et al. (2019)</w:t>
      </w:r>
      <w:r>
        <w:t xml:space="preserve">. Both tags were deployed by hand and attached with suction cups. We attached the CATS tag on the mid-lateral left chest posterior to the pectoral fin (Movie S1). The CATS tag recorded tri-axial acceleration at 400 Hz, tri-axial magnetometer and tri-axial gyroscope at 50 Hz, pressure at 10 Hz, and video at 30 fps. The IMU in the CATS tag was a MPU-9250 (InvenSense, San Jose, CA; www.invensense.com). The accelerometer had dynamic range of ±4 g, sensitivity of 8,192 LSB g</w:t>
      </w:r>
      <w:r>
        <w:rPr>
          <w:vertAlign w:val="superscript"/>
        </w:rPr>
        <w:t xml:space="preserve">-1</w:t>
      </w:r>
      <w:r>
        <w:t xml:space="preserve">, and accuracy of 6.1 × 10</w:t>
      </w:r>
      <w:r>
        <w:rPr>
          <w:vertAlign w:val="superscript"/>
        </w:rPr>
        <w:t xml:space="preserve">-6</w:t>
      </w:r>
      <w:r>
        <w:t xml:space="preserve"> </w:t>
      </w:r>
      <w:r>
        <w:t xml:space="preserve">g.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We attached the ECG tag approximately midline on the ventral chest just caudal (posterior) to the axilla and we recorded the ECG at 100 Hz. Individual heart beats in the ECG record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an archival, suction-cup CATS IMU tag on September 5, 2018 in Monterey Bay, CA under permits MBNMS-MULTI-2017-007, NMFS 21678, and Stanford University IACUC 30123</w:t>
      </w:r>
      <w:r>
        <w:t xml:space="preserve"> </w:t>
      </w:r>
      <w:r>
        <w:t xml:space="preserve">(previously published by Gough et al., 2019)</w:t>
      </w:r>
      <w:r>
        <w:t xml:space="preserve">. We deployed the tag using a 4 m fiberglass pole from a 6.3 m rigid-hulled inflatable boat</w:t>
      </w:r>
      <w:r>
        <w:t xml:space="preserve"> </w:t>
      </w:r>
      <w:r>
        <w:t xml:space="preserve">(as described by Goldbogen et al., 2006)</w:t>
      </w:r>
      <w:r>
        <w:t xml:space="preserve"> </w:t>
      </w:r>
      <w:r>
        <w:t xml:space="preserve">The tag slid behind the left pectoral flipper, similar to the placement of the CATS tag on the killer whale. Tag configuration and data processing followed the same procedure as the killer whale, including accelerometer specification and sampling rates for inertial sensors and video.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r>
        <w:t xml:space="preserve"> </w:t>
      </w:r>
      <w:r>
        <w:t xml:space="preserve">(Cade et al., 2021)</w:t>
      </w:r>
      <w:r>
        <w:t xml:space="preserve">.</w:t>
      </w:r>
    </w:p>
    <w:bookmarkEnd w:id="22"/>
    <w:bookmarkStart w:id="23" w:name="signal-processing"/>
    <w:p>
      <w:pPr>
        <w:pStyle w:val="Heading2"/>
      </w:pP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(such as moving averages and signal filters), we used 0.5 s windows for killer whale data and 2.0 s windows for blue whale data, corresponding to 200 and 800 data points, respectively. The different window sizes were determined through trial and error to remove noise while retaining signal shape. Generally, longer windows will be necessary for larger animals due to their slower heartrates</w:t>
      </w:r>
      <w:r>
        <w:t xml:space="preserve"> </w:t>
      </w:r>
      <w:r>
        <w:t xml:space="preserve">(Stahl, 1967)</w:t>
      </w:r>
      <w:r>
        <w:t xml:space="preserve">.</w:t>
      </w:r>
    </w:p>
    <w:p>
      <w:pPr>
        <w:pStyle w:val="BodyText"/>
      </w:pPr>
      <w:r>
        <w:rPr>
          <w:bCs/>
          <w:b/>
        </w:rPr>
        <w:t xml:space="preserve">Procedure</w:t>
      </w:r>
    </w:p>
    <w:p>
      <w:pPr>
        <w:numPr>
          <w:ilvl w:val="0"/>
          <w:numId w:val="1001"/>
        </w:numPr>
        <w:pStyle w:val="Compact"/>
      </w:pPr>
      <w:r>
        <w:t xml:space="preserve">First we removed noise and de-trended the acceleration signal with a 5th order Butterworth band-pass filter (killer whale: [1-25 Hz], blue whale: [1-10 Hz]) (R package</w:t>
      </w:r>
      <w:r>
        <w:t xml:space="preserve"> </w:t>
      </w:r>
      <w:r>
        <w:rPr>
          <w:rStyle w:val="VerbatimChar"/>
        </w:rPr>
        <w:t xml:space="preserve">signal</w:t>
      </w:r>
      <w:r>
        <w:t xml:space="preserve">)</w:t>
      </w:r>
      <w:r>
        <w:t xml:space="preserve"> </w:t>
      </w:r>
      <w:r>
        <w:t xml:space="preserve">(Ligges et al., 2021)</w:t>
      </w:r>
      <w:r>
        <w:t xml:space="preserve">. The lower cut-off frequency de-trended the data. 1 Hz should be appropriate for most marine mammal species. The upper cut-off frequency removed noise. A suitable upper cut-off frequency will depend on body size; larger species’ bodies produce lower magnitude accelerations</w:t>
      </w:r>
      <w:r>
        <w:t xml:space="preserve"> </w:t>
      </w:r>
      <w:r>
        <w:t xml:space="preserve">(Martín López et al., 2021)</w:t>
      </w:r>
      <w:r>
        <w:t xml:space="preserve">, so more conservative upper cut-off frequencies may be applied to remove more noise without sacrificing signal shape clarity.</w:t>
      </w:r>
    </w:p>
    <w:p>
      <w:pPr>
        <w:numPr>
          <w:ilvl w:val="0"/>
          <w:numId w:val="1001"/>
        </w:numPr>
        <w:pStyle w:val="Compact"/>
      </w:pPr>
      <w:r>
        <w:t xml:space="preserve">Then we enhanced the IJK complex by differentiating acceleration using a 4th order Savitzky-Golay filter (R package</w:t>
      </w:r>
      <w:r>
        <w:t xml:space="preserve"> </w:t>
      </w:r>
      <w:r>
        <w:rPr>
          <w:rStyle w:val="VerbatimChar"/>
        </w:rPr>
        <w:t xml:space="preserve">signal</w:t>
      </w:r>
      <w:r>
        <w:t xml:space="preserve">). Differentiation (i.e.,</w:t>
      </w:r>
      <w:r>
        <w:t xml:space="preserve"> </w:t>
      </w:r>
      <m:oMath>
        <m:sSub>
          <m:e>
            <m:r>
              <m:t>a</m:t>
            </m:r>
          </m:e>
          <m:sub>
            <m:r>
              <m:t>t</m:t>
            </m:r>
            <m:r>
              <m:rPr>
                <m:sty m:val="p"/>
              </m:rPr>
              <m:t>+</m:t>
            </m:r>
            <m:r>
              <m:t>1</m:t>
            </m:r>
          </m:sub>
        </m:sSub>
        <m:r>
          <m:rPr>
            <m:sty m:val="p"/>
          </m:rPr>
          <m:t>−</m:t>
        </m:r>
        <m:sSub>
          <m:e>
            <m:r>
              <m:t>a</m:t>
            </m:r>
          </m:e>
          <m:sub>
            <m:r>
              <m:t>t</m:t>
            </m:r>
          </m:sub>
        </m:sSub>
      </m:oMath>
      <w:r>
        <w:t xml:space="preserve">, where</w:t>
      </w:r>
      <w:r>
        <w:t xml:space="preserve"> </w:t>
      </w:r>
      <m:oMath>
        <m:sSub>
          <m:e>
            <m:r>
              <m:t>a</m:t>
            </m:r>
          </m:e>
          <m:sub>
            <m:r>
              <m:t>t</m:t>
            </m:r>
          </m:sub>
        </m:sSub>
      </m:oMath>
      <w:r>
        <w:t xml:space="preserve"> </w:t>
      </w:r>
      <w:r>
        <w:t xml:space="preserve">is the observed acceleration at time step</w:t>
      </w:r>
      <w:r>
        <w:t xml:space="preserve"> </w:t>
      </w:r>
      <m:oMath>
        <m:r>
          <m:t>t</m:t>
        </m:r>
      </m:oMath>
      <w:r>
        <w:t xml:space="preserve">) exaggerates peaks, like the J wave, but it is sensitive to noisy signals. Therefore, the signal should be de-noised prior to differentiation. A moving average smoother can remove noise, but it would also reduce the amplitude of peaks. Hence, differentiating Savitzky-Golay filters are preferred in peak-detection algorithms because they remove noise while retaining the general shape of peaks</w:t>
      </w:r>
      <w:r>
        <w:t xml:space="preserve"> </w:t>
      </w:r>
      <w:r>
        <w:t xml:space="preserve">(Samann and Schanze, 2019)</w:t>
      </w:r>
      <w:r>
        <w:t xml:space="preserve">. We described the resulting signal as</w:t>
      </w:r>
      <w:r>
        <w:t xml:space="preserve"> </w:t>
      </w:r>
      <w:r>
        <w:t xml:space="preserve">“</w:t>
      </w:r>
      <w:r>
        <w:t xml:space="preserve">differenced acceleration,</w:t>
      </w:r>
      <w:r>
        <w:t xml:space="preserve">”</w:t>
      </w:r>
      <w:r>
        <w:t xml:space="preserve"> </w:t>
      </w:r>
      <w:r>
        <w:t xml:space="preserve">rather than jerk, because we did not take the derivative of acceleration with respect to time. The purpose of this signal was to exaggerate a phenomenon in the signal (i.e., the J wave), not to describe a physical quantity (i.e., jerk).</w:t>
      </w:r>
    </w:p>
    <w:p>
      <w:pPr>
        <w:numPr>
          <w:ilvl w:val="0"/>
          <w:numId w:val="1001"/>
        </w:numPr>
        <w:pStyle w:val="Compact"/>
      </w:pPr>
      <w:r>
        <w:t xml:space="preserve">We further enhanced the peaks in the differenced acceleration signal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Shannon entropy is strictly positive, which facilitated peak detection. In the 1D BCG,</w:t>
      </w:r>
      <w:r>
        <w:t xml:space="preserve"> </w:t>
      </w:r>
      <m:oMath>
        <m:r>
          <m:t>k</m:t>
        </m:r>
      </m:oMath>
      <w:r>
        <w:t xml:space="preserve"> </w:t>
      </w:r>
      <w:r>
        <w:t xml:space="preserve">was surge (cranio-caudal acceleration). In the 3D BCG,</w:t>
      </w:r>
      <w:r>
        <w:t xml:space="preserve"> </w:t>
      </w:r>
      <m:oMath>
        <m:r>
          <m:t>k</m:t>
        </m:r>
      </m:oMath>
      <w:r>
        <w:t xml:space="preserve"> </w:t>
      </w:r>
      <w:r>
        <w:t xml:space="preserve">included surge, sway (lateral acceleration), and heave (dorso-ventral acceleration).</w:t>
      </w:r>
    </w:p>
    <w:p>
      <w:pPr>
        <w:numPr>
          <w:ilvl w:val="0"/>
          <w:numId w:val="1001"/>
        </w:numPr>
        <w:pStyle w:val="Compact"/>
      </w:pPr>
      <w:r>
        <w:t xml:space="preserve">After enhancing the peaks through differentiation and entropy calculation, we removed residual noise by applying a triangular moving average (TMA) smoother. TMAs are equivalent to applying a simple moving average in two passes, which applies greater weight to the middle part of the window and retains peaks and valleys more clearly. After steps 2 and 3, the signal was clear enough that TMAs provided satisfactory results, obviating the need for a more complex algorithm like a Savitzky-Golay filter at this stage. We described the resulting signal as the BCG.</w:t>
      </w:r>
    </w:p>
    <w:p>
      <w:pPr>
        <w:numPr>
          <w:ilvl w:val="0"/>
          <w:numId w:val="1001"/>
        </w:numPr>
        <w:pStyle w:val="Compact"/>
      </w:pPr>
      <w:r>
        <w:t xml:space="preserve">The BCG contained major peaks (corresponding to heartbeats) and minor peaks (residual noise) (Fig S1</w:t>
      </w:r>
      <w:r>
        <w:rPr>
          <w:bCs/>
          <w:b/>
        </w:rPr>
        <w:t xml:space="preserve">A</w:t>
      </w:r>
      <w:r>
        <w:t xml:space="preserve">). We extracted all peaks from the BCG and applied a clustering algorithm to retain major peaks and reject minor peaks. First, we extracted all peaks in the BCG signal using</w:t>
      </w:r>
      <w:r>
        <w:t xml:space="preserve"> </w:t>
      </w:r>
      <w:r>
        <w:rPr>
          <w:rStyle w:val="VerbatimChar"/>
        </w:rPr>
        <w:t xml:space="preserve">findpeaks()</w:t>
      </w:r>
      <w:r>
        <w:t xml:space="preserve"> </w:t>
      </w:r>
      <w:r>
        <w:t xml:space="preserve">(R package</w:t>
      </w:r>
      <w:r>
        <w:t xml:space="preserve"> </w:t>
      </w:r>
      <w:r>
        <w:rPr>
          <w:rStyle w:val="VerbatimChar"/>
        </w:rPr>
        <w:t xml:space="preserve">pracma</w:t>
      </w:r>
      <w:r>
        <w:t xml:space="preserve">)</w:t>
      </w:r>
      <w:r>
        <w:t xml:space="preserve"> </w:t>
      </w:r>
      <w:r>
        <w:t xml:space="preserve">(Borchers, 2021)</w:t>
      </w:r>
      <w:r>
        <w:t xml:space="preserve"> </w:t>
      </w:r>
      <w:r>
        <w:t xml:space="preserve">with a minimum peak distance equivalent to the window size (0.5 s for the killer whale, 2.0 s for the blue whale). For each peak, we calculated its absolute height and its prominence (i.e., height relative to the lowest valley between a peak and its higher neighbors). Then, we calculated each peak’s Euclidean distance in height-prominence space from the highest peak (Fig S1</w:t>
      </w:r>
      <w:r>
        <w:rPr>
          <w:bCs/>
          <w:b/>
        </w:rPr>
        <w:t xml:space="preserve">B</w:t>
      </w:r>
      <w:r>
        <w:t xml:space="preserve">) and estimated the density distribution of these distances (Fig S1</w:t>
      </w:r>
      <w:r>
        <w:rPr>
          <w:bCs/>
          <w:b/>
        </w:rPr>
        <w:t xml:space="preserve">C</w:t>
      </w:r>
      <w:r>
        <w:t xml:space="preserve">). The density distribution was bimodal, with a low-distance peak corresponding to major peaks and a high-distance peak corresponding to minor peaks. We used the distance corresponding to the valley between the two peaks as a threshold for rejecting minor peaks (Fig S1</w:t>
      </w:r>
      <w:r>
        <w:rPr>
          <w:bCs/>
          <w:b/>
        </w:rPr>
        <w:t xml:space="preserve">D</w:t>
      </w:r>
      <w:r>
        <w:t xml:space="preserve">).</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t xml:space="preserve">BCG validation with killer whale ECG</w:t>
      </w:r>
    </w:p>
    <w:p>
      <w:pPr>
        <w:pStyle w:val="FirstParagraph"/>
      </w:pPr>
      <w:r>
        <w:t xml:space="preserve">We fit ordinary least squares regression to BCG-derived instantaneous heartrates with respect to ECG-derived heartrate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t xml:space="preserve">BCG application to blue whale</w:t>
      </w:r>
    </w:p>
    <w:p>
      <w:pPr>
        <w:pStyle w:val="FirstParagraph"/>
      </w:pPr>
      <w:r>
        <w:t xml:space="preserve">Dynamic body movements produce an acceleration signal that masks the ballistocardiogram, so we limited our analyses to motionless periods (Fig.</w:t>
      </w:r>
      <w:r>
        <w:t xml:space="preserve"> </w:t>
      </w:r>
      <w:r>
        <w:t xml:space="preserve">2</w:t>
      </w:r>
      <w:r>
        <w:rPr>
          <w:bCs/>
          <w:b/>
        </w:rPr>
        <w:t xml:space="preserve">B-C</w:t>
      </w:r>
      <w:r>
        <w:t xml:space="preserve">). These periods occurred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 We used gyroscopes for stroke detection because they were 1) separate sensors from the accelerometers and 2) strokes are clearly visible in gyroscope signals and are robust to tag placement.</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 The sample size recorded by</w:t>
      </w:r>
      <w:r>
        <w:t xml:space="preserve"> </w:t>
      </w:r>
      <w:r>
        <w:t xml:space="preserve">Goldbogen et al. (2019)</w:t>
      </w:r>
      <w:r>
        <w:t xml:space="preserve"> </w:t>
      </w:r>
      <w:r>
        <w:t xml:space="preserve">was one individual, so we could not account for potential inter-individual variation. Nonetheless, 4-8 bpm was the best available estimate for typical blue whale apneic heart rate.</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t xml:space="preserve">Reproducibility</w:t>
      </w:r>
    </w:p>
    <w:p>
      <w:pPr>
        <w:pStyle w:val="FirstParagraph"/>
      </w:pPr>
      <w:r>
        <w:t xml:space="preserve">The data and code used in this analysis were packaged as a research compendium, containing the data, code, and an executable version of this manuscript. We used the R package</w:t>
      </w:r>
      <w:r>
        <w:t xml:space="preserve"> </w:t>
      </w:r>
      <w:r>
        <w:rPr>
          <w:rStyle w:val="VerbatimChar"/>
        </w:rPr>
        <w:t xml:space="preserve">rrtools</w:t>
      </w:r>
      <w:r>
        <w:t xml:space="preserve"> </w:t>
      </w:r>
      <w:r>
        <w:t xml:space="preserve">(Marwick, 2019; Marwick et al., 2018)</w:t>
      </w:r>
      <w:r>
        <w:t xml:space="preserve"> </w:t>
      </w:r>
      <w:r>
        <w:t xml:space="preserve">to initialize the compendium, which was written as an R package. This approach promotes reproducibility and facilitates adoption by other researchers</w:t>
      </w:r>
      <w:r>
        <w:t xml:space="preserve"> </w:t>
      </w:r>
      <w:r>
        <w:t xml:space="preserve">(Alston and Rick, 2021; Powers and Hampton, 2019; Stodden et al., 2018)</w:t>
      </w:r>
      <w:r>
        <w:t xml:space="preserve">. The steps described in section</w:t>
      </w:r>
      <w:r>
        <w:t xml:space="preserve"> </w:t>
      </w:r>
      <w:r>
        <w:rPr>
          <w:bCs/>
          <w:b/>
        </w:rPr>
        <w:t xml:space="preserve">Signal processing</w:t>
      </w:r>
      <w:r>
        <w:t xml:space="preserve"> </w:t>
      </w:r>
      <w:r>
        <w:t xml:space="preserve">were implemented as functions in the R package, and the executable manuscript demonstrates how to use those functions to perform the analyses presented in this study.</w:t>
      </w:r>
    </w:p>
    <w:bookmarkEnd w:id="26"/>
    <w:bookmarkEnd w:id="27"/>
    <w:bookmarkStart w:id="32" w:name="results-and-discussion"/>
    <w:p>
      <w:pPr>
        <w:pStyle w:val="Heading1"/>
      </w:pPr>
      <w:r>
        <w:t xml:space="preserve">Results and discussion</w:t>
      </w:r>
    </w:p>
    <w:bookmarkStart w:id="28" w:name="bcg-validation-with-killer-whale-ecg-1"/>
    <w:p>
      <w:pPr>
        <w:pStyle w:val="Heading2"/>
      </w:pPr>
      <w:r>
        <w:t xml:space="preserve">BCG validation with killer whale ECG</w:t>
      </w:r>
    </w:p>
    <w:p>
      <w:pPr>
        <w:pStyle w:val="FirstParagraph"/>
      </w:pPr>
      <w:r>
        <w:t xml:space="preserve">The ECG and BCG yielded nearly identical heart rate estimations (Fig.</w:t>
      </w:r>
      <w:r>
        <w:t xml:space="preserve"> </w:t>
      </w:r>
      <w:r>
        <w:t xml:space="preserve">1</w:t>
      </w:r>
      <w:r>
        <w:t xml:space="preserve">). We collected 14 s of simultaneous ECG and BCG data during a motionless breath hold at the surface. Logistical constraints prevented us from gathering a longer sample, as these data were collected secondary to other projects.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 (Fig.</w:t>
      </w:r>
      <w:r>
        <w:t xml:space="preserve"> </w:t>
      </w:r>
      <w:r>
        <w:t xml:space="preserve">3</w:t>
      </w:r>
      <w:r>
        <w:rPr>
          <w:bCs/>
          <w:b/>
        </w:rPr>
        <w:t xml:space="preserve">C</w:t>
      </w:r>
      <w:r>
        <w:t xml:space="preserve">).</w:t>
      </w:r>
    </w:p>
    <w:bookmarkEnd w:id="28"/>
    <w:bookmarkStart w:id="29" w:name="bcg-application-to-blue-whale-1"/>
    <w:p>
      <w:pPr>
        <w:pStyle w:val="Heading2"/>
      </w:pPr>
      <w:r>
        <w:t xml:space="preserve">BCG application to blue whale</w:t>
      </w:r>
    </w:p>
    <w:p>
      <w:pPr>
        <w:pStyle w:val="FirstParagraph"/>
      </w:pPr>
      <w:r>
        <w:t xml:space="preserve">We generated 1-dimensional and 3-dimensional BCGs for 2 hours of data, including 10 rest dives and 51 motionless periods totaling 76.9 minutes (Fig.</w:t>
      </w:r>
      <w:r>
        <w:t xml:space="preserve"> </w:t>
      </w:r>
      <w:r>
        <w:t xml:space="preserve">2</w:t>
      </w:r>
      <w:r>
        <w:rPr>
          <w:bCs/>
          <w:b/>
        </w:rPr>
        <w:t xml:space="preserve">A-C</w:t>
      </w:r>
      <w:r>
        <w:t xml:space="preserve">).</w:t>
      </w:r>
    </w:p>
    <w:p>
      <w:pPr>
        <w:pStyle w:val="BodyText"/>
      </w:pPr>
      <w:r>
        <w:t xml:space="preserve">The 3-dimensional BCG (Fig.</w:t>
      </w:r>
      <w:r>
        <w:t xml:space="preserve"> </w:t>
      </w:r>
      <w:r>
        <w:t xml:space="preserve">2</w:t>
      </w:r>
      <w:r>
        <w:t xml:space="preserve">) produced a more robust signal (i.e., higher signal-to-noise ratio) than the 1-dimensional BCG, which used only cranio-caudal acceleration. The signal-to-noise ratio was 2.00 for the 3-dimensional BCG, compared to 0.17 for the 1-dimensional BCG (Fig.</w:t>
      </w:r>
      <w:r>
        <w:t xml:space="preserve"> </w:t>
      </w:r>
      <w:r>
        <w:t xml:space="preserve">3</w:t>
      </w:r>
      <w:r>
        <w:rPr>
          <w:bCs/>
          <w:b/>
        </w:rPr>
        <w:t xml:space="preserve">A</w:t>
      </w:r>
      <w:r>
        <w:t xml:space="preserve">). Although the power spectral density curve for the 1-dimensional BCG had a peak in the 4-8 bpm frequency range, most of the signal’s power was concentrated in lower frequencies. Conversely, the 3-dimensional BCG’s power was concentrated precisely in the 4-8 bpm frequency range, with only a smaller peak in the lower frequencies.</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3</w:t>
      </w:r>
      <w:r>
        <w:rPr>
          <w:bCs/>
          <w:b/>
        </w:rPr>
        <w:t xml:space="preserve">B</w:t>
      </w:r>
      <w:r>
        <w:t xml:space="preserve">).</w:t>
      </w:r>
    </w:p>
    <w:bookmarkEnd w:id="29"/>
    <w:bookmarkStart w:id="30" w:name="Xe9cd924cd51ff192b9f1bbe332b9cbaad42c41f"/>
    <w:p>
      <w:pPr>
        <w:pStyle w:val="Heading2"/>
      </w:pPr>
      <w:r>
        <w:t xml:space="preserve">Limitations and considerations for future applications</w:t>
      </w:r>
    </w:p>
    <w:p>
      <w:pPr>
        <w:pStyle w:val="FirstParagraph"/>
      </w:pPr>
      <w:r>
        <w:t xml:space="preserve">While the BCG method presented here holds the potential to mine existing and future marine mammal bio-logging datasets for information about cardiovascular function, it has several limitations compared to ECG methods. Most importantly, BCGs are highly sensitive to movement artifacts</w:t>
      </w:r>
      <w:r>
        <w:t xml:space="preserve"> </w:t>
      </w:r>
      <w:r>
        <w:t xml:space="preserve">(Inan et al., 2015)</w:t>
      </w:r>
      <w:r>
        <w:t xml:space="preserve">, so only motionless periods are valid for analysis. This limits the behavioral and physiological contexts in which heartrate may be measured. For example, the BCG is unlikely to quantify neither the magnitude of surface tachycardia</w:t>
      </w:r>
      <w:r>
        <w:t xml:space="preserve"> </w:t>
      </w:r>
      <w:r>
        <w:t xml:space="preserve">(Goldbogen et al., 2019)</w:t>
      </w:r>
      <w:r>
        <w:t xml:space="preserve"> </w:t>
      </w:r>
      <w:r>
        <w:t xml:space="preserve">nor exercise modulation of bradycardia</w:t>
      </w:r>
      <w:r>
        <w:t xml:space="preserve"> </w:t>
      </w:r>
      <w:r>
        <w:t xml:space="preserve">(Noren et al., 2012)</w:t>
      </w:r>
      <w:r>
        <w:t xml:space="preserve">, due to movement artifacts during those activities. Secondarily, we did not test whether the BCG is robust to tag placement location. The blue whale data presented in this study was collected when a dorsally-deployed tag slipped to the lateral chest cavity behind a flipper, where it is reasonable to expect greater accelerations caused by heart beats than from a tag farther from the animal’s center of mass. It is possible that the ballistic forces generated by heart beats are strong enough to produce an interpretable BCG for a variety of potential tag deployment locations, but this likely varies with animal body size, as well as accelerometer sampling rate and sensitivity.</w:t>
      </w:r>
    </w:p>
    <w:p>
      <w:pPr>
        <w:pStyle w:val="BodyText"/>
      </w:pPr>
      <w:r>
        <w:t xml:space="preserve">When auditing existing bio-logging data and planning future tag deployments for BCG analysis, careful consideration should be paid to sampling rate. As a rule of thumb in signal processing, the sampling rate should be at least twice the frequency of the phenomenon of interest. In the case of the BCG, the relevant frequency is that of the BCG waveform,</w:t>
      </w:r>
      <w:r>
        <w:t xml:space="preserve"> </w:t>
      </w:r>
      <w:r>
        <w:rPr>
          <w:iCs/>
          <w:i/>
        </w:rPr>
        <w:t xml:space="preserve">not</w:t>
      </w:r>
      <w:r>
        <w:t xml:space="preserve"> </w:t>
      </w:r>
      <w:r>
        <w:t xml:space="preserve">the heartrate. In humans, the power of the IJK-complex (the part of the BCG waveform used for heart beat detection) is concentrated between 4-7 Hz</w:t>
      </w:r>
      <w:r>
        <w:t xml:space="preserve"> </w:t>
      </w:r>
      <w:r>
        <w:t xml:space="preserve">(Moukadem et al., 2018)</w:t>
      </w:r>
      <w:r>
        <w:t xml:space="preserve">. It is unlikely that marine mammal BCG waveforms have a higher frequency than humans, owing to their generally larger body sizes. Therefore, it is possible that BCGs may be generated for accelerometer sampling rates as low as 10-15 Hz. Conservatively, the authors recommend a sampling rate of no less than 50 Hz (i.e., twice the upper cut-off frequency of the widest bandpass filter used in this study).</w:t>
      </w:r>
    </w:p>
    <w:p>
      <w:pPr>
        <w:pStyle w:val="BodyText"/>
      </w:pPr>
      <w:r>
        <w:t xml:space="preserve">Future bio-logging BCG methodology research should address the limitations imposed by tag-placement and movement artifacts. We used accelerometers in this study because of their prevalence in bio-logging research, but it is possible that other widely used bio-logger sensors, such as gyroscopes and/or magnetometers, could produce a clearer signal in a greater variety of contexts. Alternative bio-logger housing designs, such as limpet-style tags</w:t>
      </w:r>
      <w:r>
        <w:t xml:space="preserve"> </w:t>
      </w:r>
      <w:r>
        <w:t xml:space="preserve">(Andrews et al., 2008)</w:t>
      </w:r>
      <w:r>
        <w:t xml:space="preserve"> </w:t>
      </w:r>
      <w:r>
        <w:t xml:space="preserve">or</w:t>
      </w:r>
      <w:r>
        <w:t xml:space="preserve"> </w:t>
      </w:r>
      <w:r>
        <w:t xml:space="preserve">“</w:t>
      </w:r>
      <w:r>
        <w:t xml:space="preserve">marine skin</w:t>
      </w:r>
      <w:r>
        <w:t xml:space="preserve">”</w:t>
      </w:r>
      <w:r>
        <w:t xml:space="preserve"> </w:t>
      </w:r>
      <w:r>
        <w:t xml:space="preserve">(Nassar et al., 2018)</w:t>
      </w:r>
      <w:r>
        <w:t xml:space="preserve">, could reduce noise, boost the signal-to-noise ratio, and make the method more widely applicable.</w:t>
      </w:r>
    </w:p>
    <w:bookmarkEnd w:id="30"/>
    <w:bookmarkStart w:id="31" w:name="conclusions"/>
    <w:p>
      <w:pPr>
        <w:pStyle w:val="Heading2"/>
      </w:pP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It may also provide additional data for conservation physiology applications. For example, BCGs extracted from gliding phases before and after controlled sonar exposure experiments could quantify the physiological response to anthropogenic disturbance</w:t>
      </w:r>
      <w:r>
        <w:t xml:space="preserve"> </w:t>
      </w:r>
      <w:r>
        <w:t xml:space="preserve">(Southall et al., 2019)</w:t>
      </w:r>
      <w:r>
        <w:t xml:space="preserve">. Even as the field of physio-logging progresses with new hardware innovations</w:t>
      </w:r>
      <w:r>
        <w:t xml:space="preserve"> </w:t>
      </w:r>
      <w:r>
        <w:t xml:space="preserve">(Fahlman et al., 2021; Hawkes et al., 2021; Williams and Hindle, 2021)</w:t>
      </w:r>
      <w:r>
        <w:t xml:space="preserve">, this method demonstrates that computational advances can derive new insights from traditional sensors.</w:t>
      </w:r>
    </w:p>
    <w:bookmarkEnd w:id="31"/>
    <w:bookmarkEnd w:id="32"/>
    <w:bookmarkStart w:id="33" w:name="acknowledgements"/>
    <w:p>
      <w:pPr>
        <w:pStyle w:val="Heading1"/>
      </w:pP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 We thank Lucy Hawkes and two anonymous reviewers for comments on the manuscript.</w:t>
      </w:r>
    </w:p>
    <w:bookmarkEnd w:id="33"/>
    <w:bookmarkStart w:id="38" w:name="footnotes"/>
    <w:p>
      <w:pPr>
        <w:pStyle w:val="Heading1"/>
      </w:pPr>
      <w:r>
        <w:t xml:space="preserve">Footnotes</w:t>
      </w:r>
    </w:p>
    <w:bookmarkStart w:id="34" w:name="author-contributions"/>
    <w:p>
      <w:pPr>
        <w:pStyle w:val="Heading2"/>
      </w:pPr>
      <w:r>
        <w:t xml:space="preserve">Author contributions</w:t>
      </w:r>
    </w:p>
    <w:p>
      <w:pPr>
        <w:pStyle w:val="FirstParagraph"/>
      </w:pPr>
      <w:r>
        <w:t xml:space="preserve">Conceptualization: M.F.C.,J.A.F.,P.J.P.,J.A.G.; Methodology: M.F.C.,J.A.F.,P.J.P.; Software: M.F.C.; Formal analysis: M.F.C.,P.J.P.; Investigation: M.F.C.,J.A.F.,P.J.P.; Resources: P.J.P.,J.A.G.,T.L.S.; Writing - original draft: M.F.C; Writing - review &amp; editing: M.F.C.,J.A.F.,P.J.P.,J.A.G.,T.L.S.; Supervision: P.J.P.,J.A.G.; Project administration: P.J.P.,J.A.G.; Funding acquisition: J.A.G.</w:t>
      </w:r>
    </w:p>
    <w:bookmarkEnd w:id="34"/>
    <w:bookmarkStart w:id="35" w:name="funding"/>
    <w:p>
      <w:pPr>
        <w:pStyle w:val="Heading2"/>
      </w:pP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t xml:space="preserve">Data availability</w:t>
      </w:r>
    </w:p>
    <w:p>
      <w:pPr>
        <w:pStyle w:val="FirstParagraph"/>
      </w:pPr>
      <w:r>
        <w:t xml:space="preserve">All data and code used in this analysis are available on Zenodo (DOI needed).</w:t>
      </w:r>
    </w:p>
    <w:bookmarkEnd w:id="36"/>
    <w:bookmarkStart w:id="37" w:name="competing-interests"/>
    <w:p>
      <w:pPr>
        <w:pStyle w:val="Heading2"/>
      </w:pP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t xml:space="preserve">Figures</w:t>
      </w:r>
    </w:p>
    <w:p>
      <w:pPr>
        <w:pStyle w:val="CaptionedFigure"/>
      </w:pPr>
      <w:r>
        <w:drawing>
          <wp:inline>
            <wp:extent cx="5943600" cy="5943600"/>
            <wp:effectExtent b="0" l="0" r="0" t="0"/>
            <wp:docPr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see section Procedure, step 2). D: A strictly positive signal after calculating Shannon entropy. Y-axis scale unit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D</w:t>
      </w:r>
      <w:r>
        <w:t xml:space="preserve">: A strictly positive signal after calculating Shannon entropy. Y-axis scale units excluded because filtering introduces magnitude distortion and only the relative shape of the signal is relevant to the analysis.</w:t>
      </w:r>
    </w:p>
    <w:p>
      <w:pPr>
        <w:pStyle w:val="CaptionedFigure"/>
      </w:pPr>
      <w:r>
        <w:drawing>
          <wp:inline>
            <wp:extent cx="5943600" cy="5943600"/>
            <wp:effectExtent b="0" l="0" r="0" t="0"/>
            <wp:docPr descr="Figure 2: A 2-hour sample of resting blue whale data. A: Depth profile consisted of ten dives to 20-30 m. Red dashed box indicates the dive expanded in B, C. B, C: Depth and rotational velocity around the lateral axis for a single dive. Rotational velocity was used to identify motionless periods (pink). Red dashed boxes indicate the motionless period in D-G. D: Band-pass filtered triaxial acceleration, with cranio-caudal in orange, lateral in blue, and dorso-ventral in green. E: Peaks enhanced after forward differencing acceleration (see section Procedure, step 2). F: The Shannon entropy combines information from all three axes and makes the signal strictly positive. G: Smoothing the Shannon entropy facilitates robust peak detection. Detected heart beats in blue. Y-axis scale units excluded in D-G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A 2-hour sample of resting blue whale data.</w:t>
      </w:r>
      <w:r>
        <w:t xml:space="preserve"> </w:t>
      </w:r>
      <w:r>
        <w:rPr>
          <w:bCs/>
          <w:b/>
        </w:rPr>
        <w:t xml:space="preserve">A</w:t>
      </w:r>
      <w:r>
        <w:t xml:space="preserve">: Depth profile consisted of ten dives to 20-30 m. Red dashed box indicates the dive expanded in</w:t>
      </w:r>
      <w:r>
        <w:t xml:space="preserve"> </w:t>
      </w:r>
      <w:r>
        <w:rPr>
          <w:bCs/>
          <w:b/>
        </w:rPr>
        <w:t xml:space="preserve">B, C</w:t>
      </w:r>
      <w:r>
        <w:t xml:space="preserve">.</w:t>
      </w:r>
      <w:r>
        <w:t xml:space="preserve"> </w:t>
      </w:r>
      <w:r>
        <w:rPr>
          <w:bCs/>
          <w:b/>
        </w:rPr>
        <w:t xml:space="preserve">B, C</w:t>
      </w:r>
      <w:r>
        <w:t xml:space="preserve">: Depth and rotational velocity around the lateral axis for a single dive. Rotational velocity was used to identify motionless periods (pink). Red dashed boxes indicate the motionless period in</w:t>
      </w:r>
      <w:r>
        <w:t xml:space="preserve"> </w:t>
      </w:r>
      <w:r>
        <w:rPr>
          <w:bCs/>
          <w:b/>
        </w:rPr>
        <w:t xml:space="preserve">D</w:t>
      </w:r>
      <w:r>
        <w:t xml:space="preserve">-</w:t>
      </w:r>
      <w:r>
        <w:rPr>
          <w:bCs/>
          <w:b/>
        </w:rPr>
        <w:t xml:space="preserve">G</w:t>
      </w:r>
      <w:r>
        <w:t xml:space="preserve">.</w:t>
      </w:r>
      <w:r>
        <w:t xml:space="preserve"> </w:t>
      </w:r>
      <w:r>
        <w:rPr>
          <w:bCs/>
          <w:b/>
        </w:rPr>
        <w:t xml:space="preserve">D</w:t>
      </w:r>
      <w:r>
        <w:t xml:space="preserve">: Band-pass filtered triaxial acceleration, with cranio-caudal in orange, lateral in blue, and dorso-ventral in green.</w:t>
      </w:r>
      <w:r>
        <w:t xml:space="preserve"> </w:t>
      </w:r>
      <w:r>
        <w:rPr>
          <w:bCs/>
          <w:b/>
        </w:rPr>
        <w:t xml:space="preserve">E</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F</w:t>
      </w:r>
      <w:r>
        <w:t xml:space="preserve">: The Shannon entropy combines information from all three axes and makes the signal strictly positive.</w:t>
      </w:r>
      <w:r>
        <w:t xml:space="preserve"> </w:t>
      </w:r>
      <w:r>
        <w:rPr>
          <w:bCs/>
          <w:b/>
        </w:rPr>
        <w:t xml:space="preserve">G</w:t>
      </w:r>
      <w:r>
        <w:t xml:space="preserve">: Smoothing the Shannon entropy facilitates robust peak detection. Detected heart beats in blue. Y-axis scale units excluded in</w:t>
      </w:r>
      <w:r>
        <w:t xml:space="preserve"> </w:t>
      </w:r>
      <w:r>
        <w:rPr>
          <w:bCs/>
          <w:b/>
        </w:rPr>
        <w:t xml:space="preserve">D</w:t>
      </w:r>
      <w:r>
        <w:t xml:space="preserve">-</w:t>
      </w:r>
      <w:r>
        <w:rPr>
          <w:bCs/>
          <w:b/>
        </w:rPr>
        <w:t xml:space="preserve">G</w:t>
      </w:r>
      <w:r>
        <w:t xml:space="preserve"> </w:t>
      </w:r>
      <w:r>
        <w:t xml:space="preserve">because the filtering process introduces magnitude distortion and only the relative shape of the signal is relevant to the analysis.</w:t>
      </w:r>
    </w:p>
    <w:p>
      <w:pPr>
        <w:pStyle w:val="CaptionedFigure"/>
      </w:pPr>
      <w:r>
        <w:drawing>
          <wp:inline>
            <wp:extent cx="5943600" cy="5943600"/>
            <wp:effectExtent b="0" l="0" r="0" t="0"/>
            <wp:docPr descr="Figure 3: A 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C: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 title="" id="1" name="Picture"/>
            <a:graphic>
              <a:graphicData uri="http://schemas.openxmlformats.org/drawingml/2006/picture">
                <pic:pic>
                  <pic:nvPicPr>
                    <pic:cNvPr descr="../figures/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A</w:t>
      </w:r>
      <w:r>
        <w:t xml:space="preserve"> </w:t>
      </w:r>
      <w:r>
        <w:t xml:space="preserve">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r>
        <w:t xml:space="preserve"> </w:t>
      </w:r>
      <w:r>
        <w:rPr>
          <w:bCs/>
          <w:b/>
        </w:rPr>
        <w:t xml:space="preserve">C</w:t>
      </w:r>
      <w:r>
        <w:t xml:space="preserve">: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w:t>
      </w:r>
    </w:p>
    <w:bookmarkEnd w:id="42"/>
    <w:bookmarkStart w:id="97" w:name="references"/>
    <w:p>
      <w:pPr>
        <w:pStyle w:val="Heading1"/>
      </w:pPr>
      <w:r>
        <w:t xml:space="preserve">References</w:t>
      </w:r>
    </w:p>
    <w:bookmarkStart w:id="95"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 725716.</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andrews2008"/>
    <w:p>
      <w:pPr>
        <w:pStyle w:val="Bibliography"/>
      </w:pPr>
      <w:r>
        <w:rPr>
          <w:bCs/>
          <w:b/>
        </w:rPr>
        <w:t xml:space="preserve">Andrews, R. D., Pitman, R. L. and Ballance, L. T.</w:t>
      </w:r>
      <w:r>
        <w:t xml:space="preserve"> </w:t>
      </w:r>
      <w:r>
        <w:t xml:space="preserve">(2008). Satellite tracking reveals distinct movement patterns for Type B and Type C killer whales in the southern Ross Sea, Antarctica.</w:t>
      </w:r>
      <w:r>
        <w:t xml:space="preserve"> </w:t>
      </w:r>
      <w:r>
        <w:rPr>
          <w:iCs/>
          <w:i/>
        </w:rPr>
        <w:t xml:space="preserve">Polar Biology</w:t>
      </w:r>
      <w:r>
        <w:t xml:space="preserve"> </w:t>
      </w:r>
      <w:r>
        <w:rPr>
          <w:bCs/>
          <w:b/>
        </w:rPr>
        <w:t xml:space="preserve">31</w:t>
      </w:r>
      <w:r>
        <w:t xml:space="preserve">, 1461–1468.</w:t>
      </w:r>
    </w:p>
    <w:bookmarkEnd w:id="46"/>
    <w:bookmarkStart w:id="47"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7"/>
    <w:bookmarkStart w:id="48"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8"/>
    <w:bookmarkStart w:id="50" w:name="ref-R-pracma"/>
    <w:p>
      <w:pPr>
        <w:pStyle w:val="Bibliography"/>
      </w:pPr>
      <w:r>
        <w:rPr>
          <w:bCs/>
          <w:b/>
        </w:rPr>
        <w:t xml:space="preserve">Borchers, H. W.</w:t>
      </w:r>
      <w:r>
        <w:t xml:space="preserve"> </w:t>
      </w:r>
      <w:r>
        <w:t xml:space="preserve">(2021).</w:t>
      </w:r>
      <w:r>
        <w:t xml:space="preserve"> </w:t>
      </w:r>
      <w:r>
        <w:rPr>
          <w:iCs/>
          <w:i/>
        </w:rPr>
        <w:t xml:space="preserve">Pracma: Practical numerical math functions</w:t>
      </w:r>
      <w:r>
        <w:t xml:space="preserve">. R package version 2.3.3.</w:t>
      </w:r>
      <w:r>
        <w:t xml:space="preserve"> </w:t>
      </w:r>
      <w:hyperlink r:id="rId49">
        <w:r>
          <w:rPr>
            <w:rStyle w:val="Hyperlink"/>
          </w:rPr>
          <w:t xml:space="preserve">https://CRAN.R-project.org/package=pracma</w:t>
        </w:r>
      </w:hyperlink>
      <w:r>
        <w:t xml:space="preserve">.</w:t>
      </w:r>
    </w:p>
    <w:bookmarkEnd w:id="50"/>
    <w:bookmarkStart w:id="51"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51"/>
    <w:bookmarkStart w:id="52"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52"/>
    <w:bookmarkStart w:id="53" w:name="ref-divirgilio2018"/>
    <w:p>
      <w:pPr>
        <w:pStyle w:val="Bibliography"/>
      </w:pPr>
      <w:r>
        <w:rPr>
          <w:bCs/>
          <w:b/>
        </w:rPr>
        <w:t xml:space="preserve">di Virgilio, A., Morales, J. M., Lambertucci, S. A., Shepard, E. L. C. and Wilson, R. P.</w:t>
      </w:r>
      <w:r>
        <w:t xml:space="preserve"> </w:t>
      </w:r>
      <w:r>
        <w:t xml:space="preserve">(2018). Multi-dimensional Precision Livestock Farming: a potential toolbox for sustainable rangeland management.</w:t>
      </w:r>
      <w:r>
        <w:t xml:space="preserve"> </w:t>
      </w:r>
      <w:r>
        <w:rPr>
          <w:iCs/>
          <w:i/>
        </w:rPr>
        <w:t xml:space="preserve">PeerJ</w:t>
      </w:r>
      <w:r>
        <w:t xml:space="preserve"> </w:t>
      </w:r>
      <w:r>
        <w:rPr>
          <w:bCs/>
          <w:b/>
        </w:rPr>
        <w:t xml:space="preserve">6</w:t>
      </w:r>
      <w:r>
        <w:t xml:space="preserve">, e4867.</w:t>
      </w:r>
    </w:p>
    <w:bookmarkEnd w:id="53"/>
    <w:bookmarkStart w:id="54" w:name="ref-fahlman2021"/>
    <w:p>
      <w:pPr>
        <w:pStyle w:val="Bibliography"/>
      </w:pPr>
      <w:r>
        <w:rPr>
          <w:bCs/>
          <w:b/>
        </w:rPr>
        <w:t xml:space="preserve">Fahlman, A., Aoki, K., Bale, G., Brijs, J., Chon, K. H., Drummond, C. K., Føre, M., Manteca, X., McDonald, B. I., McKnight, J. C., et al.</w:t>
      </w:r>
      <w:r>
        <w:t xml:space="preserve"> </w:t>
      </w:r>
      <w:r>
        <w:t xml:space="preserve">(2021). The new era of physio-logging and their grand challenges.</w:t>
      </w:r>
      <w:r>
        <w:t xml:space="preserve"> </w:t>
      </w:r>
      <w:r>
        <w:rPr>
          <w:iCs/>
          <w:i/>
        </w:rPr>
        <w:t xml:space="preserve">Frontiers in Physiology</w:t>
      </w:r>
      <w:r>
        <w:t xml:space="preserve"> </w:t>
      </w:r>
      <w:r>
        <w:rPr>
          <w:bCs/>
          <w:b/>
        </w:rPr>
        <w:t xml:space="preserve">12</w:t>
      </w:r>
      <w:r>
        <w:t xml:space="preserve">,.</w:t>
      </w:r>
    </w:p>
    <w:bookmarkEnd w:id="54"/>
    <w:bookmarkStart w:id="55"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5"/>
    <w:bookmarkStart w:id="56" w:name="ref-goldbogen2006"/>
    <w:p>
      <w:pPr>
        <w:pStyle w:val="Bibliography"/>
      </w:pPr>
      <w:r>
        <w:rPr>
          <w:bCs/>
          <w:b/>
        </w:rPr>
        <w:t xml:space="preserve">Goldbogen, J. A., Calambokidis, J., Shadwick, R. E., Oleson, E. M., McDonald, M. A. and Hildebrand, J. A.</w:t>
      </w:r>
      <w:r>
        <w:t xml:space="preserve"> </w:t>
      </w:r>
      <w:r>
        <w:t xml:space="preserve">(2006). Kinematics of foraging dives and lunge-feeding in fin whales.</w:t>
      </w:r>
      <w:r>
        <w:t xml:space="preserve"> </w:t>
      </w:r>
      <w:r>
        <w:rPr>
          <w:iCs/>
          <w:i/>
        </w:rPr>
        <w:t xml:space="preserve">Journal of Experimental Biology</w:t>
      </w:r>
      <w:r>
        <w:t xml:space="preserve"> </w:t>
      </w:r>
      <w:r>
        <w:rPr>
          <w:bCs/>
          <w:b/>
        </w:rPr>
        <w:t xml:space="preserve">209</w:t>
      </w:r>
      <w:r>
        <w:t xml:space="preserve">, 1231–1244.</w:t>
      </w:r>
    </w:p>
    <w:bookmarkEnd w:id="56"/>
    <w:bookmarkStart w:id="57"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7"/>
    <w:bookmarkStart w:id="58"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58"/>
    <w:bookmarkStart w:id="59"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59"/>
    <w:bookmarkStart w:id="60"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60"/>
    <w:bookmarkStart w:id="62"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w:t>
      </w:r>
      <w:r>
        <w:t xml:space="preserve">. R package version 1.2.0.</w:t>
      </w:r>
      <w:r>
        <w:t xml:space="preserve"> </w:t>
      </w:r>
      <w:hyperlink r:id="rId61">
        <w:r>
          <w:rPr>
            <w:rStyle w:val="Hyperlink"/>
          </w:rPr>
          <w:t xml:space="preserve">https://CRAN.R-project.org/package=RobustLinearReg</w:t>
        </w:r>
      </w:hyperlink>
      <w:r>
        <w:t xml:space="preserve">.</w:t>
      </w:r>
    </w:p>
    <w:bookmarkEnd w:id="62"/>
    <w:bookmarkStart w:id="63"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63"/>
    <w:bookmarkStart w:id="64"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64"/>
    <w:bookmarkStart w:id="65" w:name="ref-kim2016"/>
    <w:p>
      <w:pPr>
        <w:pStyle w:val="Bibliography"/>
      </w:pPr>
      <w:r>
        <w:rPr>
          <w:bCs/>
          <w:b/>
        </w:rPr>
        <w:t xml:space="preserve">Kim, C.-S., Ober, S. L., McMurtry, M. S., Finegan, B. A., Inan, O. T., Mukkamala, R. and Hahn, J.-O.</w:t>
      </w:r>
      <w:r>
        <w:t xml:space="preserve"> </w:t>
      </w:r>
      <w:r>
        <w:t xml:space="preserve">(2016). Ballistocardiogram: Mechanism and Potential for Unobtrusive Cardiovascular Health Monitoring.</w:t>
      </w:r>
      <w:r>
        <w:t xml:space="preserve"> </w:t>
      </w:r>
      <w:r>
        <w:rPr>
          <w:iCs/>
          <w:i/>
        </w:rPr>
        <w:t xml:space="preserve">Scientific Reports</w:t>
      </w:r>
      <w:r>
        <w:t xml:space="preserve"> </w:t>
      </w:r>
      <w:r>
        <w:rPr>
          <w:bCs/>
          <w:b/>
        </w:rPr>
        <w:t xml:space="preserve">6</w:t>
      </w:r>
      <w:r>
        <w:t xml:space="preserve">,.</w:t>
      </w:r>
    </w:p>
    <w:bookmarkEnd w:id="65"/>
    <w:bookmarkStart w:id="66"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66"/>
    <w:bookmarkStart w:id="68"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w:t>
      </w:r>
      <w:r>
        <w:t xml:space="preserve">. R package version 0.7-7.</w:t>
      </w:r>
      <w:r>
        <w:t xml:space="preserve"> </w:t>
      </w:r>
      <w:hyperlink r:id="rId67">
        <w:r>
          <w:rPr>
            <w:rStyle w:val="Hyperlink"/>
          </w:rPr>
          <w:t xml:space="preserve">https://CRAN.R-project.org/package=signal</w:t>
        </w:r>
      </w:hyperlink>
      <w:r>
        <w:t xml:space="preserve">.</w:t>
      </w:r>
    </w:p>
    <w:bookmarkEnd w:id="68"/>
    <w:bookmarkStart w:id="69" w:name="ref-martínlópez2021"/>
    <w:p>
      <w:pPr>
        <w:pStyle w:val="Bibliography"/>
      </w:pPr>
      <w:r>
        <w:rPr>
          <w:bCs/>
          <w:b/>
        </w:rPr>
        <w:t xml:space="preserve">Martín López, L. M., Aguilar de Soto, N., Madsen, P. T. and Johnson, M.</w:t>
      </w:r>
      <w:r>
        <w:t xml:space="preserve"> </w:t>
      </w:r>
      <w:r>
        <w:t xml:space="preserve">(2021). Overall dynamic body acceleration measures activity differently on large versus small aquatic animals.</w:t>
      </w:r>
      <w:r>
        <w:t xml:space="preserve"> </w:t>
      </w:r>
      <w:r>
        <w:rPr>
          <w:iCs/>
          <w:i/>
        </w:rPr>
        <w:t xml:space="preserve">Methods in Ecology and Evolution</w:t>
      </w:r>
      <w:r>
        <w:t xml:space="preserve">.</w:t>
      </w:r>
    </w:p>
    <w:bookmarkEnd w:id="69"/>
    <w:bookmarkStart w:id="71"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 R package version 0.1.5.</w:t>
      </w:r>
      <w:r>
        <w:t xml:space="preserve"> </w:t>
      </w:r>
      <w:hyperlink r:id="rId70">
        <w:r>
          <w:rPr>
            <w:rStyle w:val="Hyperlink"/>
          </w:rPr>
          <w:t xml:space="preserve">https://github.com/benmarwick/rrtools</w:t>
        </w:r>
      </w:hyperlink>
      <w:r>
        <w:t xml:space="preserve">.</w:t>
      </w:r>
    </w:p>
    <w:bookmarkEnd w:id="71"/>
    <w:bookmarkStart w:id="72"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72"/>
    <w:bookmarkStart w:id="73"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73"/>
    <w:bookmarkStart w:id="74"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74"/>
    <w:bookmarkStart w:id="75" w:name="ref-moukadem2018"/>
    <w:p>
      <w:pPr>
        <w:pStyle w:val="Bibliography"/>
      </w:pPr>
      <w:r>
        <w:rPr>
          <w:bCs/>
          <w:b/>
        </w:rPr>
        <w:t xml:space="preserve">Moukadem, A., Finnaoui, A., Gassara, H. E., Adolphe, D., Schacher, L. and Dieterlen, A.</w:t>
      </w:r>
      <w:r>
        <w:t xml:space="preserve"> </w:t>
      </w:r>
      <w:r>
        <w:t xml:space="preserve">(2018). Time-frequency domain for BCG analysis. In</w:t>
      </w:r>
      <w:r>
        <w:t xml:space="preserve"> </w:t>
      </w:r>
      <w:r>
        <w:rPr>
          <w:iCs/>
          <w:i/>
        </w:rPr>
        <w:t xml:space="preserve">2018 international conference on computer and applications (ICCA)</w:t>
      </w:r>
      <w:r>
        <w:t xml:space="preserve">, pp. 226–230.</w:t>
      </w:r>
    </w:p>
    <w:bookmarkEnd w:id="75"/>
    <w:bookmarkStart w:id="76" w:name="ref-nassar2018"/>
    <w:p>
      <w:pPr>
        <w:pStyle w:val="Bibliography"/>
      </w:pPr>
      <w:r>
        <w:rPr>
          <w:bCs/>
          <w:b/>
        </w:rPr>
        <w:t xml:space="preserve">Nassar, J. M., Khan, S. M., Velling, S. J., Diaz-Gaxiola, A., Shaikh, S. F., Geraldi, N. R., Torres Sevilla, G. A., Duarte, C. M. and Hussain, M. M.</w:t>
      </w:r>
      <w:r>
        <w:t xml:space="preserve"> </w:t>
      </w:r>
      <w:r>
        <w:t xml:space="preserve">(2018). Compliant lightweight non-invasive standalone</w:t>
      </w:r>
      <w:r>
        <w:t xml:space="preserve"> </w:t>
      </w:r>
      <w:r>
        <w:t xml:space="preserve">“</w:t>
      </w:r>
      <w:r>
        <w:t xml:space="preserve">Marine Skin</w:t>
      </w:r>
      <w:r>
        <w:t xml:space="preserve">”</w:t>
      </w:r>
      <w:r>
        <w:t xml:space="preserve"> </w:t>
      </w:r>
      <w:r>
        <w:t xml:space="preserve">tagging system.</w:t>
      </w:r>
      <w:r>
        <w:t xml:space="preserve"> </w:t>
      </w:r>
      <w:r>
        <w:rPr>
          <w:iCs/>
          <w:i/>
        </w:rPr>
        <w:t xml:space="preserve">npj Flexible Electronics</w:t>
      </w:r>
      <w:r>
        <w:t xml:space="preserve"> </w:t>
      </w:r>
      <w:r>
        <w:rPr>
          <w:bCs/>
          <w:b/>
        </w:rPr>
        <w:t xml:space="preserve">2</w:t>
      </w:r>
      <w:r>
        <w:t xml:space="preserve">, 1970051.</w:t>
      </w:r>
    </w:p>
    <w:bookmarkEnd w:id="76"/>
    <w:bookmarkStart w:id="77" w:name="ref-noren2012"/>
    <w:p>
      <w:pPr>
        <w:pStyle w:val="Bibliography"/>
      </w:pPr>
      <w:r>
        <w:rPr>
          <w:bCs/>
          <w:b/>
        </w:rPr>
        <w:t xml:space="preserve">Noren, S. R., Kendall, T., Cuccurullo, V. and Williams, T. M.</w:t>
      </w:r>
      <w:r>
        <w:t xml:space="preserve"> </w:t>
      </w:r>
      <w:r>
        <w:t xml:space="preserve">(2012). The dive response redefined: underwater behavior influences cardiac variability in freely diving dolphins.</w:t>
      </w:r>
      <w:r>
        <w:t xml:space="preserve"> </w:t>
      </w:r>
      <w:r>
        <w:rPr>
          <w:iCs/>
          <w:i/>
        </w:rPr>
        <w:t xml:space="preserve">Journal of Experimental Biology</w:t>
      </w:r>
      <w:r>
        <w:t xml:space="preserve"> </w:t>
      </w:r>
      <w:r>
        <w:rPr>
          <w:bCs/>
          <w:b/>
        </w:rPr>
        <w:t xml:space="preserve">215</w:t>
      </w:r>
      <w:r>
        <w:t xml:space="preserve">, 2735–2741.</w:t>
      </w:r>
    </w:p>
    <w:bookmarkEnd w:id="77"/>
    <w:bookmarkStart w:id="78"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78"/>
    <w:bookmarkStart w:id="79" w:name="ref-patterson2019"/>
    <w:p>
      <w:pPr>
        <w:pStyle w:val="Bibliography"/>
      </w:pPr>
      <w:r>
        <w:rPr>
          <w:bCs/>
          <w:b/>
        </w:rPr>
        <w:t xml:space="preserve">Patterson, A., Gilchrist, H. G., Chivers, L., Hatch, S. and Elliott, K.</w:t>
      </w:r>
      <w:r>
        <w:t xml:space="preserve"> </w:t>
      </w:r>
      <w:r>
        <w:t xml:space="preserve">(2019). A comparison of techniques for classifying behavior from accelerometers for two species of seabird.</w:t>
      </w:r>
      <w:r>
        <w:t xml:space="preserve"> </w:t>
      </w:r>
      <w:r>
        <w:rPr>
          <w:iCs/>
          <w:i/>
        </w:rPr>
        <w:t xml:space="preserve">Ecology and Evolution</w:t>
      </w:r>
      <w:r>
        <w:t xml:space="preserve"> </w:t>
      </w:r>
      <w:r>
        <w:rPr>
          <w:bCs/>
          <w:b/>
        </w:rPr>
        <w:t xml:space="preserve">9</w:t>
      </w:r>
      <w:r>
        <w:t xml:space="preserve">, 3030–3045.</w:t>
      </w:r>
    </w:p>
    <w:bookmarkEnd w:id="79"/>
    <w:bookmarkStart w:id="80"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80"/>
    <w:bookmarkStart w:id="81"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w:t>
      </w:r>
      <w:r>
        <w:rPr>
          <w:iCs/>
          <w:i/>
        </w:rPr>
        <w:t xml:space="preserve">Eschrichtius</w:t>
      </w:r>
      <w:r>
        <w:rPr>
          <w:iCs/>
          <w:i/>
        </w:rPr>
        <w:t xml:space="preserve"> </w:t>
      </w:r>
      <w:r>
        <w:rPr>
          <w:iCs/>
          <w:i/>
        </w:rPr>
        <w:t xml:space="preserve">robustus</w:t>
      </w:r>
      <w:r>
        <w:t xml:space="preserve">).</w:t>
      </w:r>
      <w:r>
        <w:t xml:space="preserve"> </w:t>
      </w:r>
      <w:r>
        <w:rPr>
          <w:iCs/>
          <w:i/>
        </w:rPr>
        <w:t xml:space="preserve">Marine Mammal Science</w:t>
      </w:r>
      <w:r>
        <w:t xml:space="preserve"> </w:t>
      </w:r>
      <w:r>
        <w:rPr>
          <w:bCs/>
          <w:b/>
        </w:rPr>
        <w:t xml:space="preserve">15</w:t>
      </w:r>
      <w:r>
        <w:t xml:space="preserve">, 1198–1207.</w:t>
      </w:r>
    </w:p>
    <w:bookmarkEnd w:id="81"/>
    <w:bookmarkStart w:id="82"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82"/>
    <w:bookmarkStart w:id="83"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83"/>
    <w:bookmarkStart w:id="84" w:name="ref-samann2019"/>
    <w:p>
      <w:pPr>
        <w:pStyle w:val="Bibliography"/>
      </w:pPr>
      <w:r>
        <w:rPr>
          <w:bCs/>
          <w:b/>
        </w:rPr>
        <w:t xml:space="preserve">Samann, F. and Schanze, T.</w:t>
      </w:r>
      <w:r>
        <w:t xml:space="preserve"> </w:t>
      </w:r>
      <w:r>
        <w:t xml:space="preserve">(2019). An efficient ECG Denoising method using Discrete Wavelet with Savitzky-Golay filter.</w:t>
      </w:r>
      <w:r>
        <w:t xml:space="preserve"> </w:t>
      </w:r>
      <w:r>
        <w:rPr>
          <w:iCs/>
          <w:i/>
        </w:rPr>
        <w:t xml:space="preserve">Current Directions in Biomedical Engineering</w:t>
      </w:r>
      <w:r>
        <w:t xml:space="preserve"> </w:t>
      </w:r>
      <w:r>
        <w:rPr>
          <w:bCs/>
          <w:b/>
        </w:rPr>
        <w:t xml:space="preserve">5</w:t>
      </w:r>
      <w:r>
        <w:t xml:space="preserve">, 385–387.</w:t>
      </w:r>
    </w:p>
    <w:bookmarkEnd w:id="84"/>
    <w:bookmarkStart w:id="85"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85"/>
    <w:bookmarkStart w:id="86"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86"/>
    <w:bookmarkStart w:id="87" w:name="ref-southall2019"/>
    <w:p>
      <w:pPr>
        <w:pStyle w:val="Bibliography"/>
      </w:pPr>
      <w:r>
        <w:rPr>
          <w:bCs/>
          <w:b/>
        </w:rPr>
        <w:t xml:space="preserve">Southall, B. L., DeRuiter, S. L., Friedlaender, A., Stimpert, A. K., Goldbogen, J. A., Hazen, E., Casey, C., Fregosi, S., Cade, D. E., Allen, A. N., et al.</w:t>
      </w:r>
      <w:r>
        <w:t xml:space="preserve"> </w:t>
      </w:r>
      <w:r>
        <w:t xml:space="preserve">(2019). Behavioral responses of individual blue whales (</w:t>
      </w:r>
      <w:r>
        <w:rPr>
          <w:iCs/>
          <w:i/>
        </w:rPr>
        <w:t xml:space="preserve">Balaenoptera</w:t>
      </w:r>
      <w:r>
        <w:rPr>
          <w:iCs/>
          <w:i/>
        </w:rPr>
        <w:t xml:space="preserve"> </w:t>
      </w:r>
      <w:r>
        <w:rPr>
          <w:iCs/>
          <w:i/>
        </w:rPr>
        <w:t xml:space="preserve">musculus</w:t>
      </w:r>
      <w:r>
        <w:t xml:space="preserve">) to mid-frequency military sonar.</w:t>
      </w:r>
      <w:r>
        <w:t xml:space="preserve"> </w:t>
      </w:r>
      <w:r>
        <w:rPr>
          <w:iCs/>
          <w:i/>
        </w:rPr>
        <w:t xml:space="preserve">Journal of Experimental Biology</w:t>
      </w:r>
      <w:r>
        <w:t xml:space="preserve"> </w:t>
      </w:r>
      <w:r>
        <w:rPr>
          <w:bCs/>
          <w:b/>
        </w:rPr>
        <w:t xml:space="preserve">222</w:t>
      </w:r>
      <w:r>
        <w:t xml:space="preserve">, jeb190637.</w:t>
      </w:r>
    </w:p>
    <w:bookmarkEnd w:id="87"/>
    <w:bookmarkStart w:id="88" w:name="ref-Stahl1967b"/>
    <w:p>
      <w:pPr>
        <w:pStyle w:val="Bibliography"/>
      </w:pPr>
      <w:r>
        <w:rPr>
          <w:bCs/>
          <w:b/>
        </w:rPr>
        <w:t xml:space="preserve">Stahl, W. R.</w:t>
      </w:r>
      <w:r>
        <w:t xml:space="preserve"> </w:t>
      </w:r>
      <w:r>
        <w:t xml:space="preserve">(1967). Scaling of respiratory variables in mammals.</w:t>
      </w:r>
      <w:r>
        <w:t xml:space="preserve"> </w:t>
      </w:r>
      <w:r>
        <w:rPr>
          <w:iCs/>
          <w:i/>
        </w:rPr>
        <w:t xml:space="preserve">Journal of Applied Physiology</w:t>
      </w:r>
      <w:r>
        <w:t xml:space="preserve"> </w:t>
      </w:r>
      <w:r>
        <w:rPr>
          <w:bCs/>
          <w:b/>
        </w:rPr>
        <w:t xml:space="preserve">22</w:t>
      </w:r>
      <w:r>
        <w:t xml:space="preserve">, 453–460.</w:t>
      </w:r>
    </w:p>
    <w:bookmarkEnd w:id="88"/>
    <w:bookmarkStart w:id="89"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89"/>
    <w:bookmarkStart w:id="90"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90"/>
    <w:bookmarkStart w:id="91"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91"/>
    <w:bookmarkStart w:id="92"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rPr>
          <w:bCs/>
          <w:b/>
        </w:rPr>
        <w:t xml:space="preserve">11</w:t>
      </w:r>
      <w:r>
        <w:t xml:space="preserve">, 1979–2015.</w:t>
      </w:r>
    </w:p>
    <w:bookmarkEnd w:id="92"/>
    <w:bookmarkStart w:id="93"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93"/>
    <w:bookmarkStart w:id="94"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94"/>
    <w:bookmarkEnd w:id="95"/>
    <w:p>
      <w:r>
        <w:br w:type="page"/>
      </w:r>
    </w:p>
    <w:bookmarkStart w:id="96" w:name="colophon"/>
    <w:p>
      <w:pPr>
        <w:pStyle w:val="Heading3"/>
      </w:pPr>
      <w:r>
        <w:t xml:space="preserve">Colophon</w:t>
      </w:r>
    </w:p>
    <w:p>
      <w:pPr>
        <w:pStyle w:val="FirstParagraph"/>
      </w:pPr>
      <w:r>
        <w:t xml:space="preserve">This report was generated on 2022-02-15 13:45:38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2022-02-15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codetools     0.2-18     2020-11-04 [2] CRAN (R 4.0.4)</w:t>
      </w:r>
      <w:r>
        <w:br/>
      </w:r>
      <w:r>
        <w:rPr>
          <w:rStyle w:val="VerbatimChar"/>
        </w:rPr>
        <w:t xml:space="preserve">#&gt;  colorspace    2.0-2      2021-06-24 [1] CRAN (R 4.0.2)</w:t>
      </w:r>
      <w:r>
        <w:br/>
      </w:r>
      <w:r>
        <w:rPr>
          <w:rStyle w:val="VerbatimChar"/>
        </w:rPr>
        <w:t xml:space="preserve">#&gt;  cowplot       1.1.1      2020-12-30 [2]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farver        2.1.0      2021-02-28 [2] CRAN (R 4.0.2)</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highr         0.9        2021-04-16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labeling      0.4.2      2020-10-20 [2] CRAN (R 4.0.2)</w:t>
      </w:r>
      <w:r>
        <w:br/>
      </w:r>
      <w:r>
        <w:rPr>
          <w:rStyle w:val="VerbatimChar"/>
        </w:rPr>
        <w:t xml:space="preserve">#&gt;  lattice       0.20-44    2021-05-02 [2]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Matrix        1.3-3      2021-05-04 [2] CRAN (R 4.0.2)</w:t>
      </w:r>
      <w:r>
        <w:br/>
      </w:r>
      <w:r>
        <w:rPr>
          <w:rStyle w:val="VerbatimChar"/>
        </w:rPr>
        <w:t xml:space="preserve">#&gt;  memoise       2.0.0      2021-01-26 [2] CRAN (R 4.0.2)</w:t>
      </w:r>
      <w:r>
        <w:br/>
      </w:r>
      <w:r>
        <w:rPr>
          <w:rStyle w:val="VerbatimChar"/>
        </w:rPr>
        <w:t xml:space="preserve">#&gt;  mgcv          1.8-35     2021-04-18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nlme          3.1-152    2021-02-04 [2] CRAN (R 4.0.4)</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[f9c68ad] 2022-02-09: Almost done with edits for reviewers!</w:t>
      </w:r>
    </w:p>
    <w:bookmarkEnd w:id="96"/>
    <w:bookmarkEnd w:id="97"/>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61"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7" Target="https://CRAN.R-project.org/package=signal" TargetMode="External" /><Relationship Type="http://schemas.openxmlformats.org/officeDocument/2006/relationships/hyperlink" Id="rId70" Target="https://github.com/benmarwick/rrtools" TargetMode="External"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61"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7" Target="https://CRAN.R-project.org/package=signal" TargetMode="External" /><Relationship Type="http://schemas.openxmlformats.org/officeDocument/2006/relationships/hyperlink" Id="rId70" Target="https://github.com/benmarwick/rrtools" TargetMode="External" /><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2022-02-15T21:45:41Z</dcterms:created>
  <dcterms:modified xsi:type="dcterms:W3CDTF">2022-02-15T21:45:41Z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../templates/the-company-of-biologists.csl</vt:lpwstr>
  </property>
  <property fmtid="{D5CDD505-2E9C-101B-9397-08002B2CF9AE}" pid="5" name="date">
    <vt:lpwstr>15 February, 2022</vt:lpwstr>
  </property>
  <property fmtid="{D5CDD505-2E9C-101B-9397-08002B2CF9AE}" pid="6" name="output">
    <vt:lpwstr/>
  </property>
</Properties>
</file>