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9F2F27"/>
          <w:spacing w:val="40"/>
          <w:sz w:val="22"/>
          <w:szCs w:val="22"/>
        </w:rPr>
        <w:t xml:space="preserve">ИВМ «ЛАНЧЕСТЕР–ОСИПОВ»</w:t>
      </w:r>
    </w:p>
    <w:p>
      <w:pPr>
        <w:pBdr>
          <w:bottom w:val="single" w:color="9F2F27" w:sz="12" w:space="6"/>
        </w:pBdr>
        <w:spacing w:after="300" w:before="200"/>
      </w:pPr>
      <w:r>
        <w:rPr>
          <w:b/>
          <w:bCs/>
          <w:color w:val="1A1F1B"/>
          <w:sz w:val="52"/>
          <w:szCs w:val="52"/>
        </w:rPr>
        <w:t xml:space="preserve">Проверяемая сила</w:t>
      </w:r>
    </w:p>
    <w:p>
      <w:pPr>
        <w:spacing w:after="400"/>
      </w:pPr>
      <w:r>
        <w:rPr>
          <w:color w:val="5F6761"/>
          <w:sz w:val="28"/>
          <w:szCs w:val="28"/>
        </w:rPr>
        <w:t xml:space="preserve">Количественная оценка военной мощи государств на основе модели Ланчестера–Осипова с измерением законов боя на исторических данных и открытой проверкой прогнозов</w:t>
      </w:r>
    </w:p>
    <w:p>
      <w:pPr>
        <w:spacing w:after="80"/>
      </w:pPr>
      <w:r>
        <w:rPr>
          <w:color w:val="1A1F1B"/>
          <w:sz w:val="22"/>
          <w:szCs w:val="22"/>
        </w:rPr>
        <w:t xml:space="preserve">Документ 9 · Автореферат научной работы</w:t>
      </w:r>
    </w:p>
    <w:p>
      <w:pPr>
        <w:spacing w:after="80"/>
      </w:pPr>
      <w:r>
        <w:rPr>
          <w:color w:val="1A1F1B"/>
          <w:sz w:val="22"/>
          <w:szCs w:val="22"/>
        </w:rPr>
        <w:t xml:space="preserve">Предлагаемые научные специальности: 1.2.2 «Математическое моделирование, численные методы и комплексы программ»; 2.3.1 «Системный анализ, управление и обработка информации, статистика»; 5.5.4 «Международные отношения, глобальные и региональные исследования»</w:t>
      </w:r>
    </w:p>
    <w:p>
      <w:pPr>
        <w:spacing w:before="1800"/>
      </w:pPr>
      <w:r>
        <w:rPr>
          <w:color w:val="5F6761"/>
          <w:sz w:val="20"/>
          <w:szCs w:val="20"/>
        </w:rPr>
        <w:t xml:space="preserve">Срез данных: октябрь 2026 г. · Открытые источники</w:t>
      </w:r>
    </w:p>
    <w:p>
      <w:r>
        <w:rPr>
          <w:color w:val="5F6761"/>
          <w:sz w:val="20"/>
          <w:szCs w:val="20"/>
        </w:rPr>
        <w:t xml:space="preserve">Программа оценки военной мощи государств · проектная документация</w:t>
      </w:r>
    </w:p>
    <w:p>
      <w:pPr>
        <w:pageBreakBefore/>
        <w:spacing w:after="200"/>
      </w:pPr>
      <w:r>
        <w:rPr>
          <w:b/>
          <w:bCs/>
          <w:color w:val="1A1F1B"/>
          <w:sz w:val="34"/>
          <w:szCs w:val="34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211">
            <w:r>
              <w:t xml:space="preserve">Для руководителя и инвестора: работа на одной странице</w:t>
            </w:r>
            <w:r>
              <w:tab/>
            </w:r>
            <w:r>
              <w:fldChar w:fldCharType="begin" w:dirty="true"/>
              <w:instrText xml:space="preserve">PAGEREF _Toc211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12">
            <w:r>
              <w:t xml:space="preserve">1. Общая характеристика работы</w:t>
            </w:r>
            <w:r>
              <w:tab/>
            </w:r>
            <w:r>
              <w:fldChar w:fldCharType="begin" w:dirty="true"/>
              <w:instrText xml:space="preserve">PAGEREF _Toc212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3">
            <w:r>
              <w:t xml:space="preserve">Актуальность темы</w:t>
            </w:r>
            <w:r>
              <w:tab/>
            </w:r>
            <w:r>
              <w:fldChar w:fldCharType="begin" w:dirty="true"/>
              <w:instrText xml:space="preserve">PAGEREF _Toc213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4">
            <w:r>
              <w:t xml:space="preserve">Степень разработанности</w:t>
            </w:r>
            <w:r>
              <w:tab/>
            </w:r>
            <w:r>
              <w:fldChar w:fldCharType="begin" w:dirty="true"/>
              <w:instrText xml:space="preserve">PAGEREF _Toc214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5">
            <w:r>
              <w:t xml:space="preserve">Цель и задачи</w:t>
            </w:r>
            <w:r>
              <w:tab/>
            </w:r>
            <w:r>
              <w:fldChar w:fldCharType="begin" w:dirty="true"/>
              <w:instrText xml:space="preserve">PAGEREF _Toc215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6">
            <w:r>
              <w:t xml:space="preserve">Объект и предмет исследования</w:t>
            </w:r>
            <w:r>
              <w:tab/>
            </w:r>
            <w:r>
              <w:fldChar w:fldCharType="begin" w:dirty="true"/>
              <w:instrText xml:space="preserve">PAGEREF _Toc216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7">
            <w:r>
              <w:t xml:space="preserve">Научная новизна</w:t>
            </w:r>
            <w:r>
              <w:tab/>
            </w:r>
            <w:r>
              <w:fldChar w:fldCharType="begin" w:dirty="true"/>
              <w:instrText xml:space="preserve">PAGEREF _Toc217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8">
            <w:r>
              <w:t xml:space="preserve">Теоретическая и практическая значимость</w:t>
            </w:r>
            <w:r>
              <w:tab/>
            </w:r>
            <w:r>
              <w:fldChar w:fldCharType="begin" w:dirty="true"/>
              <w:instrText xml:space="preserve">PAGEREF _Toc218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9">
            <w:r>
              <w:t xml:space="preserve">Методология и методы</w:t>
            </w:r>
            <w:r>
              <w:tab/>
            </w:r>
            <w:r>
              <w:fldChar w:fldCharType="begin" w:dirty="true"/>
              <w:instrText xml:space="preserve">PAGEREF _Toc219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0">
            <w:r>
              <w:t xml:space="preserve">Положения, выносимые на защиту</w:t>
            </w:r>
            <w:r>
              <w:tab/>
            </w:r>
            <w:r>
              <w:fldChar w:fldCharType="begin" w:dirty="true"/>
              <w:instrText xml:space="preserve">PAGEREF _Toc220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1">
            <w:r>
              <w:t xml:space="preserve">Достоверность и апробация</w:t>
            </w:r>
            <w:r>
              <w:tab/>
            </w:r>
            <w:r>
              <w:fldChar w:fldCharType="begin" w:dirty="true"/>
              <w:instrText xml:space="preserve">PAGEREF _Toc221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2">
            <w:r>
              <w:t xml:space="preserve">Структура работы</w:t>
            </w:r>
            <w:r>
              <w:tab/>
            </w:r>
            <w:r>
              <w:fldChar w:fldCharType="begin" w:dirty="true"/>
              <w:instrText xml:space="preserve">PAGEREF _Toc222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23">
            <w:r>
              <w:t xml:space="preserve">2. Основное содержание работы</w:t>
            </w:r>
            <w:r>
              <w:tab/>
            </w:r>
            <w:r>
              <w:fldChar w:fldCharType="begin" w:dirty="true"/>
              <w:instrText xml:space="preserve">PAGEREF _Toc223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4">
            <w:r>
              <w:t xml:space="preserve">Глава 1. Модели боя и индексы мощи: критический обзор</w:t>
            </w:r>
            <w:r>
              <w:tab/>
            </w:r>
            <w:r>
              <w:fldChar w:fldCharType="begin" w:dirty="true"/>
              <w:instrText xml:space="preserve">PAGEREF _Toc224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5">
            <w:r>
              <w:t xml:space="preserve">Глава 2. Индекс военной мощи: построение</w:t>
            </w:r>
            <w:r>
              <w:tab/>
            </w:r>
            <w:r>
              <w:fldChar w:fldCharType="begin" w:dirty="true"/>
              <w:instrText xml:space="preserve">PAGEREF _Toc225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6">
            <w:r>
              <w:t xml:space="preserve">Глава 3. Законы боя на исторических сражениях</w:t>
            </w:r>
            <w:r>
              <w:tab/>
            </w:r>
            <w:r>
              <w:fldChar w:fldCharType="begin" w:dirty="true"/>
              <w:instrText xml:space="preserve">PAGEREF _Toc226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7">
            <w:r>
              <w:t xml:space="preserve">Глава 4. Проверка на войнах и ошибка модели</w:t>
            </w:r>
            <w:r>
              <w:tab/>
            </w:r>
            <w:r>
              <w:fldChar w:fldCharType="begin" w:dirty="true"/>
              <w:instrText xml:space="preserve">PAGEREF _Toc227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8">
            <w:r>
              <w:t xml:space="preserve">Глава 5. Дроны, залпы и ПВО</w:t>
            </w:r>
            <w:r>
              <w:tab/>
            </w:r>
            <w:r>
              <w:fldChar w:fldCharType="begin" w:dirty="true"/>
              <w:instrText xml:space="preserve">PAGEREF _Toc228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9">
            <w:r>
              <w:t xml:space="preserve">Глава 6. Коалиции</w:t>
            </w:r>
            <w:r>
              <w:tab/>
            </w:r>
            <w:r>
              <w:fldChar w:fldCharType="begin" w:dirty="true"/>
              <w:instrText xml:space="preserve">PAGEREF _Toc229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0">
            <w:r>
              <w:t xml:space="preserve">Глава 7. Монитор очагов</w:t>
            </w:r>
            <w:r>
              <w:tab/>
            </w:r>
            <w:r>
              <w:fldChar w:fldCharType="begin" w:dirty="true"/>
              <w:instrText xml:space="preserve">PAGEREF _Toc230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1">
            <w:r>
              <w:t xml:space="preserve">Глава 8. Экспертная панель и программный комплекс</w:t>
            </w:r>
            <w:r>
              <w:tab/>
            </w:r>
            <w:r>
              <w:fldChar w:fldCharType="begin" w:dirty="true"/>
              <w:instrText xml:space="preserve">PAGEREF _Toc231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32">
            <w:r>
              <w:t xml:space="preserve">3. Заключение</w:t>
            </w:r>
            <w:r>
              <w:tab/>
            </w:r>
            <w:r>
              <w:fldChar w:fldCharType="begin" w:dirty="true"/>
              <w:instrText xml:space="preserve">PAGEREF _Toc232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33">
            <w:r>
              <w:t xml:space="preserve">4. Конкурентная среда в США</w:t>
            </w:r>
            <w:r>
              <w:tab/>
            </w:r>
            <w:r>
              <w:fldChar w:fldCharType="begin" w:dirty="true"/>
              <w:instrText xml:space="preserve">PAGEREF _Toc233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34">
            <w:r>
              <w:t xml:space="preserve">Список литературы и источников</w:t>
            </w:r>
            <w:r>
              <w:tab/>
            </w:r>
            <w:r>
              <w:fldChar w:fldCharType="begin" w:dirty="true"/>
              <w:instrText xml:space="preserve">PAGEREF _Toc234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5">
            <w:r>
              <w:t xml:space="preserve">А. Классическая теория боя</w:t>
            </w:r>
            <w:r>
              <w:tab/>
            </w:r>
            <w:r>
              <w:fldChar w:fldCharType="begin" w:dirty="true"/>
              <w:instrText xml:space="preserve">PAGEREF _Toc235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6">
            <w:r>
              <w:t xml:space="preserve">Б. Проверка моделей боя на исторических данных</w:t>
            </w:r>
            <w:r>
              <w:tab/>
            </w:r>
            <w:r>
              <w:fldChar w:fldCharType="begin" w:dirty="true"/>
              <w:instrText xml:space="preserve">PAGEREF _Toc236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7">
            <w:r>
              <w:t xml:space="preserve">В. Индексы военной и национальной мощи</w:t>
            </w:r>
            <w:r>
              <w:tab/>
            </w:r>
            <w:r>
              <w:fldChar w:fldCharType="begin" w:dirty="true"/>
              <w:instrText xml:space="preserve">PAGEREF _Toc237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8">
            <w:r>
              <w:t xml:space="preserve">Г. Дроны, ПВО и современная война</w:t>
            </w:r>
            <w:r>
              <w:tab/>
            </w:r>
            <w:r>
              <w:fldChar w:fldCharType="begin" w:dirty="true"/>
              <w:instrText xml:space="preserve">PAGEREF _Toc238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9">
            <w:r>
              <w:t xml:space="preserve">Д. Статистические и экспертные методы</w:t>
            </w:r>
            <w:r>
              <w:tab/>
            </w:r>
            <w:r>
              <w:fldChar w:fldCharType="begin" w:dirty="true"/>
              <w:instrText xml:space="preserve">PAGEREF _Toc239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0">
            <w:r>
              <w:t xml:space="preserve">Е. Источники данных</w:t>
            </w:r>
            <w:r>
              <w:tab/>
            </w:r>
            <w:r>
              <w:fldChar w:fldCharType="begin" w:dirty="true"/>
              <w:instrText xml:space="preserve">PAGEREF _Toc240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1">
            <w:r>
              <w:t xml:space="preserve">Ж. Хроника событий и конкурентная среда</w:t>
            </w:r>
            <w:r>
              <w:tab/>
            </w:r>
            <w:r>
              <w:fldChar w:fldCharType="begin" w:dirty="true"/>
              <w:instrText xml:space="preserve">PAGEREF _Toc241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00"/>
      </w:pPr>
      <w:r>
        <w:rPr>
          <w:color w:val="5F6761"/>
          <w:sz w:val="18"/>
          <w:szCs w:val="18"/>
        </w:rPr>
        <w:t xml:space="preserve">Если номера страниц не видны, нажмите F9 в Word (обновить поле) или правой кнопкой по оглавлению → «Обновить поле».</w:t>
      </w:r>
    </w:p>
    <w:p>
      <w:pPr>
        <w:pStyle w:val="Heading1"/>
        <w:pageBreakBefore/>
      </w:pPr>
      <w:bookmarkStart w:name="_Toc211" w:id="211"/>
      <w:r>
        <w:t xml:space="preserve">Для руководителя и инвестора: работа на одной странице</w:t>
      </w:r>
      <w:bookmarkEnd w:id="211"/>
    </w:p>
    <w:p>
      <w:pPr>
        <w:spacing w:after="120" w:line="288"/>
        <w:jc w:val="both"/>
      </w:pPr>
      <w:r>
        <w:rPr>
          <w:b/>
          <w:bCs/>
        </w:rPr>
        <w:t xml:space="preserve">Что сделано.</w:t>
      </w:r>
      <w:r>
        <w:t xml:space="preserve"> Создан открытый индекс военной мощи государств (ИВМ) и программный комплекс к нему. Это рейтинг 40 государств по 253 показателям с интервалами неопределённости, модель боя, конструктор коалиций, калькулятор ракетных и дроновых ударов против ПВО и монитор очагов конфликтов. Главное отличие от рынка: </w:t>
      </w:r>
      <w:r>
        <w:rPr>
          <w:b/>
          <w:bCs/>
        </w:rPr>
        <w:t xml:space="preserve">каждое утверждение модели проверено на реальных сражениях и войнах по протоколу, зафиксированному до расчёта, а промахи публикуются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Вопрос</w:t>
            </w:r>
          </w:p>
        </w:tc>
        <w:tc>
          <w:tcPr>
            <w:tcW w:type="dxa" w:w="71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Какую задачу решает</w:t>
            </w:r>
          </w:p>
        </w:tc>
        <w:tc>
          <w:tcPr>
            <w:tcW w:type="dxa" w:w="71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Сравнение военной мощи государств и коалиций для конкретного театра и горизонта, с честной мерой неопределённости, а не одной цифрой рейтинга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Почему сейчас</w:t>
            </w:r>
          </w:p>
        </w:tc>
        <w:tc>
          <w:tcPr>
            <w:tcW w:type="dxa" w:w="71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Мировые военные расходы в 2025 г. — 2,887 трлн $ (рекорд SIPRI), войны 2022–2026 гг. опровергли счётные рейтинги; спрос на проверяемые модели растёт, а лидер ниши TENET ушёл от индекса к ИИ-платформе для аналитиков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Чем лучше конкурентов</w:t>
            </w:r>
          </w:p>
        </w:tc>
        <w:tc>
          <w:tcPr>
            <w:tcW w:type="dxa" w:w="71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Открытые формулы и код; законы боя измерены на 404 сражениях; проверка на 10 войнах 2018–2025 гг.; явная ошибка модели; монитор очагов с AUC 0,96 вне выборки; конкуренты (Global Firepower, TENET MCI) формулы и проверки не раскрывают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Что уже работает</w:t>
            </w:r>
          </w:p>
        </w:tc>
        <w:tc>
          <w:tcPr>
            <w:tcW w:type="dxa" w:w="71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Расчётное ядро на Python (37 автоматических тестов), прототип интерфейса в браузере, 9 отчётов в Word, сбор данных из 30+ открытых источников, протокол экспертной панели Дельфи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Чего пока нет</w:t>
            </w:r>
          </w:p>
        </w:tc>
        <w:tc>
          <w:tcPr>
            <w:tcW w:type="dxa" w:w="71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Охват — 40 государств против 145–170 у конкурентов; данные IISS не лицензированы; 67 «качественных» показателей временно заполнены оценкой ИИ до экспертной панели; нет команды продаж и клиентов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Модель дохода (варианты)</w:t>
            </w:r>
          </w:p>
        </w:tc>
        <w:tc>
          <w:tcPr>
            <w:tcW w:type="dxa" w:w="71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Подписка на платформу; лицензия данных и методики; заказные сценарии и отчёты; обучение (военные вузы, аналитические центры)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Главный риск</w:t>
            </w:r>
          </w:p>
        </w:tc>
        <w:tc>
          <w:tcPr>
            <w:tcW w:type="dxa" w:w="71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Исход войн модель пока предсказывает не лучше равновероятного прогноза — это признано и опубликовано; ценность продукта — в честном балансе сил и сценариях, а не в «предсказании войн»</w:t>
            </w:r>
          </w:p>
        </w:tc>
      </w:tr>
    </w:tbl>
    <w:p>
      <w:pPr>
        <w:spacing w:after="120"/>
      </w:pP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Позиция. </w:t>
      </w:r>
      <w:r>
        <w:t xml:space="preserve">в отличие от рынка, мы не обещаем точного прогноза исходов войн: наша же проверка показала, что открытые данные этого не позволяют. Мы продаём проверяемость — то, что конкуренты обещают, но держат закрытым.</w:t>
      </w:r>
    </w:p>
    <w:p>
      <w:pPr>
        <w:pStyle w:val="Heading1"/>
        <w:pageBreakBefore/>
      </w:pPr>
      <w:bookmarkStart w:name="_Toc212" w:id="212"/>
      <w:r>
        <w:t xml:space="preserve">1. Общая характеристика работы</w:t>
      </w:r>
      <w:bookmarkEnd w:id="212"/>
    </w:p>
    <w:p>
      <w:pPr>
        <w:pStyle w:val="Heading2"/>
      </w:pPr>
      <w:bookmarkStart w:name="_Toc213" w:id="213"/>
      <w:r>
        <w:t xml:space="preserve">Актуальность темы</w:t>
      </w:r>
      <w:bookmarkEnd w:id="213"/>
    </w:p>
    <w:p>
      <w:pPr>
        <w:spacing w:after="120" w:line="288"/>
        <w:jc w:val="both"/>
      </w:pPr>
      <w:r>
        <w:t xml:space="preserve">Оценка военной мощи государств нужна военному планированию, внешней политике, оборонной промышленности, страхованию и инвесторам. Распространённые рейтинги (Global Firepower, CINC) складывают количество техники и ресурсов линейно, с непрозрачными или произвольными весами, без учёта качества, готовности, географии, времени, союзников и неопределённости. Войны 2022–2026 гг. показали цену этих ошибок: в рейтинге GFP 2022 г. Россия стояла на 2-м месте, Украина — на 22-м, однако война стала затяжной позиционной; Израиль и Иран в 2025 г. стояли рядом, однако израильская авиация за дни добилась господства в воздухе над Ираном.</w:t>
      </w:r>
    </w:p>
    <w:p>
      <w:pPr>
        <w:spacing w:after="120" w:line="288"/>
        <w:jc w:val="both"/>
      </w:pPr>
      <w:r>
        <w:t xml:space="preserve">Классическая модель Ланчестера–Осипова (1915–1916) задаёт форму связи численности и качества, но её законы плохо подтверждаются историей, а при переносе на уровень государств она теряет экономику, географию, союзы и ядерный фактор. Нужна методика, которая соединяет индекс и модель боя и </w:t>
      </w:r>
      <w:r>
        <w:rPr>
          <w:b/>
          <w:bCs/>
        </w:rPr>
        <w:t xml:space="preserve">проверяет себя на данных</w:t>
      </w:r>
      <w:r>
        <w:t xml:space="preserve">.</w:t>
      </w:r>
    </w:p>
    <w:p>
      <w:pPr>
        <w:pStyle w:val="Heading2"/>
      </w:pPr>
      <w:bookmarkStart w:name="_Toc214" w:id="214"/>
      <w:r>
        <w:t xml:space="preserve">Степень разработанности</w:t>
      </w:r>
      <w:bookmarkEnd w:id="214"/>
    </w:p>
    <w:p>
      <w:pPr>
        <w:spacing w:after="120" w:line="288"/>
        <w:jc w:val="both"/>
      </w:pPr>
      <w:r>
        <w:t xml:space="preserve">Модели боя развивались от законов Ланчестера и Осипова к модификациям Хельмболда (1965), Дейчмана (1962), залповой модели Хьюза (1995), трёхсторонним (Kress и др., 2018) и пространственным моделям (Randow и др., 2026). Подгонка к сражениям (Engel, 1954; Bracken, 1995; Fricker, 1998; Lucas, Turkes, 2004) дала противоречивые результаты. Индексы мощи (CINC, Souva MMP, DOE Carroll–Kenkel, Beckley) развивались отдельно от моделей боя. Коммерческие рейтинги (Global Firepower, TENET MCI) закрыты и не публикуют проверок. Связка «индекс → модель боя → проверка вне выборки по зафиксированному протоколу» в найденной литературе отсутствует.</w:t>
      </w:r>
    </w:p>
    <w:p>
      <w:pPr>
        <w:pStyle w:val="Heading2"/>
      </w:pPr>
      <w:bookmarkStart w:name="_Toc215" w:id="215"/>
      <w:r>
        <w:t xml:space="preserve">Цель и задачи</w:t>
      </w:r>
      <w:bookmarkEnd w:id="215"/>
    </w:p>
    <w:p>
      <w:pPr>
        <w:spacing w:after="120" w:line="288"/>
        <w:jc w:val="both"/>
      </w:pPr>
      <w:r>
        <w:rPr>
          <w:b/>
          <w:bCs/>
        </w:rPr>
        <w:t xml:space="preserve">Цель</w:t>
      </w:r>
      <w:r>
        <w:t xml:space="preserve"> — создать открытую, проверяемую методику и программный комплекс количественной оценки военной мощи государств и коалиций, связывающие структурный индекс с моделью боя.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Разобрать модели боя и индексы мощи, выявить их систематические ошибки.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Построить индекс из 253 показателей с ролями в модели, нелинейной свёрткой, ядерной осью, проекцией силы и интервалами неопределённости.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Измерить законы боя (показатель закона, интенсивность, факторы качества, порог воли) на исторических сражениях.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Проверить модель на войнах 2018–2025 гг. по данным года до войны и оценить её ошибку.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Разработать модели коалиций, ударов дронов и ракет против ПВО, монитор очагов конфликтов.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Создать программный комплекс с открытым кодом, автоматическими тестами и интерфейсом.</w:t>
      </w:r>
    </w:p>
    <w:p>
      <w:pPr>
        <w:pStyle w:val="Heading2"/>
      </w:pPr>
      <w:bookmarkStart w:name="_Toc216" w:id="216"/>
      <w:r>
        <w:t xml:space="preserve">Объект и предмет исследования</w:t>
      </w:r>
      <w:bookmarkEnd w:id="216"/>
    </w:p>
    <w:p>
      <w:pPr>
        <w:spacing w:after="120" w:line="288"/>
        <w:jc w:val="both"/>
      </w:pPr>
      <w:r>
        <w:rPr>
          <w:b/>
          <w:bCs/>
        </w:rPr>
        <w:t xml:space="preserve">Объект</w:t>
      </w:r>
      <w:r>
        <w:t xml:space="preserve"> — военная мощь государств и коалиций. </w:t>
      </w:r>
      <w:r>
        <w:rPr>
          <w:b/>
          <w:bCs/>
        </w:rPr>
        <w:t xml:space="preserve">Предмет</w:t>
      </w:r>
      <w:r>
        <w:t xml:space="preserve"> — математические модели и методы её количественной оценки и их проверка на исторических данных.</w:t>
      </w:r>
    </w:p>
    <w:p>
      <w:pPr>
        <w:pStyle w:val="Heading2"/>
      </w:pPr>
      <w:bookmarkStart w:name="_Toc217" w:id="217"/>
      <w:r>
        <w:t xml:space="preserve">Научная новизна</w:t>
      </w:r>
      <w:bookmarkEnd w:id="217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Логарифмическая форма закона Ланчестера как правило весов индекса:</w:t>
      </w:r>
      <w:r>
        <w:t xml:space="preserve"> ln F = ln Q + α·ln N, где α измерен на сражениях, а не взят из учебника; каждому из 253 показателей назначена роль в уравнениях боя.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Измерение законов боя на 404 сражениях 1900–1973 гг. (CDB90) по протоколам, зафиксированным до расчёта:</w:t>
      </w:r>
      <w:r>
        <w:t xml:space="preserve"> квадратичный закон отвергнут (α = 0,65 [0,46; 0,84]; с поправкой на боевую эффективность 0,98 [0,80; 1,18]); форма p + q = 1 отвергнута для интенсивности боя (p + q = 0,62 [0,55; 0,70]).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Факторы качества в единицах численного перевеса:</w:t>
      </w:r>
      <w:r>
        <w:t xml:space="preserve"> ступень превосходства в руководстве равна перевесу в ≈ 9 раз, в морали ≈ 6, в снабжении ≈ 2,3, в разведке ≈ 2,2 (верхние оценки: коды проставлены после событий).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Порог воли с цензурированием:</w:t>
      </w:r>
      <w:r>
        <w:t xml:space="preserve"> медиана потерь, при которых сторона прекращает бой, — 16% [14; 18]; ступень морали поднимает порог в 1,29 раза. Независимый опрос (Podobnik и др., 2025) даёт медиану допустимых потерь 10%.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Коэффициент обороны конкретной войны по отношению её потерь</w:t>
      </w:r>
      <w:r>
        <w:t xml:space="preserve"> (Россия против Украины — 1,7 по Oryx 2024–2025 гг.) и </w:t>
      </w:r>
      <w:r>
        <w:rPr>
          <w:b/>
          <w:bCs/>
        </w:rPr>
        <w:t xml:space="preserve">явная ошибка модели σ = 2,0</w:t>
      </w:r>
      <w:r>
        <w:t xml:space="preserve">, откалиброванная по 10 войнам.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Первая, насколько известно, проверка вне выборки гипотезы «войну дронов решает глубина производства»</w:t>
      </w:r>
      <w:r>
        <w:t xml:space="preserve"> — гипотеза не подтверждена.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Открытый журнал отрицательных результатов:</w:t>
      </w:r>
      <w:r>
        <w:t xml:space="preserve"> калибровка, качество по годам, модель ударов, дроны — всё, что не улучшило прогноз, опубликовано с причинами.</w:t>
      </w:r>
    </w:p>
    <w:p>
      <w:pPr>
        <w:pStyle w:val="Heading2"/>
      </w:pPr>
      <w:bookmarkStart w:name="_Toc218" w:id="218"/>
      <w:r>
        <w:t xml:space="preserve">Теоретическая и практическая значимость</w:t>
      </w:r>
      <w:bookmarkEnd w:id="218"/>
    </w:p>
    <w:p>
      <w:pPr>
        <w:spacing w:after="120" w:line="288"/>
        <w:jc w:val="both"/>
      </w:pPr>
      <w:r>
        <w:t xml:space="preserve">Теоретически работа уточняет область применимости законов Ланчестера (почти линейный закон для отношения потерь, неполное участие сил для интенсивности) и даёт измеримые множители качества. Практически — программный комплекс для сравнения государств и коалиций, сценариев войн, оценки ПВО и мониторинга очагов; методика применима в военных вузах, аналитических центрах, оборонной промышленности и страховании политических рисков.</w:t>
      </w:r>
    </w:p>
    <w:p>
      <w:pPr>
        <w:pStyle w:val="Heading2"/>
      </w:pPr>
      <w:bookmarkStart w:name="_Toc219" w:id="219"/>
      <w:r>
        <w:t xml:space="preserve">Методология и методы</w:t>
      </w:r>
      <w:bookmarkEnd w:id="219"/>
    </w:p>
    <w:p>
      <w:pPr>
        <w:spacing w:after="120" w:line="288"/>
        <w:jc w:val="both"/>
      </w:pPr>
      <w:r>
        <w:t xml:space="preserve">Системный анализ; дифференциальные уравнения боя; функция CES; метод Монте-Карло; регрессия и цензурированные модели (логнормальная модель порога); оценка вероятностных прогнозов логарифмической мерой (Gneiting, Raftery, 2007); перекрёстная проверка с исключением одного случая; индексы чувствительности Соболя; метод Дельфи с весами Кука; логистическая регрессия для прогноза конфликтов; обработка данных открытых источников. </w:t>
      </w:r>
      <w:r>
        <w:rPr>
          <w:b/>
          <w:bCs/>
        </w:rPr>
        <w:t xml:space="preserve">Правило работы:</w:t>
      </w:r>
      <w:r>
        <w:t xml:space="preserve"> протокол каждой проверки фиксируется коммитом в git до расчёта; менять протокол после расчёта нельзя.</w:t>
      </w:r>
    </w:p>
    <w:p>
      <w:pPr>
        <w:pStyle w:val="Heading2"/>
      </w:pPr>
      <w:bookmarkStart w:name="_Toc220" w:id="220"/>
      <w:r>
        <w:t xml:space="preserve">Положения, выносимые на защиту</w:t>
      </w:r>
      <w:bookmarkEnd w:id="220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Индекс военной мощи, в котором показатели входят в формулы по ролям уравнений боя, а столпы свёртываются функцией CES, устраняет систематические ошибки счётных рейтингов: компенсацию «слабого звена», суммирование ядерного оружия с обычными силами, игнорирование удалённости и неопределённости.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На сражениях 1900–1973 гг. отношение потерь описывается почти линейным законом (α ≈ 1 с поправкой на эффективность), квадратичный закон отвергается; интенсивность боя растёт медленнее численности (p + q ≈ 0,62).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Качество войск (руководство, мораль, снабжение, разведка) по силе эквивалентно многократному численному перевесу и должно входить в индекс множителями, а не слагаемыми.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Бой заканчивается сломом воли при медианных потерях около 16%, а не уничтожением; порог — сценарный параметр (сражение — 16%, кампания — 40%).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Соотношение сил по индексу из открытых данных не предсказывает исход войн лучше равновероятного прогноза; честная модель обязана включать явную ошибку (σ = 2,0) и публиковать это.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Вероятность вооружённого конфликта в паре государств определяют соседство, история и институты (AUC 0,96 вне выборки), а не баланс военной мощи.</w:t>
      </w:r>
    </w:p>
    <w:p>
      <w:pPr>
        <w:pStyle w:val="Heading2"/>
      </w:pPr>
      <w:bookmarkStart w:name="_Toc221" w:id="221"/>
      <w:r>
        <w:t xml:space="preserve">Достоверность и апробация</w:t>
      </w:r>
      <w:bookmarkEnd w:id="221"/>
    </w:p>
    <w:p>
      <w:pPr>
        <w:spacing w:after="120" w:line="288"/>
        <w:jc w:val="both"/>
      </w:pPr>
      <w:r>
        <w:t xml:space="preserve">Достоверность обеспечена: открытым кодом и данными; 37 автоматическими тестами (проверка формул, модели боя, панели, калибровки) с запуском в GitHub Actions; сверкой расчёта в браузере с расчётом ядра; протоколами, зафиксированными до расчёта (коммиты 567224b, 65e1a59, 5ed015a, f2a1a3c, 67504ee, cb72541, 061ed46 и др.); публикацией отрицательных результатов. Материалы оформлены в 9 отчётах (документы 1–9) и интерактивном прототипе.</w:t>
      </w:r>
    </w:p>
    <w:p>
      <w:pPr>
        <w:pStyle w:val="Heading2"/>
      </w:pPr>
      <w:bookmarkStart w:name="_Toc222" w:id="222"/>
      <w:r>
        <w:t xml:space="preserve">Структура работы</w:t>
      </w:r>
      <w:bookmarkEnd w:id="222"/>
    </w:p>
    <w:p>
      <w:pPr>
        <w:spacing w:after="120" w:line="288"/>
        <w:jc w:val="both"/>
      </w:pPr>
      <w:r>
        <w:t xml:space="preserve">Работа состоит из введения, восьми глав (обзор и критика моделей; индекс; законы боя на сражениях; проверка на войнах; дроны и ПВО; коалиции; монитор очагов; экспертная панель и программный комплекс), заключения, списка литературы и приложений (каталог 253 показателей, протоколы проверок, данные).</w:t>
      </w:r>
    </w:p>
    <w:p>
      <w:pPr>
        <w:pStyle w:val="Heading1"/>
        <w:pageBreakBefore/>
      </w:pPr>
      <w:bookmarkStart w:name="_Toc223" w:id="223"/>
      <w:r>
        <w:t xml:space="preserve">2. Основное содержание работы</w:t>
      </w:r>
      <w:bookmarkEnd w:id="223"/>
    </w:p>
    <w:p>
      <w:pPr>
        <w:pStyle w:val="Heading2"/>
      </w:pPr>
      <w:bookmarkStart w:name="_Toc224" w:id="224"/>
      <w:r>
        <w:t xml:space="preserve">Глава 1. Модели боя и индексы мощи: критический обзор</w:t>
      </w:r>
      <w:bookmarkEnd w:id="224"/>
    </w:p>
    <w:p>
      <w:pPr>
        <w:spacing w:after="120" w:line="288"/>
        <w:jc w:val="both"/>
      </w:pPr>
      <w:r>
        <w:t xml:space="preserve">Рассмотрены законы Ланчестера и Осипова (линейный, квадратичный, логарифмический), модификации Хельмболда, Дейчмана, Хьюза, трёхсторонний бой, и 13 индексов и методов оценки мощи (Global Firepower, CINC, Lowy, BICC, Heritage, Souva, DOE, Beckley, Credit Suisse, QJM/TNDM Дюпюи, WEI/WUV и метод «потенциал–антипотенциал», отечественный метод боевых потенциалов). Общие ошибки: подсчёт «штук» без качества и готовности, двойной учёт бюджета и купленной техники, суммирование ядерного оружия с обычными силами, линейная свёртка, непроверенные веса, точечные оценки без интервалов, игнорирование географии, времени и союзников.</w:t>
      </w:r>
    </w:p>
    <w:p>
      <w:pPr>
        <w:pStyle w:val="Heading2"/>
      </w:pPr>
      <w:bookmarkStart w:name="_Toc225" w:id="225"/>
      <w:r>
        <w:t xml:space="preserve">Глава 2. Индекс военной мощи: построение</w:t>
      </w:r>
      <w:bookmarkEnd w:id="225"/>
    </w:p>
    <w:p>
      <w:pPr>
        <w:spacing w:after="120" w:line="288"/>
        <w:jc w:val="both"/>
      </w:pPr>
      <w:r>
        <w:t xml:space="preserve">253 показателя сгруппированы в 12 столпов (сухопутные войска, ВВС и ПВО, ВМС, стратегические силы, космос и управление, личный состав, экономика, ОПК, логистика, география, союзы, управление и опыт). Каждому показателю назначена роль: N — численность (41), Q — качество (57), M — множитель (35), S — устойчивость (81), P — проекция (13), G — сдерживание (11), C — контекст (15).</w:t>
      </w:r>
    </w:p>
    <w:p>
      <w:pPr>
        <w:shd w:fill="F2F4F0" w:color="auto" w:val="clear"/>
        <w:spacing w:after="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(1) Нормировка счётных величин:  x̃ = lg(x) на шкале трёх порядков ниже лидера выборки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(2) Боевой столп (суша, воздух, море):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    P_d = (α·Σw·x̃[N] + Σw·x̃[Q,M] + Σw·x̃[прочие]) / (α·Σw[N] + Σw[Q,M] + Σw[прочие])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    — логарифмическая форма закона Ланчестера  ln F = ln Q + α·ln N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(3) Свёртка столпов (CES):  ИВМ = (Σ ω_p · P_p^ρ)^(1/ρ),  ρ = 0,5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    ρ = 1 — сумма; ρ → 0 — геометрическое среднее; ρ &lt; 0 — «слабое звено»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(4) Ядерная ось: класс 0–4 вне свёртки; режимы «ось», «столп», «множитель» (1 + 0,3·P_STR)/1,3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(5) Проекция силы (Боулдинг):  ИВМ(D) = ИВМ · e^(−D/λ),  λ = λ₀ + λ₁·P̄[роль P]</w:t>
      </w:r>
    </w:p>
    <w:p>
      <w:pPr>
        <w:shd w:fill="F2F4F0" w:color="auto" w:val="clear"/>
        <w:spacing w:after="16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(6) Перевод в условные единицы мощи:  M = exp(κ·ИВМ/100),  κ = 2,6·ln 10 ≈ 6,0</w:t>
      </w:r>
    </w:p>
    <w:p>
      <w:pPr>
        <w:spacing w:after="120" w:line="288"/>
        <w:jc w:val="both"/>
      </w:pPr>
      <w:r>
        <w:t xml:space="preserve">Неопределённость: каждому наблюдению присвоен класс достоверности (A–D) и погрешность σ; метод Монте-Карло (1 000 прогонов) варьирует данные, веса (× LogN(0; 0,15²)), ρ ∈ [0,3; 0,7] и α ∈ [0,8; 1,2]; результат — интервал ИВМ и диапазон мест. Пилот: 40 государств (20 держав и 20 участников очагов), 215 показателей в индексе, срез заполнен на 83,9% (без временной оценки ИИ — 57,4%). Итог: США 79,6 [77,2; 80,0], Китай 75,5, Россия 70,4; ранговая корреляция с экспертной оценкой 8 государств — 0,81. Чувствительность (Соболь): структура модели — 0,36 разброса, данные — 0,34.</w:t>
      </w:r>
    </w:p>
    <w:p>
      <w:pPr>
        <w:pStyle w:val="Heading2"/>
      </w:pPr>
      <w:bookmarkStart w:name="_Toc226" w:id="226"/>
      <w:r>
        <w:t xml:space="preserve">Глава 3. Законы боя на исторических сражениях</w:t>
      </w:r>
      <w:bookmarkEnd w:id="226"/>
    </w:p>
    <w:p>
      <w:pPr>
        <w:spacing w:after="120" w:line="288"/>
        <w:jc w:val="both"/>
      </w:pPr>
      <w:r>
        <w:t xml:space="preserve">Материал — база CDB90 армии США: 404 сражения 1900–1973 гг. с численностью, потерями, длительностью и экспертными факторами составителей. Все расчёты — по протоколам, зафиксированным до расчёта.</w:t>
      </w:r>
    </w:p>
    <w:p>
      <w:pPr>
        <w:shd w:fill="F2F4F0" w:color="auto" w:val="clear"/>
        <w:spacing w:after="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(7) Обобщённая модель боя:  dA/dt = −a · A^(1−α/2) · B^(α/2) + r_A(t)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                            dB/dt = −b · B^(1−α/2) · A^(α/2) + r_B(t)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    инвариант без подкреплений:  b·A^α − a·B^α = const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(8) Требуемое соотношение сил:  R = (e_B · d / e_A)^(1/α)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(9) Интенсивность боя:  ln(L/T) = c + p·ln N_противника + q·ln N_свои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(10) Множитель фактора в единицах перевеса:  экв = exp(β_фактор / β_ln(N_A/N_B))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(11) Порог воли (цензурированная логнормальная модель):  ln m* ~ N(μ, s²),</w:t>
      </w:r>
    </w:p>
    <w:p>
      <w:pPr>
        <w:shd w:fill="F2F4F0" w:color="auto" w:val="clear"/>
        <w:spacing w:after="16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     наблюдаемые потери f — нижняя граница порога для устоявшей стороны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2891"/>
        <w:gridCol w:w="3471"/>
      </w:tblGrid>
      <w:tr>
        <w:trPr>
          <w:tblHeader/>
        </w:trPr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Значение</w:t>
            </w:r>
          </w:p>
        </w:tc>
        <w:tc>
          <w:tcPr>
            <w:tcW w:type="dxa" w:w="34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Вывод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Показатель закона α (по протоколу)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0,65 [0,46; 0,84]</w:t>
            </w:r>
          </w:p>
        </w:tc>
        <w:tc>
          <w:tcPr>
            <w:tcW w:type="dxa" w:w="34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квадратичный закон (α = 2) отвергнут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α с поправкой на эффективность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0,98 [0,80; 1,18]</w:t>
            </w:r>
          </w:p>
        </w:tc>
        <w:tc>
          <w:tcPr>
            <w:tcW w:type="dxa" w:w="34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почти линейный закон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Интенсивность: p, q, p + q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0,16; 0,46; 0,62 [0,55; 0,70]</w:t>
            </w:r>
          </w:p>
        </w:tc>
        <w:tc>
          <w:tcPr>
            <w:tcW w:type="dxa" w:w="34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удвоение обеих сторон → потери в сутки × 1,54, а не × 2: в бою участвует часть сил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Руководство / мораль / снабжение / разведка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≈ 9 / 6 / 2,3 / 2,2 раза перевеса</w:t>
            </w:r>
          </w:p>
        </w:tc>
        <w:tc>
          <w:tcPr>
            <w:tcW w:type="dxa" w:w="34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качество важнее численности (верхние оценки)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Нападающие побеждают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68% сражений</w:t>
            </w:r>
          </w:p>
        </w:tc>
        <w:tc>
          <w:tcPr>
            <w:tcW w:type="dxa" w:w="34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соотношение сил почти не улучшает прогноз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Порог воли m*, медиана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16% [14; 18]</w:t>
            </w:r>
          </w:p>
        </w:tc>
        <w:tc>
          <w:tcPr>
            <w:tcW w:type="dxa" w:w="34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бой кончается сломом воли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Ступень морали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порог × 1,29 [1,12; 1,48]</w:t>
            </w:r>
          </w:p>
        </w:tc>
        <w:tc>
          <w:tcPr>
            <w:tcW w:type="dxa" w:w="34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мораль поднимает стойкость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27" w:id="227"/>
      <w:r>
        <w:t xml:space="preserve">Глава 4. Проверка на войнах и ошибка модели</w:t>
      </w:r>
      <w:bookmarkEnd w:id="227"/>
    </w:p>
    <w:p>
      <w:pPr>
        <w:spacing w:after="120" w:line="288"/>
        <w:jc w:val="both"/>
      </w:pPr>
      <w:r>
        <w:rPr>
          <w:b/>
          <w:bCs/>
        </w:rPr>
        <w:t xml:space="preserve">Калибровка по 5 войнам 2020–2026 гг.</w:t>
      </w:r>
      <w:r>
        <w:t xml:space="preserve"> (1 350 сочетаний параметров, перекрёстная проверка): параметры, лучшие в выборке, хуже умолчаний на отложенных войнах (−31,7 против −19,6) — умолчания сохранены; общего κ нет ни при одном α. </w:t>
      </w:r>
      <w:r>
        <w:rPr>
          <w:b/>
          <w:bCs/>
        </w:rPr>
        <w:t xml:space="preserve">Расширенная проверка на 10 войнах 2018–2025 гг.</w:t>
      </w:r>
      <w:r>
        <w:t xml:space="preserve"> по реестру UCDP с индексом по данным года до войны (72 одинаковых показателя): все варианты модели хуже равновероятного прогноза (−14,6); принят вариант θC (α = 1,0; d = 1,3 / 1,0 / 1,0). </w:t>
      </w:r>
      <w:r>
        <w:rPr>
          <w:b/>
          <w:bCs/>
        </w:rPr>
        <w:t xml:space="preserve">Ошибка модели:</w:t>
      </w:r>
      <w:r>
        <w:t xml:space="preserve"> σ = 2,0 в вероятности того, что перевеса хватает:</w:t>
      </w:r>
    </w:p>
    <w:p>
      <w:pPr>
        <w:shd w:fill="F2F4F0" w:color="auto" w:val="clear"/>
        <w:spacing w:after="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(12) P(перевеса хватает) = Φ( ln(r ÷ R) / σ ),  σ = 2,0</w:t>
      </w:r>
    </w:p>
    <w:p>
      <w:pPr>
        <w:shd w:fill="F2F4F0" w:color="auto" w:val="clear"/>
        <w:spacing w:after="16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(13) Логарифмическая оценка прогноза:  S = Σ ln p(наблюдённого исхода)</w:t>
      </w:r>
    </w:p>
    <w:p>
      <w:pPr>
        <w:spacing w:after="120" w:line="288"/>
        <w:jc w:val="both"/>
      </w:pPr>
      <w:r>
        <w:rPr>
          <w:b/>
          <w:bCs/>
        </w:rPr>
        <w:t xml:space="preserve">Коэффициент обороны войны России против Украины</w:t>
      </w:r>
      <w:r>
        <w:t xml:space="preserve"> по отношению потерь техники Oryx 2024–2025 гг. — d = 1,7. Сценарий «Россия против Украины» даёт соотношение 1,68 : 1 при требуемых 1,70 : 1 — позиционная война, что совпадает с действительностью (но не является независимой проверкой). </w:t>
      </w:r>
      <w:r>
        <w:rPr>
          <w:b/>
          <w:bCs/>
        </w:rPr>
        <w:t xml:space="preserve">Качество по годам</w:t>
      </w:r>
      <w:r>
        <w:t xml:space="preserve"> (расходы на военнослужащего, образование) и </w:t>
      </w:r>
      <w:r>
        <w:rPr>
          <w:b/>
          <w:bCs/>
        </w:rPr>
        <w:t xml:space="preserve">отдельная модель ударных кампаний</w:t>
      </w:r>
      <w:r>
        <w:t xml:space="preserve"> прогноз не улучшили — результаты опубликованы.</w:t>
      </w:r>
    </w:p>
    <w:p>
      <w:pPr>
        <w:pStyle w:val="Heading2"/>
      </w:pPr>
      <w:bookmarkStart w:name="_Toc228" w:id="228"/>
      <w:r>
        <w:t xml:space="preserve">Глава 5. Дроны, залпы и ПВО</w:t>
      </w:r>
      <w:bookmarkEnd w:id="228"/>
    </w:p>
    <w:p>
      <w:pPr>
        <w:shd w:fill="F2F4F0" w:color="auto" w:val="clear"/>
        <w:spacing w:after="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(14) Залповая модель Хьюза:  ΔB = (a·A − y_B·B) / w_B,   ΔA = (b·B − y_A·A) / w_A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(15) Насыщение ПВО:  доля прорыва = (1−f)·(1−p)^n + f·(1−p)^(n+1),  k̄ = n + f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     (целые перехватчики, равномерное распределение — оптимальное по arXiv 2608.31143)</w:t>
      </w:r>
    </w:p>
    <w:p>
      <w:pPr>
        <w:shd w:fill="F2F4F0" w:color="auto" w:val="clear"/>
        <w:spacing w:after="16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(16) Гипотеза о дронах:  ln r_t = c + b·x_t,  x_t = ln(выпуск Украины ÷ выпуск России)</w:t>
      </w:r>
    </w:p>
    <w:p>
      <w:pPr>
        <w:spacing w:after="120" w:line="288"/>
        <w:jc w:val="both"/>
      </w:pPr>
      <w:r>
        <w:rPr>
          <w:b/>
          <w:bCs/>
        </w:rPr>
        <w:t xml:space="preserve">Проверка гипотезы «войну дронов решает глубина производства»</w:t>
      </w:r>
      <w:r>
        <w:t xml:space="preserve"> (Gogerty, 2026) по протоколу 061ed46: отношение потерь техники России и Украины по годам — 3,20; 2,31; 2,41; 1,16. Между 2023 и 2024 гг. относительный выпуск Украины упал (x с 1,74 до 0,38), а отношение потерь не изменилось (b ≈ −0,03); прогноз на 2025 г. — 2,38 при факте 1,16, направление неверно. </w:t>
      </w:r>
      <w:r>
        <w:rPr>
          <w:b/>
          <w:bCs/>
        </w:rPr>
        <w:t xml:space="preserve">Гипотеза не поддержана.</w:t>
      </w:r>
      <w:r>
        <w:t xml:space="preserve"> Литература (RUSI, 2025; Defence Studies, 2026) указывает на лучшие входы: долетает до цели 20–40% дронов, около 90% парка расходуется за год.</w:t>
      </w:r>
    </w:p>
    <w:p>
      <w:pPr>
        <w:pStyle w:val="Heading2"/>
      </w:pPr>
      <w:bookmarkStart w:name="_Toc229" w:id="229"/>
      <w:r>
        <w:t xml:space="preserve">Глава 6. Коалиции</w:t>
      </w:r>
      <w:bookmarkEnd w:id="229"/>
    </w:p>
    <w:p>
      <w:pPr>
        <w:shd w:fill="F2F4F0" w:color="auto" w:val="clear"/>
        <w:spacing w:after="16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(17) F_коал(t) = F_свои + Σ_j ρ_j · s_j · F_j · e^(−D_j/λ_j) · g(t − τ_j)</w:t>
      </w:r>
    </w:p>
    <w:p>
      <w:pPr>
        <w:spacing w:after="120" w:line="288"/>
        <w:jc w:val="both"/>
      </w:pPr>
      <w:r>
        <w:t xml:space="preserve">ρ — надёжность союзника (классы обязательств A–F: от договора о коллективной обороне до неформальной оси), s — доля сил на театр, τ — задержка вступления. Типы вклада: войска, снабжение, разведка, территория, финансы. В коалиционных сценариях используется «автономная мощь» без столпа союзов, чтобы не учитывать союзников дважды. Сценарии: Россия против Украины (1,68 : 1 при требуемых 1,70); Израиль и США против Ирана (6,84 : 1 при 1,30); Прибалтика (окно перевеса нападающего — сутки 0–7, затем перевес НАТО).</w:t>
      </w:r>
    </w:p>
    <w:p>
      <w:pPr>
        <w:pStyle w:val="Heading2"/>
      </w:pPr>
      <w:bookmarkStart w:name="_Toc230" w:id="230"/>
      <w:r>
        <w:t xml:space="preserve">Глава 7. Монитор очагов</w:t>
      </w:r>
      <w:bookmarkEnd w:id="230"/>
    </w:p>
    <w:p>
      <w:pPr>
        <w:spacing w:after="120" w:line="288"/>
        <w:jc w:val="both"/>
      </w:pPr>
      <w:r>
        <w:t xml:space="preserve">780 пар из 40 государств × 2016–2025 гг., исход — вооружённый конфликт по UCDP, признаки прошлого года. Модель «соседство, расстояние, история, конфликт в прошлом году, демократия (V-Dem), союз» — </w:t>
      </w:r>
      <w:r>
        <w:rPr>
          <w:b/>
          <w:bCs/>
        </w:rPr>
        <w:t xml:space="preserve">AUC 0,96 вне выборки</w:t>
      </w:r>
      <w:r>
        <w:t xml:space="preserve"> (5 460 прогнозов, 38 конфликтов); начала новых конфликтов — AUC 0,75 (8 случаев). Показатели военной мощи прогноз не улучшают (−68,6 против −66,7) и в монитор не входят. Прогноз на 2026 г. опубликован в прототипе.</w:t>
      </w:r>
    </w:p>
    <w:p>
      <w:pPr>
        <w:pStyle w:val="Heading2"/>
      </w:pPr>
      <w:bookmarkStart w:name="_Toc231" w:id="231"/>
      <w:r>
        <w:t xml:space="preserve">Глава 8. Экспертная панель и программный комплекс</w:t>
      </w:r>
      <w:bookmarkEnd w:id="231"/>
    </w:p>
    <w:p>
      <w:pPr>
        <w:spacing w:after="120" w:line="288"/>
        <w:jc w:val="both"/>
      </w:pPr>
      <w:r>
        <w:rPr>
          <w:b/>
          <w:bCs/>
        </w:rPr>
        <w:t xml:space="preserve">Панель Дельфи:</w:t>
      </w:r>
      <w:r>
        <w:t xml:space="preserve"> 67 вопросов в 9 модулях компетенции, шкалы 0–4 с наблюдаемыми якорями или числа с 80%-м интервалом; коэффициент компетентности Kк ≥ 0,5; исключение оценок страны гражданства; консенсус — межквартильный размах; согласованность — W Кендалла; калибровка Кука по 12 контрольным вопросам. До итога панели 67 показателей заполнены временной оценкой ИИ (низший класс достоверности, расчёт без неё публикуется рядом).</w:t>
      </w:r>
    </w:p>
    <w:p>
      <w:pPr>
        <w:spacing w:after="120" w:line="288"/>
        <w:jc w:val="both"/>
      </w:pPr>
      <w:r>
        <w:rPr>
          <w:b/>
          <w:bCs/>
        </w:rPr>
        <w:t xml:space="preserve">Программный комплекс:</w:t>
      </w:r>
      <w:r>
        <w:t xml:space="preserve"> сбор данных из 30+ открытых источников (Python), расчётное ядро `core/lanmil` (нормировка, импутация, индекс, Монте-Карло, модель боя, коалиции, залпы, проверка, чувствительность), 37 автоматических тестов в GitHub Actions, единый файл параметров ядра и прототипа с самопроверкой, интерактивный прототип (рейтинг, профиль, сравнение, модель боя, залпы и ПВО, коалиции, монитор очагов, методика, каталог), генераторы отчётов Word и Excel.</w:t>
      </w:r>
    </w:p>
    <w:p>
      <w:pPr>
        <w:pStyle w:val="Heading1"/>
        <w:pageBreakBefore/>
      </w:pPr>
      <w:bookmarkStart w:name="_Toc232" w:id="232"/>
      <w:r>
        <w:t xml:space="preserve">3. Заключение</w:t>
      </w:r>
      <w:bookmarkEnd w:id="232"/>
    </w:p>
    <w:p>
      <w:pPr>
        <w:pStyle w:val="Heading3"/>
      </w:pPr>
      <w:r>
        <w:t xml:space="preserve">Основные выводы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Счётные рейтинги систематически ошибаются; индекс с ролями показателей, нелинейной свёрткой, ядерной осью, проекцией и интервалами устраняет эти ошибки по построению.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Квадратичный закон Ланчестера историей не подтверждается: отношение потерь почти линейно (α ≈ 1), интенсивность боя растёт медленнее численности.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Качество войск (руководство, мораль, снабжение, разведка) по силе равно многократному численному перевесу; бой заканчивается сломом воли при потерях около 16%.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Из открытых данных соотношение сил не предсказывает исход войн лучше равновероятного прогноза; модель должна нести явную ошибку, и это нужно говорить заказчику прямо.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Войну начинают не самые сильные: вероятность конфликта определяют география, история и институты.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Простая связь «выпуск дронов → отношение потерь» не подтверждается; нужны измеримые входы: расход, доля долетевших, потери от РЭБ.</w:t>
      </w:r>
    </w:p>
    <w:p>
      <w:pPr>
        <w:pStyle w:val="Heading3"/>
      </w:pPr>
      <w:r>
        <w:t xml:space="preserve">Ограничения</w:t>
      </w:r>
    </w:p>
    <w:p>
      <w:pPr>
        <w:spacing w:after="120" w:line="288"/>
        <w:jc w:val="both"/>
      </w:pPr>
      <w:r>
        <w:t xml:space="preserve">Охват — 40 государств; без лицензионных данных IISS; 67 показателей качества временно заполнены оценкой ИИ; проверочных войн мало (5–10), что ограничивает калибровку; факторы CDB90 проставлены после событий и дают верхние оценки; данные о потерях в идущих войнах смещены источниками.</w:t>
      </w:r>
    </w:p>
    <w:p>
      <w:pPr>
        <w:pStyle w:val="Heading3"/>
      </w:pPr>
      <w:r>
        <w:t xml:space="preserve">Перспективы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Открытый журнал прогнозов: первый — помесячные потери России и Украины на IV квартал 2026 г., фиксация до начала периода.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Экспертная панель Дельфи вместо оценки ИИ; расширение до 150+ государств.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Модель истощения с дронами на измеримых входах; эшелонированная ПВО (ракеты + дроны-перехватчики).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Поправка данных о потерях на смещение источников (метод Radford и др., 2023); проверка d войны на WarSpotting.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Платформа (FastAPI, React), публичный сайт на двух языках, DOI данных и препринт по сражениям CDB90.</w:t>
      </w:r>
    </w:p>
    <w:p>
      <w:pPr>
        <w:pStyle w:val="Heading1"/>
        <w:pageBreakBefore/>
      </w:pPr>
      <w:bookmarkStart w:name="_Toc233" w:id="233"/>
      <w:r>
        <w:t xml:space="preserve">4. Конкурентная среда в США</w:t>
      </w:r>
      <w:bookmarkEnd w:id="233"/>
    </w:p>
    <w:p>
      <w:pPr>
        <w:spacing w:after="120" w:line="288"/>
        <w:jc w:val="both"/>
      </w:pPr>
      <w:r>
        <w:t xml:space="preserve">Ниже — организации США, ближайшие к ИВМ по задаче. Отдельно указаны важные игроки вне США. Данные — с сайтов организаций и из прессы на 13.10.2026.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1927"/>
        <w:gridCol w:w="1734"/>
        <w:gridCol w:w="2313"/>
        <w:gridCol w:w="1930"/>
      </w:tblGrid>
      <w:tr>
        <w:trPr>
          <w:tblHeader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Организация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Продукт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Сильные стороны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Слабые стороны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Наше отличие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Global Firepower (Вирджин, Юта)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рейтинг 145 стран, 60+ факторов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охват, известность, ежегодность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формула закрыта, нет интервалов и проверки; в 2022 г. счётный разрыв России и Украины не оправдался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открытые формулы, интервалы, проверка на войнах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TENET Intelligence (Арлингтон)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MCI: 150+ стран, 200+ показателей; с 2026 г. — платформа SAGE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консультативный совет (экс-командующий НАТО, экс-руководители разведки), отзывы клиентов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ядро закрыто; квадратичный закон не проверен; журнал прогнозов закрыт; 29 из 50 адресов карты сайта — 404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закон боя измерен; проверки и промахи открыты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Heritage Foundation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Index of U.S. Military Strength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авторитет, экспертиза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только вооружённые силы США, качественная шкала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сравнение государств и коалиций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Verisk (Maplecroft)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Predictive War Index (май 2026): вероятность войны в стране на 12 мес.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бренд риск-моделирования, клиенты — банки и страховщики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машинное обучение без опубликованной проверки; обучен на 1995–2022 гг.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монитор очагов с опубликованной AUC 0,96 вне выборки и протоколом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Rhombus Power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Guardian: ИИ-поддержка решений и раннее предупреждение (ВВС США)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доступ к заказчику — Пентагону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закрытость, оборонный контур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открытая методика для гражданского и экспертного рынка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Академические проекты США (COW/CINC; Souva MMP; DOE Carroll–Kenkel)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открытые наборы данных и меры мощи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рецензируемость, длинные ряды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нет продукта, сценариев, интерфейса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продукт на проверенной методике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362"/>
      </w:tblGrid>
      <w:tr>
        <w:trPr>
          <w:tblHeader/>
        </w:trPr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Вне США</w:t>
            </w:r>
          </w:p>
        </w:tc>
        <w:tc>
          <w:tcPr>
            <w:tcW w:type="dxa" w:w="6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Чем важен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IISS Military Balance+ (Великобритания)</w:t>
            </w:r>
          </w:p>
        </w:tc>
        <w:tc>
          <w:tcPr>
            <w:tcW w:type="dxa" w:w="6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главный источник данных о вооружённых силах; лицензия нужна для расширения охвата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Janes (Великобритания)</w:t>
            </w:r>
          </w:p>
        </w:tc>
        <w:tc>
          <w:tcPr>
            <w:tcW w:type="dxa" w:w="6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базы данных по 40 тыс. воинских частей; эталон рынка данных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GlobalMilitary.net — ATLAS Index (страна не установлена)</w:t>
            </w:r>
          </w:p>
        </w:tc>
        <w:tc>
          <w:tcPr>
            <w:tcW w:type="dxa" w:w="6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169–170 стран, опубликованы веса, пример расчёта и таблица чувствительности — ближайший к нам по открытости рейтинг, но без модели боя и проверки на войнах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VIEWS (Норвегия, Швеция), ACLED</w:t>
            </w:r>
          </w:p>
        </w:tc>
        <w:tc>
          <w:tcPr>
            <w:tcW w:type="dxa" w:w="6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открытые системы раннего предупреждения о насилии; ориентир для монитора очагов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Hadean (Великобритания)</w:t>
            </w:r>
          </w:p>
        </w:tc>
        <w:tc>
          <w:tcPr>
            <w:tcW w:type="dxa" w:w="6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ИИ-симуляции боя, раунд около 15 млн $ (2025–2026), инвестор — Booz Allen Ventures</w:t>
            </w:r>
          </w:p>
        </w:tc>
      </w:tr>
    </w:tbl>
    <w:p>
      <w:pPr>
        <w:spacing w:after="120"/>
      </w:pP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Вывод для инвестора. </w:t>
      </w:r>
      <w:r>
        <w:t xml:space="preserve">рынок разделён: рейтинги — открытые, но без проверки; платформы оборонной аналитики — закрытые и дорогие. Ниша «открытый проверяемый индекс с моделью боя» свободна. Спрос подтверждают запросы ВВС США (WarMatrix — сценарии в 10 000 раз быстрее реального времени) и выход страховщиков в моделирование войн.</w:t>
      </w:r>
    </w:p>
    <w:p>
      <w:pPr>
        <w:pStyle w:val="Heading1"/>
        <w:pageBreakBefore/>
      </w:pPr>
      <w:bookmarkStart w:name="_Toc234" w:id="234"/>
      <w:r>
        <w:t xml:space="preserve">Список литературы и источников</w:t>
      </w:r>
      <w:bookmarkEnd w:id="234"/>
    </w:p>
    <w:p>
      <w:pPr>
        <w:pStyle w:val="Heading2"/>
      </w:pPr>
      <w:bookmarkStart w:name="_Toc235" w:id="235"/>
      <w:r>
        <w:t xml:space="preserve">А. Классическая теория боя</w:t>
      </w:r>
      <w:bookmarkEnd w:id="235"/>
    </w:p>
    <w:p>
      <w:pPr>
        <w:spacing w:after="60"/>
        <w:ind w:left="360" w:hanging="360"/>
        <w:jc w:val="both"/>
      </w:pPr>
      <w:r>
        <w:t xml:space="preserve">1. Осипов М. Влияние численности сражающихся сторон на их потери // Военный сборник. 1915. № 6–10.</w:t>
      </w:r>
    </w:p>
    <w:p>
      <w:pPr>
        <w:spacing w:after="60"/>
        <w:ind w:left="360" w:hanging="360"/>
        <w:jc w:val="both"/>
      </w:pPr>
      <w:r>
        <w:t xml:space="preserve">2. Lanchester F. W. Aircraft in Warfare: The Dawn of the Fourth Arm. London: Constable, 1916.</w:t>
      </w:r>
    </w:p>
    <w:p>
      <w:pPr>
        <w:spacing w:after="60"/>
        <w:ind w:left="360" w:hanging="360"/>
        <w:jc w:val="both"/>
      </w:pPr>
      <w:r>
        <w:t xml:space="preserve">3. Engel J. H. A verification of Lanchester's law // Journal of the Operations Research Society of America. 1954. Vol. 2, № 2. P. 163–171.</w:t>
      </w:r>
    </w:p>
    <w:p>
      <w:pPr>
        <w:spacing w:after="60"/>
        <w:ind w:left="360" w:hanging="360"/>
        <w:jc w:val="both"/>
      </w:pPr>
      <w:r>
        <w:t xml:space="preserve">4. Deitchman S. J. A Lanchester model of guerrilla warfare // Operations Research. 1962. Vol. 10, № 6. P. 818–827.</w:t>
      </w:r>
    </w:p>
    <w:p>
      <w:pPr>
        <w:spacing w:after="60"/>
        <w:ind w:left="360" w:hanging="360"/>
        <w:jc w:val="both"/>
      </w:pPr>
      <w:r>
        <w:t xml:space="preserve">5. Helmbold R. L. A modification of Lanchester's equations // Operations Research. 1965. Vol. 13, № 5. P. 857–859.</w:t>
      </w:r>
    </w:p>
    <w:p>
      <w:pPr>
        <w:spacing w:after="60"/>
        <w:ind w:left="360" w:hanging="360"/>
        <w:jc w:val="both"/>
      </w:pPr>
      <w:r>
        <w:t xml:space="preserve">6. Schaffer M. B. Lanchester Models of Guerrilla Engagements. RAND RM-5053-ARPA, 1967.</w:t>
      </w:r>
    </w:p>
    <w:p>
      <w:pPr>
        <w:spacing w:after="60"/>
        <w:ind w:left="360" w:hanging="360"/>
        <w:jc w:val="both"/>
      </w:pPr>
      <w:r>
        <w:t xml:space="preserve">7. Boulding K. E. Conflict and Defense: A General Theory. New York: Harper, 1962.</w:t>
      </w:r>
    </w:p>
    <w:p>
      <w:pPr>
        <w:spacing w:after="60"/>
        <w:ind w:left="360" w:hanging="360"/>
        <w:jc w:val="both"/>
      </w:pPr>
      <w:r>
        <w:t xml:space="preserve">8. Snyder G. H. The balance of power and the balance of terror // Seabury P. (ed.) The Balance of Power. San Francisco: Chandler, 1965.</w:t>
      </w:r>
    </w:p>
    <w:p>
      <w:pPr>
        <w:spacing w:after="60"/>
        <w:ind w:left="360" w:hanging="360"/>
        <w:jc w:val="both"/>
      </w:pPr>
      <w:r>
        <w:t xml:space="preserve">9. Dupuy T. N. Numbers, Predictions and War. Indianapolis: Bobbs-Merrill, 1979.</w:t>
      </w:r>
    </w:p>
    <w:p>
      <w:pPr>
        <w:spacing w:after="60"/>
        <w:ind w:left="360" w:hanging="360"/>
        <w:jc w:val="both"/>
      </w:pPr>
      <w:r>
        <w:t xml:space="preserve">10. Hughes W. P. A salvo model of warships in missile combat used to evaluate their staying power // Naval Research Logistics. 1995. Vol. 42, № 2. P. 267–289.</w:t>
      </w:r>
    </w:p>
    <w:p>
      <w:pPr>
        <w:spacing w:after="60"/>
        <w:ind w:left="360" w:hanging="360"/>
        <w:jc w:val="both"/>
      </w:pPr>
      <w:r>
        <w:t xml:space="preserve">11. Kress M., Caulkins J. P., Feichtinger G., Grass D., Seidl A. Lanchester model for three-way combat // European Journal of Operational Research. 2018. Vol. 264, № 1. P. 46–54.</w:t>
      </w:r>
    </w:p>
    <w:p>
      <w:pPr>
        <w:spacing w:after="60"/>
        <w:ind w:left="360" w:hanging="360"/>
        <w:jc w:val="both"/>
      </w:pPr>
      <w:r>
        <w:t xml:space="preserve">12. Coulson S. Lanchester modelling of intelligence in combat // IMA Journal of Management Mathematics. 2019. Vol. 30, № 2. P. 149.</w:t>
      </w:r>
    </w:p>
    <w:p>
      <w:pPr>
        <w:spacing w:after="60"/>
        <w:ind w:left="360" w:hanging="360"/>
        <w:jc w:val="both"/>
      </w:pPr>
      <w:r>
        <w:t xml:space="preserve">13. Atkinson M. P., Kress M., MacKay N. J. Targeting, deployment, and loss-tolerance in Lanchester engagements // Operations Research. 2021. doi 10.1287/opre.2020.2022.</w:t>
      </w:r>
    </w:p>
    <w:p>
      <w:pPr>
        <w:spacing w:after="60"/>
        <w:ind w:left="360" w:hanging="360"/>
        <w:jc w:val="both"/>
      </w:pPr>
      <w:r>
        <w:t xml:space="preserve">14. Шумов В. В. Учёт психологических факторов в моделях боя (конфликта) // Компьютерные исследования и моделирование. 2016. Т. 8, № 6. С. 951–964.</w:t>
      </w:r>
    </w:p>
    <w:p>
      <w:pPr>
        <w:spacing w:after="60"/>
        <w:ind w:left="360" w:hanging="360"/>
        <w:jc w:val="both"/>
      </w:pPr>
      <w:r>
        <w:t xml:space="preserve">15. Мицкевич. Методические материалы: соотношение родов войск, модель Осипова–Ланчестера. Минск: БГУИР.</w:t>
      </w:r>
    </w:p>
    <w:p>
      <w:pPr>
        <w:spacing w:after="60"/>
        <w:ind w:left="360" w:hanging="360"/>
        <w:jc w:val="both"/>
      </w:pPr>
      <w:r>
        <w:t xml:space="preserve">16. Шлейко. Метод оценки эффективности огневого поражения // Вестник КазНУ.</w:t>
      </w:r>
    </w:p>
    <w:p>
      <w:pPr>
        <w:spacing w:after="60"/>
        <w:ind w:left="360" w:hanging="360"/>
        <w:jc w:val="both"/>
      </w:pPr>
      <w:r>
        <w:t xml:space="preserve">17. Юсупов Р. М., Иванов. Российские математические модели боевых действий начала XX века // Информатика и автоматизация. 2023.</w:t>
      </w:r>
    </w:p>
    <w:p>
      <w:pPr>
        <w:spacing w:after="60"/>
        <w:ind w:left="360" w:hanging="360"/>
        <w:jc w:val="both"/>
      </w:pPr>
      <w:r>
        <w:t xml:space="preserve">18. Боевые возможности // Большая российская энциклопедия (bigenc.ru).</w:t>
      </w:r>
    </w:p>
    <w:p>
      <w:pPr>
        <w:pStyle w:val="Heading2"/>
      </w:pPr>
      <w:bookmarkStart w:name="_Toc236" w:id="236"/>
      <w:r>
        <w:t xml:space="preserve">Б. Проверка моделей боя на исторических данных</w:t>
      </w:r>
      <w:bookmarkEnd w:id="236"/>
    </w:p>
    <w:p>
      <w:pPr>
        <w:spacing w:after="60"/>
        <w:ind w:left="360" w:hanging="360"/>
        <w:jc w:val="both"/>
      </w:pPr>
      <w:r>
        <w:t xml:space="preserve">19. Bracken J. Lanchester models of the Ardennes campaign // Naval Research Logistics. 1995. Vol. 42, № 4. P. 559–577.</w:t>
      </w:r>
    </w:p>
    <w:p>
      <w:pPr>
        <w:spacing w:after="60"/>
        <w:ind w:left="360" w:hanging="360"/>
        <w:jc w:val="both"/>
      </w:pPr>
      <w:r>
        <w:t xml:space="preserve">20. Clemens S. C. The application of Lanchester models to the Battle of Kursk. 1997.</w:t>
      </w:r>
    </w:p>
    <w:p>
      <w:pPr>
        <w:spacing w:after="60"/>
        <w:ind w:left="360" w:hanging="360"/>
        <w:jc w:val="both"/>
      </w:pPr>
      <w:r>
        <w:t xml:space="preserve">21. Fricker R. D. Attrition models of the Ardennes campaign // Naval Research Logistics. 1998. Vol. 45, № 1. P. 1–22.</w:t>
      </w:r>
    </w:p>
    <w:p>
      <w:pPr>
        <w:spacing w:after="60"/>
        <w:ind w:left="360" w:hanging="360"/>
        <w:jc w:val="both"/>
      </w:pPr>
      <w:r>
        <w:t xml:space="preserve">22. Hartley D. S. Predicting Combat Effects. Linthicum: INFORMS, 2001.</w:t>
      </w:r>
    </w:p>
    <w:p>
      <w:pPr>
        <w:spacing w:after="60"/>
        <w:ind w:left="360" w:hanging="360"/>
        <w:jc w:val="both"/>
      </w:pPr>
      <w:r>
        <w:t xml:space="preserve">23. Helmbold R. L. Historical support for a mixed law Lanchestrian attrition model: Helmbold's ratio. OSTI 5087936.</w:t>
      </w:r>
    </w:p>
    <w:p>
      <w:pPr>
        <w:spacing w:after="60"/>
        <w:ind w:left="360" w:hanging="360"/>
        <w:jc w:val="both"/>
      </w:pPr>
      <w:r>
        <w:t xml:space="preserve">24. Lucas T. W., Turkes T. Fitting Lanchester equations to the battles of Kursk and Ardennes // Naval Research Logistics. 2004. Vol. 51, № 1. P. 95–116.</w:t>
      </w:r>
    </w:p>
    <w:p>
      <w:pPr>
        <w:spacing w:after="60"/>
        <w:ind w:left="360" w:hanging="360"/>
        <w:jc w:val="both"/>
      </w:pPr>
      <w:r>
        <w:t xml:space="preserve">25. Fitting Lanchester and Other Equations to the Battle of Kursk. DTIC ADA378391.</w:t>
      </w:r>
    </w:p>
    <w:p>
      <w:pPr>
        <w:spacing w:after="60"/>
        <w:ind w:left="360" w:hanging="360"/>
        <w:jc w:val="both"/>
      </w:pPr>
      <w:r>
        <w:t xml:space="preserve">26. Rubio-Campillo X. Model selection in historical research using Approximate Bayesian Computation // PLoS ONE. 2016. Vol. 11, № 1. e0146491.</w:t>
      </w:r>
    </w:p>
    <w:p>
      <w:pPr>
        <w:spacing w:after="60"/>
        <w:ind w:left="360" w:hanging="360"/>
        <w:jc w:val="both"/>
      </w:pPr>
      <w:r>
        <w:t xml:space="preserve">27. Plowes N. J. R., Adams E. S. An empirical test of Lanchester's square law: mortality during battles of the fire ant Solenopsis invicta // Proceedings of the Royal Society B. 2005. PMC1559866.</w:t>
      </w:r>
    </w:p>
    <w:p>
      <w:pPr>
        <w:spacing w:after="60"/>
        <w:ind w:left="360" w:hanging="360"/>
        <w:jc w:val="both"/>
      </w:pPr>
      <w:r>
        <w:t xml:space="preserve">28. Concepts Analysis Agency. CDB90: Database of Battles. US Army, 1990 (версия jrnold/cdb90, лицензия ODC-By).</w:t>
      </w:r>
    </w:p>
    <w:p>
      <w:pPr>
        <w:spacing w:after="60"/>
        <w:ind w:left="360" w:hanging="360"/>
        <w:jc w:val="both"/>
      </w:pPr>
      <w:r>
        <w:t xml:space="preserve">29. Chung D., Jeong B. Analyzing Russia–Ukraine war patterns based on Lanchester model using SINDy algorithm // Mathematics. 2024. Vol. 12, № 6. 851. doi 10.3390/math12060851.</w:t>
      </w:r>
    </w:p>
    <w:p>
      <w:pPr>
        <w:spacing w:after="60"/>
        <w:ind w:left="360" w:hanging="360"/>
        <w:jc w:val="both"/>
      </w:pPr>
      <w:r>
        <w:t xml:space="preserve">30. The Least Action-Augmented Lanchester Model. arXiv 2512.15058, 2025.</w:t>
      </w:r>
    </w:p>
    <w:p>
      <w:pPr>
        <w:spacing w:after="60"/>
        <w:ind w:left="360" w:hanging="360"/>
        <w:jc w:val="both"/>
      </w:pPr>
      <w:r>
        <w:t xml:space="preserve">31. Aggregate combat modeling using high-resolution simulation: the «meeting engagement» scenario as a case study. arXiv 2607.15312, 2026.</w:t>
      </w:r>
    </w:p>
    <w:p>
      <w:pPr>
        <w:pStyle w:val="Heading2"/>
      </w:pPr>
      <w:bookmarkStart w:name="_Toc237" w:id="237"/>
      <w:r>
        <w:t xml:space="preserve">В. Индексы военной и национальной мощи</w:t>
      </w:r>
      <w:bookmarkEnd w:id="237"/>
    </w:p>
    <w:p>
      <w:pPr>
        <w:spacing w:after="60"/>
        <w:ind w:left="360" w:hanging="360"/>
        <w:jc w:val="both"/>
      </w:pPr>
      <w:r>
        <w:t xml:space="preserve">32. Singer J. D., Bremer S., Stuckey J. Capability distribution, uncertainty, and major power war, 1820–1965 // Russett B. (ed.) Peace, War, and Numbers. Beverly Hills: Sage, 1972. (индекс CINC, проект Correlates of War)</w:t>
      </w:r>
    </w:p>
    <w:p>
      <w:pPr>
        <w:spacing w:after="60"/>
        <w:ind w:left="360" w:hanging="360"/>
        <w:jc w:val="both"/>
      </w:pPr>
      <w:r>
        <w:t xml:space="preserve">33. Carroll R. J., Kenkel B. Prediction, proxies, and power // American Journal of Political Science. 2019. Vol. 63, № 3. P. 577–593.</w:t>
      </w:r>
    </w:p>
    <w:p>
      <w:pPr>
        <w:spacing w:after="60"/>
        <w:ind w:left="360" w:hanging="360"/>
        <w:jc w:val="both"/>
      </w:pPr>
      <w:r>
        <w:t xml:space="preserve">34. Beckley M. The power of nations: measuring what matters // International Security. 2018. Vol. 43, № 2. P. 7–44.</w:t>
      </w:r>
    </w:p>
    <w:p>
      <w:pPr>
        <w:spacing w:after="60"/>
        <w:ind w:left="360" w:hanging="360"/>
        <w:jc w:val="both"/>
      </w:pPr>
      <w:r>
        <w:t xml:space="preserve">35. Souva M. Material military power: a country-year measure of military power, 1865–2019 // Journal of Peace Research. 2023. Vol. 60, № 6. P. 1002–1009.</w:t>
      </w:r>
    </w:p>
    <w:p>
      <w:pPr>
        <w:spacing w:after="60"/>
        <w:ind w:left="360" w:hanging="360"/>
        <w:jc w:val="both"/>
      </w:pPr>
      <w:r>
        <w:t xml:space="preserve">36. Global Firepower. 2026 Military Strength Ranking (globalfirepower.com).</w:t>
      </w:r>
    </w:p>
    <w:p>
      <w:pPr>
        <w:spacing w:after="60"/>
        <w:ind w:left="360" w:hanging="360"/>
        <w:jc w:val="both"/>
      </w:pPr>
      <w:r>
        <w:t xml:space="preserve">37. Lowy Institute. Asia Power Index 2025: Key Findings.</w:t>
      </w:r>
    </w:p>
    <w:p>
      <w:pPr>
        <w:spacing w:after="60"/>
        <w:ind w:left="360" w:hanging="360"/>
        <w:jc w:val="both"/>
      </w:pPr>
      <w:r>
        <w:t xml:space="preserve">38. BICC. Global Militarization Index 2025.</w:t>
      </w:r>
    </w:p>
    <w:p>
      <w:pPr>
        <w:spacing w:after="60"/>
        <w:ind w:left="360" w:hanging="360"/>
        <w:jc w:val="both"/>
      </w:pPr>
      <w:r>
        <w:t xml:space="preserve">39. The Heritage Foundation. 2026 Index of U.S. Military Strength.</w:t>
      </w:r>
    </w:p>
    <w:p>
      <w:pPr>
        <w:spacing w:after="60"/>
        <w:ind w:left="360" w:hanging="360"/>
        <w:jc w:val="both"/>
      </w:pPr>
      <w:r>
        <w:t xml:space="preserve">40. Credit Suisse Research Institute. The End of Globalization or a more Multipolar World? 2015.</w:t>
      </w:r>
    </w:p>
    <w:p>
      <w:pPr>
        <w:spacing w:after="60"/>
        <w:ind w:left="360" w:hanging="360"/>
        <w:jc w:val="both"/>
      </w:pPr>
      <w:r>
        <w:t xml:space="preserve">41. GlobalMilitary.net. ATLAS Index: Military Rankings Methodology (2026).</w:t>
      </w:r>
    </w:p>
    <w:p>
      <w:pPr>
        <w:spacing w:after="60"/>
        <w:ind w:left="360" w:hanging="360"/>
        <w:jc w:val="both"/>
      </w:pPr>
      <w:r>
        <w:t xml:space="preserve">42. Saaty T. L. The Analytic Hierarchy Process. New York: McGraw-Hill, 1980.</w:t>
      </w:r>
    </w:p>
    <w:p>
      <w:pPr>
        <w:spacing w:after="60"/>
        <w:ind w:left="360" w:hanging="360"/>
        <w:jc w:val="both"/>
      </w:pPr>
      <w:r>
        <w:t xml:space="preserve">43. Antipotential-potential method and weapon scores. DTIC ADA295844.</w:t>
      </w:r>
    </w:p>
    <w:p>
      <w:pPr>
        <w:spacing w:after="60"/>
        <w:ind w:left="360" w:hanging="360"/>
        <w:jc w:val="both"/>
      </w:pPr>
      <w:r>
        <w:t xml:space="preserve">44. The Dupuy Institute. Scoring weapons and aggregation in Trevor Dupuy's combat models. 2018.</w:t>
      </w:r>
    </w:p>
    <w:p>
      <w:pPr>
        <w:spacing w:after="60"/>
        <w:ind w:left="360" w:hanging="360"/>
        <w:jc w:val="both"/>
      </w:pPr>
      <w:r>
        <w:t xml:space="preserve">45. Ben-Haim Y. WEI–WUV and info-gap robustness. Technion.</w:t>
      </w:r>
    </w:p>
    <w:p>
      <w:pPr>
        <w:spacing w:after="60"/>
        <w:ind w:left="360" w:hanging="360"/>
        <w:jc w:val="both"/>
      </w:pPr>
      <w:r>
        <w:t xml:space="preserve">46. Vox Ukraine. Global Firepower — a «military ranking» without verified facts or transparent methodology. 2025.</w:t>
      </w:r>
    </w:p>
    <w:p>
      <w:pPr>
        <w:pStyle w:val="Heading2"/>
      </w:pPr>
      <w:bookmarkStart w:name="_Toc238" w:id="238"/>
      <w:r>
        <w:t xml:space="preserve">Г. Дроны, ПВО и современная война</w:t>
      </w:r>
      <w:bookmarkEnd w:id="238"/>
    </w:p>
    <w:p>
      <w:pPr>
        <w:spacing w:after="60"/>
        <w:ind w:left="360" w:hanging="360"/>
        <w:jc w:val="both"/>
      </w:pPr>
      <w:r>
        <w:t xml:space="preserve">47. Watling J., Reynolds N. Tactical Developments During the Third Year of the Russo-Ukrainian War. London: RUSI, February 2025.</w:t>
      </w:r>
    </w:p>
    <w:p>
      <w:pPr>
        <w:spacing w:after="60"/>
        <w:ind w:left="360" w:hanging="360"/>
        <w:jc w:val="both"/>
      </w:pPr>
      <w:r>
        <w:t xml:space="preserve">48. Plichta M. Precise mass in action: assessing Ukraine's one-way attack drone campaign // The RUSI Journal. 2025. Vol. 170, № 4. P. 42–48.</w:t>
      </w:r>
    </w:p>
    <w:p>
      <w:pPr>
        <w:spacing w:after="60"/>
        <w:ind w:left="360" w:hanging="360"/>
        <w:jc w:val="both"/>
      </w:pPr>
      <w:r>
        <w:t xml:space="preserve">49. Berthelsen E. Innovating at the pace of relevance: the case of Ukrainian unmanned systems // Defence Studies. 2026. doi 10.1080/14702436.2026.2692416.</w:t>
      </w:r>
    </w:p>
    <w:p>
      <w:pPr>
        <w:spacing w:after="60"/>
        <w:ind w:left="360" w:hanging="360"/>
        <w:jc w:val="both"/>
      </w:pPr>
      <w:r>
        <w:t xml:space="preserve">50. Randow C., Allaire R. H., Mastroberardino A., Luo R. Modeling drone swarms with a PDE extension of Lanchester's laws // Journal of Defense Modeling and Simulation. 2026. doi 10.1177/15485129261436073.</w:t>
      </w:r>
    </w:p>
    <w:p>
      <w:pPr>
        <w:spacing w:after="60"/>
        <w:ind w:left="360" w:hanging="360"/>
        <w:jc w:val="both"/>
      </w:pPr>
      <w:r>
        <w:t xml:space="preserve">51. Gogerty N. From Square Law to Swarm Law: A Drone-extended Lanchester Model and the New Mathematics of Attrition across Eight Conflicts. SSRN 6881358, 2026.</w:t>
      </w:r>
    </w:p>
    <w:p>
      <w:pPr>
        <w:spacing w:after="60"/>
        <w:ind w:left="360" w:hanging="360"/>
        <w:jc w:val="both"/>
      </w:pPr>
      <w:r>
        <w:t xml:space="preserve">52. Pokorny L. The Economics of Asymmetric Attrition: A Quantitative Analysis of Low-Cost Drone Warfare in the Ukraine and Iranian Shahed Programs (2022–2026). Zenodo, 2026. doi 10.5281/zenodo.18919501.</w:t>
      </w:r>
    </w:p>
    <w:p>
      <w:pPr>
        <w:spacing w:after="60"/>
        <w:ind w:left="360" w:hanging="360"/>
        <w:jc w:val="both"/>
      </w:pPr>
      <w:r>
        <w:t xml:space="preserve">53. On the problem of assigning multiple interceptors over multiple aerial threats. arXiv 2608.31143, 2026.</w:t>
      </w:r>
    </w:p>
    <w:p>
      <w:pPr>
        <w:spacing w:after="60"/>
        <w:ind w:left="360" w:hanging="360"/>
        <w:jc w:val="both"/>
      </w:pPr>
      <w:r>
        <w:t xml:space="preserve">54. Scaling and Trade-offs in Multi-agent Autonomous Systems. arXiv 2603.10743, 2026.</w:t>
      </w:r>
    </w:p>
    <w:p>
      <w:pPr>
        <w:spacing w:after="60"/>
        <w:ind w:left="360" w:hanging="360"/>
        <w:jc w:val="both"/>
      </w:pPr>
      <w:r>
        <w:t xml:space="preserve">55. Modeling Large-Scale Adversarial Swarm Engagements using Optimal Control. arXiv 2602.23323, 2026.</w:t>
      </w:r>
    </w:p>
    <w:p>
      <w:pPr>
        <w:spacing w:after="60"/>
        <w:ind w:left="360" w:hanging="360"/>
        <w:jc w:val="both"/>
      </w:pPr>
      <w:r>
        <w:t xml:space="preserve">56. Forecasting Russian Equipment Losses Using Time Series and Deep Learning Models. arXiv 2509.07813, 2025.</w:t>
      </w:r>
    </w:p>
    <w:p>
      <w:pPr>
        <w:spacing w:after="60"/>
        <w:ind w:left="360" w:hanging="360"/>
        <w:jc w:val="both"/>
      </w:pPr>
      <w:r>
        <w:t xml:space="preserve">57. Radford B. J., Dai Y., Stoehr N., Schein A., Fernández M., Sajid H. Estimating conflict losses and reporting biases // PNAS. 2023. Vol. 120, № 34. e2307372120.</w:t>
      </w:r>
    </w:p>
    <w:p>
      <w:pPr>
        <w:spacing w:after="60"/>
        <w:ind w:left="360" w:hanging="360"/>
        <w:jc w:val="both"/>
      </w:pPr>
      <w:r>
        <w:t xml:space="preserve">58. Podobnik B., Medvidovic L., Wild D., Boccaletti S. Empirical study and model of warfare dynamics: willingness to risk // Chaos. 2025. doi 10.1063/5.0277615.</w:t>
      </w:r>
    </w:p>
    <w:p>
      <w:pPr>
        <w:pStyle w:val="Heading2"/>
      </w:pPr>
      <w:bookmarkStart w:name="_Toc239" w:id="239"/>
      <w:r>
        <w:t xml:space="preserve">Д. Статистические и экспертные методы</w:t>
      </w:r>
      <w:bookmarkEnd w:id="239"/>
    </w:p>
    <w:p>
      <w:pPr>
        <w:spacing w:after="60"/>
        <w:ind w:left="360" w:hanging="360"/>
        <w:jc w:val="both"/>
      </w:pPr>
      <w:r>
        <w:t xml:space="preserve">59. Dalkey N., Helmer O. An experimental application of the Delphi method to the use of experts // Management Science. 1963. Vol. 9, № 3. P. 458–467.</w:t>
      </w:r>
    </w:p>
    <w:p>
      <w:pPr>
        <w:spacing w:after="60"/>
        <w:ind w:left="360" w:hanging="360"/>
        <w:jc w:val="both"/>
      </w:pPr>
      <w:r>
        <w:t xml:space="preserve">60. Kendall M. G., Babington Smith B. The problem of m rankings // Annals of Mathematical Statistics. 1939. Vol. 10, № 3. P. 275–287.</w:t>
      </w:r>
    </w:p>
    <w:p>
      <w:pPr>
        <w:spacing w:after="60"/>
        <w:ind w:left="360" w:hanging="360"/>
        <w:jc w:val="both"/>
      </w:pPr>
      <w:r>
        <w:t xml:space="preserve">61. Cooke R. M. Experts in Uncertainty: Opinion and Subjective Probability in Science. Oxford University Press, 1991.</w:t>
      </w:r>
    </w:p>
    <w:p>
      <w:pPr>
        <w:spacing w:after="60"/>
        <w:ind w:left="360" w:hanging="360"/>
        <w:jc w:val="both"/>
      </w:pPr>
      <w:r>
        <w:t xml:space="preserve">62. Sobol' I. M. Global sensitivity indices for nonlinear mathematical models and their Monte Carlo estimates // Mathematics and Computers in Simulation. 2001. Vol. 55. P. 271–280.</w:t>
      </w:r>
    </w:p>
    <w:p>
      <w:pPr>
        <w:spacing w:after="60"/>
        <w:ind w:left="360" w:hanging="360"/>
        <w:jc w:val="both"/>
      </w:pPr>
      <w:r>
        <w:t xml:space="preserve">63. Saltelli A. et al. Global Sensitivity Analysis: The Primer. Chichester: Wiley, 2008.</w:t>
      </w:r>
    </w:p>
    <w:p>
      <w:pPr>
        <w:spacing w:after="60"/>
        <w:ind w:left="360" w:hanging="360"/>
        <w:jc w:val="both"/>
      </w:pPr>
      <w:r>
        <w:t xml:space="preserve">64. Gneiting T., Raftery A. E. Strictly proper scoring rules, prediction, and estimation // Journal of the American Statistical Association. 2007. Vol. 102, № 477. P. 359–378.</w:t>
      </w:r>
    </w:p>
    <w:p>
      <w:pPr>
        <w:pStyle w:val="Heading2"/>
      </w:pPr>
      <w:bookmarkStart w:name="_Toc240" w:id="240"/>
      <w:r>
        <w:t xml:space="preserve">Е. Источники данных</w:t>
      </w:r>
      <w:bookmarkEnd w:id="240"/>
    </w:p>
    <w:p>
      <w:pPr>
        <w:spacing w:after="60"/>
        <w:ind w:left="360" w:hanging="360"/>
        <w:jc w:val="both"/>
      </w:pPr>
      <w:r>
        <w:t xml:space="preserve">65. SIPRI Military Expenditure Database; SIPRI Fact Sheet «Trends in World Military Expenditure, 2025» (апрель 2026); SIPRI Top-100 (декабрь 2025); SIPRI Yearbook 2026, гл. 8 «World nuclear forces»; SIPRI Arms Transfers Database (октябрь 2026).</w:t>
      </w:r>
    </w:p>
    <w:p>
      <w:pPr>
        <w:spacing w:after="60"/>
        <w:ind w:left="360" w:hanging="360"/>
        <w:jc w:val="both"/>
      </w:pPr>
      <w:r>
        <w:t xml:space="preserve">66. IISS. The Military Balance 2024–2026.</w:t>
      </w:r>
    </w:p>
    <w:p>
      <w:pPr>
        <w:spacing w:after="60"/>
        <w:ind w:left="360" w:hanging="360"/>
        <w:jc w:val="both"/>
      </w:pPr>
      <w:r>
        <w:t xml:space="preserve">67. World Bank: World Development Indicators, Worldwide Governance Indicators, Human Capital Index, Data360, Climate Change Knowledge Portal (CRU TS 4.08).</w:t>
      </w:r>
    </w:p>
    <w:p>
      <w:pPr>
        <w:spacing w:after="60"/>
        <w:ind w:left="360" w:hanging="360"/>
        <w:jc w:val="both"/>
      </w:pPr>
      <w:r>
        <w:t xml:space="preserve">68. IMF. World Economic Outlook (DataMapper).</w:t>
      </w:r>
    </w:p>
    <w:p>
      <w:pPr>
        <w:spacing w:after="60"/>
        <w:ind w:left="360" w:hanging="360"/>
        <w:jc w:val="both"/>
      </w:pPr>
      <w:r>
        <w:t xml:space="preserve">69. Our World in Data (Energy Institute Statistical Review); UN World Population Prospects 2024.</w:t>
      </w:r>
    </w:p>
    <w:p>
      <w:pPr>
        <w:spacing w:after="60"/>
        <w:ind w:left="360" w:hanging="360"/>
        <w:jc w:val="both"/>
      </w:pPr>
      <w:r>
        <w:t xml:space="preserve">70. CIA World Factbook; UCS Satellite Database (май 2023).</w:t>
      </w:r>
    </w:p>
    <w:p>
      <w:pPr>
        <w:spacing w:after="60"/>
        <w:ind w:left="360" w:hanging="360"/>
        <w:jc w:val="both"/>
      </w:pPr>
      <w:r>
        <w:t xml:space="preserve">71. Gleditsch N. P. et al. Armed conflict 1946–2001: a new dataset // Journal of Peace Research. 2002. Vol. 39, № 5. P. 615–637; UCDP/PRIO Armed Conflict Dataset, версия 26.1.</w:t>
      </w:r>
    </w:p>
    <w:p>
      <w:pPr>
        <w:spacing w:after="60"/>
        <w:ind w:left="360" w:hanging="360"/>
        <w:jc w:val="both"/>
      </w:pPr>
      <w:r>
        <w:t xml:space="preserve">72. Leeds B. A. et al. Alliance Treaty Obligations and Provisions, 1815–1944 // International Interactions. 2002. Vol. 28, № 3. P. 237–260; ATOP 5.1.</w:t>
      </w:r>
    </w:p>
    <w:p>
      <w:pPr>
        <w:spacing w:after="60"/>
        <w:ind w:left="360" w:hanging="360"/>
        <w:jc w:val="both"/>
      </w:pPr>
      <w:r>
        <w:t xml:space="preserve">73. Coppedge M. et al. V-Dem Dataset; Teorell J. et al. Quality of Government Standard Dataset (январь 2026); World Values Survey / European Values Study.</w:t>
      </w:r>
    </w:p>
    <w:p>
      <w:pPr>
        <w:spacing w:after="60"/>
        <w:ind w:left="360" w:hanging="360"/>
        <w:jc w:val="both"/>
      </w:pPr>
      <w:r>
        <w:t xml:space="preserve">74. Bjørnskov C., Rode M. Regime types and regime change: a new dataset on democracy, coups, and political institutions // Review of International Organizations. 2020. Vol. 15. P. 531–551.</w:t>
      </w:r>
    </w:p>
    <w:p>
      <w:pPr>
        <w:spacing w:after="60"/>
        <w:ind w:left="360" w:hanging="360"/>
        <w:jc w:val="both"/>
      </w:pPr>
      <w:r>
        <w:t xml:space="preserve">75. Nunn N., Puga D. Ruggedness: the blessing of bad geography in Africa // Review of Economics and Statistics. 2012. Vol. 94, № 1. P. 20–36.</w:t>
      </w:r>
    </w:p>
    <w:p>
      <w:pPr>
        <w:spacing w:after="60"/>
        <w:ind w:left="360" w:hanging="360"/>
        <w:jc w:val="both"/>
      </w:pPr>
      <w:r>
        <w:t xml:space="preserve">76. Transparency International CPI 2025; WIPO Global Innovation Index 2025; worldsteel; FAS Nuclear Notebook; ITU Global Cybersecurity Index 2024.</w:t>
      </w:r>
    </w:p>
    <w:p>
      <w:pPr>
        <w:spacing w:after="60"/>
        <w:ind w:left="360" w:hanging="360"/>
        <w:jc w:val="both"/>
      </w:pPr>
      <w:r>
        <w:t xml:space="preserve">77. ООН — Uniformed Personnel Contributions; USGS Mineral Commodity Summaries 2026; FAOSTAT; Secure World Foundation «Global Counterspace Capabilities» (2025); CSIS Missile Threat.</w:t>
      </w:r>
    </w:p>
    <w:p>
      <w:pPr>
        <w:spacing w:after="60"/>
        <w:ind w:left="360" w:hanging="360"/>
        <w:jc w:val="both"/>
      </w:pPr>
      <w:r>
        <w:t xml:space="preserve">78. Natural Earth; TeleGeography Submarine Cable Map; U.S. EIA «World Oil Transit Chokepoints»; OurAirports; UNCTADstat; UNESCO UIS; CSET «The Global Distribution of STEM Graduates» (2023); UNIDO.</w:t>
      </w:r>
    </w:p>
    <w:p>
      <w:pPr>
        <w:spacing w:after="60"/>
        <w:ind w:left="360" w:hanging="360"/>
        <w:jc w:val="both"/>
      </w:pPr>
      <w:r>
        <w:t xml:space="preserve">79. Oryx. Documenting Russian/Ukrainian Equipment Losses (снимки Internet Archive Wayback Machine, 2022–2026); WarSpotting.</w:t>
      </w:r>
    </w:p>
    <w:p>
      <w:pPr>
        <w:spacing w:after="60"/>
        <w:ind w:left="360" w:hanging="360"/>
        <w:jc w:val="both"/>
      </w:pPr>
      <w:r>
        <w:t xml:space="preserve">80. Википедия: таблицы вооружений вооружённых сил и список стран с зарубежными базами (данные IISS, GFP, Oryx в примечаниях).</w:t>
      </w:r>
    </w:p>
    <w:p>
      <w:pPr>
        <w:pStyle w:val="Heading2"/>
      </w:pPr>
      <w:bookmarkStart w:name="_Toc241" w:id="241"/>
      <w:r>
        <w:t xml:space="preserve">Ж. Хроника событий и конкурентная среда</w:t>
      </w:r>
      <w:bookmarkEnd w:id="241"/>
    </w:p>
    <w:p>
      <w:pPr>
        <w:spacing w:after="60"/>
        <w:ind w:left="360" w:hanging="360"/>
        <w:jc w:val="both"/>
      </w:pPr>
      <w:r>
        <w:t xml:space="preserve">81. Britannica «2026 Iran war»; CFR Global Conflict Tracker; International Crisis Group; ISW; Reuters, AP, Al Jazeera, PBS, Fortune, Financial Times — хроника 2025–2026 гг.</w:t>
      </w:r>
    </w:p>
    <w:p>
      <w:pPr>
        <w:spacing w:after="60"/>
        <w:ind w:left="360" w:hanging="360"/>
        <w:jc w:val="both"/>
      </w:pPr>
      <w:r>
        <w:t xml:space="preserve">82. TENET Intelligence: A Quantitative Framework for Modern Military Power: The TENET MCI; Force Size vs. Force Quality; Forecast Record (tenetintel.com, 2025–2026; копии — Wayback Machine).</w:t>
      </w:r>
    </w:p>
    <w:p>
      <w:pPr>
        <w:spacing w:after="60"/>
        <w:ind w:left="360" w:hanging="360"/>
        <w:jc w:val="both"/>
      </w:pPr>
      <w:r>
        <w:t xml:space="preserve">83. Verisk Maplecroft. Predictive War Index (май 2026) // Fortune. 14.06.2026.</w:t>
      </w:r>
    </w:p>
    <w:p>
      <w:pPr>
        <w:spacing w:after="60"/>
        <w:ind w:left="360" w:hanging="360"/>
        <w:jc w:val="both"/>
      </w:pPr>
      <w:r>
        <w:t xml:space="preserve">84. Rhombus Power. Guardian (rhombuspower.com; Federal News Network, 2023).</w:t>
      </w:r>
    </w:p>
    <w:p>
      <w:pPr>
        <w:spacing w:after="60"/>
        <w:ind w:left="360" w:hanging="360"/>
        <w:jc w:val="both"/>
      </w:pPr>
      <w:r>
        <w:t xml:space="preserve">85. Johns Hopkins APL. GenWar Lab (2025); U.S. Air Force RFI «WarMatrix Ecosystem» (2025).</w:t>
      </w:r>
    </w:p>
    <w:p>
      <w:pPr>
        <w:spacing w:after="60"/>
        <w:ind w:left="360" w:hanging="360"/>
        <w:jc w:val="both"/>
      </w:pPr>
      <w:r>
        <w:t xml:space="preserve">86. VIEWS — Violence &amp; Impacts Early-Warning System (PRIO, Uppsala University); ACLED Conflict Index 2026.</w:t>
      </w:r>
    </w:p>
    <w:p>
      <w:pPr>
        <w:spacing w:after="100"/>
      </w:pPr>
      <w:r>
        <w:rPr>
          <w:color w:val="5F6761"/>
          <w:sz w:val="18"/>
          <w:szCs w:val="18"/>
        </w:rPr>
        <w:t xml:space="preserve">Всего источников: 86. Ссылки на страницы и наборы данных — в документах 1–8 и в docs/*.md проекта.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7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761"/>
        <w:sz w:val="16"/>
        <w:szCs w:val="16"/>
      </w:rPr>
      <w:t xml:space="preserve"> / </w:t>
    </w:r>
    <w:r>
      <w:rPr>
        <w:color w:val="5F67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761"/>
        <w:sz w:val="16"/>
        <w:szCs w:val="16"/>
      </w:rPr>
      <w:t xml:space="preserve">ИВМ «Ланчестер–Осипов» · Автореферат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1B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1F1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9F2F2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1A1F1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ИВМ «Ланчестер–Осипов» · Автореферат</dc:title>
  <dc:creator>ИВМ «Ланчестер–Осипов»</dc:creator>
  <cp:lastModifiedBy>Un-named</cp:lastModifiedBy>
  <cp:revision>1</cp:revision>
  <dcterms:created xsi:type="dcterms:W3CDTF">2026-10-19T18:01:29.509Z</dcterms:created>
  <dcterms:modified xsi:type="dcterms:W3CDTF">2026-10-19T18:01:29.509Z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