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9F2F27"/>
          <w:spacing w:val="40"/>
          <w:sz w:val="22"/>
          <w:szCs w:val="22"/>
        </w:rPr>
        <w:t xml:space="preserve">ИВМ «ЛАНЧЕСТЕР–ОСИПОВ»</w:t>
      </w:r>
    </w:p>
    <w:p>
      <w:pPr>
        <w:pBdr>
          <w:bottom w:val="single" w:color="9F2F27" w:sz="12" w:space="6"/>
        </w:pBdr>
        <w:spacing w:after="300" w:before="200"/>
      </w:pPr>
      <w:r>
        <w:rPr>
          <w:b/>
          <w:bCs/>
          <w:color w:val="1A1F1B"/>
          <w:sz w:val="52"/>
          <w:szCs w:val="52"/>
        </w:rPr>
        <w:t xml:space="preserve">Пилот на 40 государствах</w:t>
      </w:r>
    </w:p>
    <w:p>
      <w:pPr>
        <w:spacing w:after="400"/>
      </w:pPr>
      <w:r>
        <w:rPr>
          <w:color w:val="5F6761"/>
          <w:sz w:val="28"/>
          <w:szCs w:val="28"/>
        </w:rPr>
        <w:t xml:space="preserve">Сбор открытых данных, расчётное ядро индекса, проверка на войнах 2020–2026 гг. и анализ чувствительности</w:t>
      </w:r>
    </w:p>
    <w:p>
      <w:pPr>
        <w:spacing w:after="80"/>
      </w:pPr>
      <w:r>
        <w:rPr>
          <w:color w:val="1A1F1B"/>
          <w:sz w:val="22"/>
          <w:szCs w:val="22"/>
        </w:rPr>
        <w:t xml:space="preserve">Документ 6 · Пилот и ядро</w:t>
      </w:r>
    </w:p>
    <w:p>
      <w:pPr>
        <w:spacing w:after="80"/>
      </w:pPr>
      <w:r>
        <w:rPr>
          <w:color w:val="1A1F1B"/>
          <w:sz w:val="22"/>
          <w:szCs w:val="22"/>
        </w:rPr>
        <w:t xml:space="preserve">Методика ИВМ-Л 0.1 (пилот, октябрь 2026); хэш снимка данных 9e0c5c34c697ec23</w:t>
      </w:r>
    </w:p>
    <w:p>
      <w:pPr>
        <w:spacing w:before="1800"/>
      </w:pPr>
      <w:r>
        <w:rPr>
          <w:color w:val="5F6761"/>
          <w:sz w:val="20"/>
          <w:szCs w:val="20"/>
        </w:rPr>
        <w:t xml:space="preserve">Срез данных: октябрь 2026 г. · Открытые источники</w:t>
      </w:r>
    </w:p>
    <w:p>
      <w:r>
        <w:rPr>
          <w:color w:val="5F6761"/>
          <w:sz w:val="20"/>
          <w:szCs w:val="20"/>
        </w:rPr>
        <w:t xml:space="preserve">Программа оценки военной мощи государств · проектная документация</w:t>
      </w:r>
    </w:p>
    <w:p>
      <w:pPr>
        <w:pageBreakBefore/>
        <w:spacing w:after="200"/>
      </w:pPr>
      <w:r>
        <w:rPr>
          <w:b/>
          <w:bCs/>
          <w:color w:val="1A1F1B"/>
          <w:sz w:val="34"/>
          <w:szCs w:val="34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35">
            <w:r>
              <w:t xml:space="preserve">Резюме</w:t>
            </w:r>
            <w:r>
              <w:tab/>
            </w:r>
            <w:r>
              <w:fldChar w:fldCharType="begin" w:dirty="true"/>
              <w:instrText xml:space="preserve">PAGEREF _Toc135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6">
            <w:r>
              <w:t xml:space="preserve">1. Данные пилота</w:t>
            </w:r>
            <w:r>
              <w:tab/>
            </w:r>
            <w:r>
              <w:fldChar w:fldCharType="begin" w:dirty="true"/>
              <w:instrText xml:space="preserve">PAGEREF _Toc136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7">
            <w:r>
              <w:t xml:space="preserve">1.1. Состав</w:t>
            </w:r>
            <w:r>
              <w:tab/>
            </w:r>
            <w:r>
              <w:fldChar w:fldCharType="begin" w:dirty="true"/>
              <w:instrText xml:space="preserve">PAGEREF _Toc137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8">
            <w:r>
              <w:t xml:space="preserve">1.2. Источники</w:t>
            </w:r>
            <w:r>
              <w:tab/>
            </w:r>
            <w:r>
              <w:fldChar w:fldCharType="begin" w:dirty="true"/>
              <w:instrText xml:space="preserve">PAGEREF _Toc138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9">
            <w:r>
              <w:t xml:space="preserve">1.3. Заполненность</w:t>
            </w:r>
            <w:r>
              <w:tab/>
            </w:r>
            <w:r>
              <w:fldChar w:fldCharType="begin" w:dirty="true"/>
              <w:instrText xml:space="preserve">PAGEREF _Toc139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0">
            <w:r>
              <w:t xml:space="preserve">1.4. Качество парков по составу ВВТ</w:t>
            </w:r>
            <w:r>
              <w:tab/>
            </w:r>
            <w:r>
              <w:fldChar w:fldCharType="begin" w:dirty="true"/>
              <w:instrText xml:space="preserve">PAGEREF _Toc140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1">
            <w:r>
              <w:t xml:space="preserve">1.5. Экспертные показатели: объективные замещающие измерители</w:t>
            </w:r>
            <w:r>
              <w:tab/>
            </w:r>
            <w:r>
              <w:fldChar w:fldCharType="begin" w:dirty="true"/>
              <w:instrText xml:space="preserve">PAGEREF _Toc141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2">
            <w:r>
              <w:t xml:space="preserve">1.6. Экспертная оценка ИИ (временная)</w:t>
            </w:r>
            <w:r>
              <w:tab/>
            </w:r>
            <w:r>
              <w:fldChar w:fldCharType="begin" w:dirty="true"/>
              <w:instrText xml:space="preserve">PAGEREF _Toc142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3">
            <w:r>
              <w:t xml:space="preserve">2. Расчётное ядро</w:t>
            </w:r>
            <w:r>
              <w:tab/>
            </w:r>
            <w:r>
              <w:fldChar w:fldCharType="begin" w:dirty="true"/>
              <w:instrText xml:space="preserve">PAGEREF _Toc143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4">
            <w:r>
              <w:t xml:space="preserve">2.1. Этапы</w:t>
            </w:r>
            <w:r>
              <w:tab/>
            </w:r>
            <w:r>
              <w:fldChar w:fldCharType="begin" w:dirty="true"/>
              <w:instrText xml:space="preserve">PAGEREF _Toc144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5">
            <w:r>
              <w:t xml:space="preserve">2.2. Модель боя и коалиции</w:t>
            </w:r>
            <w:r>
              <w:tab/>
            </w:r>
            <w:r>
              <w:fldChar w:fldCharType="begin" w:dirty="true"/>
              <w:instrText xml:space="preserve">PAGEREF _Toc145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6">
            <w:r>
              <w:t xml:space="preserve">2.3. Тесты</w:t>
            </w:r>
            <w:r>
              <w:tab/>
            </w:r>
            <w:r>
              <w:fldChar w:fldCharType="begin" w:dirty="true"/>
              <w:instrText xml:space="preserve">PAGEREF _Toc146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7">
            <w:r>
              <w:t xml:space="preserve">3. Рейтинг 40 государств</w:t>
            </w:r>
            <w:r>
              <w:tab/>
            </w:r>
            <w:r>
              <w:fldChar w:fldCharType="begin" w:dirty="true"/>
              <w:instrText xml:space="preserve">PAGEREF _Toc147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8">
            <w:r>
              <w:t xml:space="preserve">4. Сверка с экспертной оценкой</w:t>
            </w:r>
            <w:r>
              <w:tab/>
            </w:r>
            <w:r>
              <w:fldChar w:fldCharType="begin" w:dirty="true"/>
              <w:instrText xml:space="preserve">PAGEREF _Toc148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9">
            <w:r>
              <w:t xml:space="preserve">5. Проверка на войнах 2020–2026 гг.</w:t>
            </w:r>
            <w:r>
              <w:tab/>
            </w:r>
            <w:r>
              <w:fldChar w:fldCharType="begin" w:dirty="true"/>
              <w:instrText xml:space="preserve">PAGEREF _Toc149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0">
            <w:r>
              <w:t xml:space="preserve">5.1. Экспертная оценка 8 стран</w:t>
            </w:r>
            <w:r>
              <w:tab/>
            </w:r>
            <w:r>
              <w:fldChar w:fldCharType="begin" w:dirty="true"/>
              <w:instrText xml:space="preserve">PAGEREF _Toc150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1">
            <w:r>
              <w:t xml:space="preserve">5.2. Пилот, 40 стран</w:t>
            </w:r>
            <w:r>
              <w:tab/>
            </w:r>
            <w:r>
              <w:fldChar w:fldCharType="begin" w:dirty="true"/>
              <w:instrText xml:space="preserve">PAGEREF _Toc151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2">
            <w:r>
              <w:t xml:space="preserve">5.3. Что изменила вторая очередь данных</w:t>
            </w:r>
            <w:r>
              <w:tab/>
            </w:r>
            <w:r>
              <w:fldChar w:fldCharType="begin" w:dirty="true"/>
              <w:instrText xml:space="preserve">PAGEREF _Toc152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3">
            <w:r>
              <w:t xml:space="preserve">6. Чувствительность</w:t>
            </w:r>
            <w:r>
              <w:tab/>
            </w:r>
            <w:r>
              <w:fldChar w:fldCharType="begin" w:dirty="true"/>
              <w:instrText xml:space="preserve">PAGEREF _Toc153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4">
            <w:r>
              <w:t xml:space="preserve">7. Калибровка параметров по проверочным случаям</w:t>
            </w:r>
            <w:r>
              <w:tab/>
            </w:r>
            <w:r>
              <w:fldChar w:fldCharType="begin" w:dirty="true"/>
              <w:instrText xml:space="preserve">PAGEREF _Toc154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5">
            <w:r>
              <w:t xml:space="preserve">7.1. Протокол</w:t>
            </w:r>
            <w:r>
              <w:tab/>
            </w:r>
            <w:r>
              <w:fldChar w:fldCharType="begin" w:dirty="true"/>
              <w:instrText xml:space="preserve">PAGEREF _Toc155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6">
            <w:r>
              <w:t xml:space="preserve">7.2. Результат</w:t>
            </w:r>
            <w:r>
              <w:tab/>
            </w:r>
            <w:r>
              <w:fldChar w:fldCharType="begin" w:dirty="true"/>
              <w:instrText xml:space="preserve">PAGEREF _Toc156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7">
            <w:r>
              <w:t xml:space="preserve">7.3. Определимость параметров</w:t>
            </w:r>
            <w:r>
              <w:tab/>
            </w:r>
            <w:r>
              <w:fldChar w:fldCharType="begin" w:dirty="true"/>
              <w:instrText xml:space="preserve">PAGEREF _Toc157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8">
            <w:r>
              <w:t xml:space="preserve">7.4. Противоречие между случаями</w:t>
            </w:r>
            <w:r>
              <w:tab/>
            </w:r>
            <w:r>
              <w:fldChar w:fldCharType="begin" w:dirty="true"/>
              <w:instrText xml:space="preserve">PAGEREF _Toc158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9">
            <w:r>
              <w:t xml:space="preserve">7.5. Параметры модели боя по историческим сражениям</w:t>
            </w:r>
            <w:r>
              <w:tab/>
            </w:r>
            <w:r>
              <w:fldChar w:fldCharType="begin" w:dirty="true"/>
              <w:instrText xml:space="preserve">PAGEREF _Toc159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0">
            <w:r>
              <w:t xml:space="preserve">7.6. Расширенная проверка: 10 войн 2018–2025 гг. по данным своего года</w:t>
            </w:r>
            <w:r>
              <w:tab/>
            </w:r>
            <w:r>
              <w:fldChar w:fldCharType="begin" w:dirty="true"/>
              <w:instrText xml:space="preserve">PAGEREF _Toc160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1">
            <w:r>
              <w:t xml:space="preserve">7.7. Решение: α = 1,0, d по сражениям, d войны на Украине — по её потерям</w:t>
            </w:r>
            <w:r>
              <w:tab/>
            </w:r>
            <w:r>
              <w:fldChar w:fldCharType="begin" w:dirty="true"/>
              <w:instrText xml:space="preserve">PAGEREF _Toc161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2">
            <w:r>
              <w:t xml:space="preserve">7.8. Ошибка модели</w:t>
            </w:r>
            <w:r>
              <w:tab/>
            </w:r>
            <w:r>
              <w:fldChar w:fldCharType="begin" w:dirty="true"/>
              <w:instrText xml:space="preserve">PAGEREF _Toc162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3">
            <w:r>
              <w:t xml:space="preserve">7.9. Качество по годам и модель ударных кампаний</w:t>
            </w:r>
            <w:r>
              <w:tab/>
            </w:r>
            <w:r>
              <w:fldChar w:fldCharType="begin" w:dirty="true"/>
              <w:instrText xml:space="preserve">PAGEREF _Toc163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4">
            <w:r>
              <w:t xml:space="preserve">7.10. Монитор очагов: вероятность конфликта в паре государств</w:t>
            </w:r>
            <w:r>
              <w:tab/>
            </w:r>
            <w:r>
              <w:fldChar w:fldCharType="begin" w:dirty="true"/>
              <w:instrText xml:space="preserve">PAGEREF _Toc164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65">
            <w:r>
              <w:t xml:space="preserve">8. Выводы и следующие шаги</w:t>
            </w:r>
            <w:r>
              <w:tab/>
            </w:r>
            <w:r>
              <w:fldChar w:fldCharType="begin" w:dirty="true"/>
              <w:instrText xml:space="preserve">PAGEREF _Toc165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66">
            <w:r>
              <w:t xml:space="preserve">Источники</w:t>
            </w:r>
            <w:r>
              <w:tab/>
            </w:r>
            <w:r>
              <w:fldChar w:fldCharType="begin" w:dirty="true"/>
              <w:instrText xml:space="preserve">PAGEREF _Toc166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00"/>
      </w:pPr>
      <w:r>
        <w:rPr>
          <w:color w:val="5F6761"/>
          <w:sz w:val="18"/>
          <w:szCs w:val="18"/>
        </w:rPr>
        <w:t xml:space="preserve">Если номера страниц не видны, нажмите F9 в Word (обновить поле) или правой кнопкой по оглавлению → «Обновить поле».</w:t>
      </w:r>
    </w:p>
    <w:p>
      <w:pPr>
        <w:pStyle w:val="Heading1"/>
        <w:pageBreakBefore/>
      </w:pPr>
      <w:bookmarkStart w:name="_Toc135" w:id="135"/>
      <w:r>
        <w:t xml:space="preserve">Резюме</w:t>
      </w:r>
      <w:bookmarkEnd w:id="135"/>
    </w:p>
    <w:p>
      <w:pPr>
        <w:spacing w:after="120" w:line="288"/>
        <w:jc w:val="both"/>
      </w:pPr>
      <w:r>
        <w:t xml:space="preserve">Пилот проверяет, можно ли посчитать индекс военной мощи по 253 показателям на открытых данных и насколько результат совпадает с экспертной оценкой и с исходами реальных войн. Взяты 40 государств: 20 крупнейших военных держав и 20 участников очагов из документа 4. Срез — 2025 г., панель — 2015–2025 гг.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Данные.</w:t>
      </w:r>
      <w:r>
        <w:t xml:space="preserve"> Автоматически собраны значения по 83,9% ячеек «страна × показатель» (8 494 из 10 120): открытая статистика заполнена на 91%, блок IISS — на 67%, показатели OSINT — на 69%, экспертные — 99% (для них подготовлен шаблон).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Качество — вторая очередь данных.</w:t>
      </w:r>
      <w:r>
        <w:t xml:space="preserve"> Справочник образцов ВВТ превращает таблицы Википедии в доли современных танков, БМП и БТР, средний возраст танкового и авиапарка и число высокоточных пусковых установок; добавлены дивизионы ЗРК большой дальности, шкалы ПРО, СПРН, гиперзвукового и противоспутникового оружия, индекс кибербезопасности ITU, миротворцы ООН, титан и редкоземельные металлы USGS, продовольственная самодостаточность FAO. Показателей в индексе стало 215 вместо 107.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Третья очередь открытых источников (13.10.2026).</w:t>
      </w:r>
      <w:r>
        <w:t xml:space="preserve"> 10 прежде пустых структурных показателей: союзники по договорам о взаимной обороне, партнёры и получатели поставок оружия (SIPRI), зарубежные базы, защитный рельеф и климат, аэродромы с длинными ВПП, судостроение, выпуск STEM-специалистов, машиностроение. Рейтинг сдвинулся не больше чем на балл: эти показатели почти не связаны с расхождением с экспертами.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Ядро.</w:t>
      </w:r>
      <w:r>
        <w:t xml:space="preserve"> Пакет `core/lanmil` считает индекс по той же схеме, что прототип и документы 1–3. В индекс вошли 215 показателей, по которым есть данные хотя бы у половины стран; 26 тестов свойств формул и обработки экспертной панели проходят, в том числе совпадение с аналитическим решением квадратичного закона Ланчестера до 0,1%.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Рейтинг.</w:t>
      </w:r>
      <w:r>
        <w:t xml:space="preserve"> США 79,7, Китай 75,6, Россия 70,5; затем плотная группа из семи стран от 50 до 55 баллов, места которых статистически неразличимы.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Экспертные показатели — объективными измерителями.</w:t>
      </w:r>
      <w:r>
        <w:t xml:space="preserve"> Баллы экспертов заменены измеримыми величинами из открытых баз там, где они отражают то же явление (13 показателей: готовность воевать и доверие армии по WVS, боевой опыт по UCDP, доля отечественного ВВТ, стратегическая глубина по ГИС и др.). Для 67 экспертных показателей объективного измерителя нет: до проведения экспертной панели (документ 7) они временно заполнены экспертной оценкой ИИ — класс D, с интервалами, низший приоритет источника (раздел 1.6).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Сверка с экспертами.</w:t>
      </w:r>
      <w:r>
        <w:t xml:space="preserve"> Ранговая корреляция с экспертной оценкой 8 стран — 0,81. Пилот систематически завышает крупные армии и занижает небольшие качественные: доли современной техники уже учтены, но подготовки, исправности, мотивации и боевого опыта в нём по-прежнему нет.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Проверка на войнах.</w:t>
      </w:r>
      <w:r>
        <w:t xml:space="preserve"> Экспертная оценка верна в 2 из 2 случаях по балансу сил и в 2 из 2 по исходу кампаний; пилот — в 2 из 5 и 2 из 3. Перевес России над Украиной в пилоте снизился с 5,9 до 2,52 : 1, но всё ещё вдвое выше экспертного (1,68 : 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Главный вывод.</w:t>
      </w:r>
      <w:r>
        <w:t xml:space="preserve"> Автоматический сбор исчерпал большую часть открытых источников. Дальнейший прирост точности даст не настройка весов (по Соболю они объясняют лишь малую долю разброса), а экспертные показатели подготовки, исправности и мотивации.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Калибровка (раздел 7).</w:t>
      </w:r>
      <w:r>
        <w:t xml:space="preserve"> Перебор 1350 сочетаний α, ρ, κ и весов с перекрёстной проверкой: подобранные параметры предсказывают отложенную войну хуже параметров по умолчанию (−31,71 против −19,59), поэтому умолчания остаются. Россия — Украина и малые войны требуют противоположного κ — общего значения нет; вероятностные прогнозы модели хуже простых ориентиров из-за излишней уверенности.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Независимая проверка (разделы 7.5–7.6).</w:t>
      </w:r>
      <w:r>
        <w:t xml:space="preserve"> По 404 сражениям 1900–1973 гг. квадратичный закон не подтверждается (α = 0,65, с поправкой на эффективность ≈ 1), а численность почти не предсказывает победу. На 10 войнах 2018–2025 гг., отобранных по реестру UCDP и посчитанных по данным года до начала войны, все варианты параметров хуже равновероятного прогноза: восстановимый по годам индекс переоценивает массовые армии. Лучший из заданных заранее вариантов — α 1,0 и d около 1 (по сражениям).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Решение (раздел 7.7).</w:t>
      </w:r>
      <w:r>
        <w:t xml:space="preserve"> С 13.10.2026 α = 1,0, d = 1,3 (поспешная оборона, удары) и 1,0 (подготовленная и укреплённая); d войны России и Украины измерен по отношению потерь техники за 2024–2025 гг. (Oryx) — 1,70.</w:t>
      </w:r>
    </w:p>
    <w:p>
      <w:pPr>
        <w:pStyle w:val="Heading1"/>
        <w:pageBreakBefore/>
      </w:pPr>
      <w:bookmarkStart w:name="_Toc136" w:id="136"/>
      <w:r>
        <w:t xml:space="preserve">1. Данные пилота</w:t>
      </w:r>
      <w:bookmarkEnd w:id="136"/>
    </w:p>
    <w:p>
      <w:pPr>
        <w:pStyle w:val="Heading2"/>
      </w:pPr>
      <w:bookmarkStart w:name="_Toc137" w:id="137"/>
      <w:r>
        <w:t xml:space="preserve">1.1. Состав</w:t>
      </w:r>
      <w:bookmarkEnd w:id="137"/>
    </w:p>
    <w:p>
      <w:pPr>
        <w:spacing w:after="120" w:line="288"/>
        <w:jc w:val="both"/>
      </w:pPr>
      <w:r>
        <w:t xml:space="preserve">Державы: США, Китай, Россия, Индия, Великобритания, Франция, Германия, Япония, Республика Корея, Италия, Турция, Израиль, Иран, Пакистан, Украина, Польша, Саудовская Аравия, Египет, Бразилия, Австралия.</w:t>
      </w:r>
    </w:p>
    <w:p>
      <w:pPr>
        <w:spacing w:after="120" w:line="288"/>
        <w:jc w:val="both"/>
      </w:pPr>
      <w:r>
        <w:t xml:space="preserve">Участники очагов: Тайвань, КНДР, Филиппины, Вьетнам, Индонезия, Таиланд, Камбоджа, Афганистан, Эфиопия, Эритрея, ДР Конго, Руанда, Белоруссия, Азербайджан, Армения, Греция, Сербия, Венесуэла, Финляндия, Швеция.</w:t>
      </w:r>
    </w:p>
    <w:p>
      <w:pPr>
        <w:pStyle w:val="Heading2"/>
      </w:pPr>
      <w:bookmarkStart w:name="_Toc138" w:id="138"/>
      <w:r>
        <w:t xml:space="preserve">1.2. Источники</w:t>
      </w:r>
      <w:bookmarkEnd w:id="13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6087"/>
        <w:gridCol w:w="914"/>
      </w:tblGrid>
      <w:tr>
        <w:trPr>
          <w:tblHeader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Что даёт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Всемирный банк (WDI, WGI, HCI)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экономика, демография, военные расходы и численность (ряды SIPRI и IISS в WDI), управление, машиностроение (UNIDO), лесистость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A–B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МВФ, World Economic Outlook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ВВП, ППС, рост, госдолг, инфляция, бюджет; включая Тайвань (API закрыт, данные получены через Firecrawl)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SIPRI: Milex 2026, Top-100, Yearbook 2026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военные расходы 1949–2025, выручка ОПК, ядерные арсеналы на январь 2026 г.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Our World in Data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энергетика (Energy Institute), медианный возраст и население (ООН)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CIA World Factbook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железные дороги, аэропорты, порты, торговый флот, границы, призыв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UCS Satellite Database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военные спутники по назначению (на 1 мая 2023 г.)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UCDP/PRIO ACD 26.1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опыт межгосударственных и внутренних конфликтов по 2025 г.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Википедия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личный состав по IISS Military Balance, индекс коррупции TI, сталь, GII, орбитальные запуски, таблицы ВВТ (разбор скриптом)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A–C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Global Firepower 2026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запасы техники, флот, автодороги и водные пути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Справочник образцов ВВТ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год принятия и поколение танков, БМП, БТР, РСЗО и боевых самолётов → доли современной техники, возраст парков, высокоточные пусковые (по таблицам Википедии)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Oryx (через примечания Википедии)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состав потерь России по модификациям — замещающая оценка состава парка, где модификации не указаны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ITU (через World Bank Data360)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Глобальный индекс кибербезопасности 2020 и 2024 гг.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ООН, Департамент операций мира (HDX)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миротворцы: среднегодовая численность по странам, 2015–2025 гг.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USGS Mineral Commodity Summaries 2026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титановая губка и редкоземельные металлы, 2024–2025 гг.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FAOSTAT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зависимость от импорта зерна (среднее за 3 года)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SIPRI Arms Transfers Database (API)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партнёры по поставкам крупных вооружений и государства-получатели, 2021–2025 гг.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Справочник договоров о взаимной обороне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союзники по договорам: НАТО, ЕС (ст. 42.7), ОДКБ, двусторонние договоры США, договор Рио, Лига арабских государств, SADC и др. (тексты договоров, ATOP)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A–C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Википедия: зарубежные военные базы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число стран размещения баз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Nunn–Puga, CRU TS (ВБ CCKP)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доля сильно пересечённого рельефа и лесов; месяцы, неблагоприятные для наступления (климатология 1991–2020)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OurAirports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аэродромы с твёрдой ВПП от 2400 м, включая гражданские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UNCTAD, ЮНЕСКО UIS, CSET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гражданское судостроение (тыс. GT в год) как мощность верфей; выпуск STEM-специалистов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B–C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Ручная таблица OSINT</w:t>
            </w:r>
          </w:p>
        </w:tc>
        <w:tc>
          <w:tcPr>
            <w:tcW w:type="dxa" w:w="6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ядерные носители (FAS), союзы, выход к океану, истребители 5-го поколения; шкалы ПРО, СПРН, гиперзвукового и противоспутникового оружия (IISS, CSIS, Secure World Foundation); дивизионы ЗРК большой дальности</w:t>
            </w:r>
          </w:p>
        </w:tc>
        <w:tc>
          <w:tcPr>
            <w:tcW w:type="dxa" w:w="9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B–D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5F6761"/>
          <w:sz w:val="18"/>
          <w:szCs w:val="18"/>
        </w:rPr>
        <w:t xml:space="preserve">Классы достоверности: A — официальная статистика, B — исследовательская база с методикой, C — агрегатор открытых источников или пересчёт, D — экспертная оценка.</w:t>
      </w:r>
    </w:p>
    <w:p>
      <w:pPr>
        <w:pStyle w:val="Heading2"/>
      </w:pPr>
      <w:bookmarkStart w:name="_Toc139" w:id="139"/>
      <w:r>
        <w:t xml:space="preserve">1.3. Заполненность</w:t>
      </w:r>
      <w:bookmarkEnd w:id="13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09"/>
        <w:gridCol w:w="2410"/>
      </w:tblGrid>
      <w:tr>
        <w:trPr>
          <w:tblHeader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Класс значения</w:t>
            </w:r>
          </w:p>
        </w:tc>
        <w:tc>
          <w:tcPr>
            <w:tcW w:type="dxa" w:w="240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Ячеек</w:t>
            </w:r>
          </w:p>
        </w:tc>
        <w:tc>
          <w:tcPr>
            <w:tcW w:type="dxa" w:w="24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Доля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</w:t>
            </w:r>
          </w:p>
        </w:tc>
        <w:tc>
          <w:tcPr>
            <w:tcW w:type="dxa" w:w="240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1427</w:t>
            </w:r>
          </w:p>
        </w:tc>
        <w:tc>
          <w:tcPr>
            <w:tcW w:type="dxa" w:w="24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17%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B</w:t>
            </w:r>
          </w:p>
        </w:tc>
        <w:tc>
          <w:tcPr>
            <w:tcW w:type="dxa" w:w="240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1186</w:t>
            </w:r>
          </w:p>
        </w:tc>
        <w:tc>
          <w:tcPr>
            <w:tcW w:type="dxa" w:w="24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14%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</w:t>
            </w:r>
          </w:p>
        </w:tc>
        <w:tc>
          <w:tcPr>
            <w:tcW w:type="dxa" w:w="240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3070</w:t>
            </w:r>
          </w:p>
        </w:tc>
        <w:tc>
          <w:tcPr>
            <w:tcW w:type="dxa" w:w="24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36%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D</w:t>
            </w:r>
          </w:p>
        </w:tc>
        <w:tc>
          <w:tcPr>
            <w:tcW w:type="dxa" w:w="240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2772</w:t>
            </w:r>
          </w:p>
        </w:tc>
        <w:tc>
          <w:tcPr>
            <w:tcW w:type="dxa" w:w="24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33%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 WB AG.LND.FRST.ZS"</w:t>
            </w:r>
          </w:p>
        </w:tc>
        <w:tc>
          <w:tcPr>
            <w:tcW w:type="dxa" w:w="240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39</w:t>
            </w:r>
          </w:p>
        </w:tc>
        <w:tc>
          <w:tcPr>
            <w:tcW w:type="dxa" w:w="241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0%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Из 253 показателей у 22 данных нет ни по одной стране: это экспертные баллы, производственные и операционные показатели OSINT (выпуск снарядов и дронов, налёт, ходовые дни) и часть показателей IISS, которых нет в открытых таблицах (силы специальных операций, дивизионы ЗРК, ячейки вертикального пуска, средний возраст парков). Для них сформирован шаблон ручного ввода на 1 268 ячеек. Показатели качества (роль Q) заполнены на 88%.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7908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761"/>
          <w:sz w:val="18"/>
          <w:szCs w:val="18"/>
        </w:rPr>
        <w:t xml:space="preserve">Рис. 1. Доля веса каждого столпа, покрытая показателями, вошедшими в индекс</w:t>
      </w:r>
    </w:p>
    <w:p>
      <w:pPr>
        <w:pStyle w:val="Heading2"/>
      </w:pPr>
      <w:bookmarkStart w:name="_Toc140" w:id="140"/>
      <w:r>
        <w:t xml:space="preserve">1.4. Качество парков по составу ВВТ</w:t>
      </w:r>
      <w:bookmarkEnd w:id="140"/>
    </w:p>
    <w:p>
      <w:pPr>
        <w:spacing w:after="120" w:line="288"/>
        <w:jc w:val="both"/>
      </w:pPr>
      <w:r>
        <w:t xml:space="preserve">Таблицы Википедии со списками вооружения дают не только численность, но и модели с модификациями. Справочник образцов (data/ref/equipment_models.csv) сопоставляет каждую позицию с образцом, годом принятия на вооружение и поколением. Так из открытых данных получены показатели качества: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G02 — доля современных танков:</w:t>
      </w:r>
      <w:r>
        <w:t xml:space="preserve"> 3-е поколение и глубокие модернизации после 2000 г. (Т-72Б3, Т-80БВМ, Type 96A).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G06 — доля современных БМП и БТР:</w:t>
      </w:r>
      <w:r>
        <w:t xml:space="preserve"> образцы, принятые с 1990 г. или модернизированные после 2000 г.; небронированные автомобили не учитываются.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G03, A19 — средний возраст танкового и боевого авиапарка:</w:t>
      </w:r>
      <w:r>
        <w:t xml:space="preserve"> 2025 г. минус год принятия модификации. Это возраст образца, а не машины или планера: возраста отдельных машин в открытых данных нет.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G12 — высокоточные средства от 70 км:</w:t>
      </w:r>
      <w:r>
        <w:t xml:space="preserve"> пусковые ОТРК и РСЗО с управляемыми ракетами (HIMARS, M270A1, «Торнадо-С», PHL-16, «Чхонму», PULS).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A05 — доля малозаметных самолётов:</w:t>
      </w:r>
      <w:r>
        <w:t xml:space="preserve"> истребители 5-го поколения (OSINT) к числу боевых самолётов (GFP 2026).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A23 — огневые дивизионы ЗРК большой дальности</w:t>
      </w:r>
      <w:r>
        <w:t xml:space="preserve"> (дивизион С-300/400 или батарея Patriot, SAMP/T, THAAD): ручная таблица OSINT по открытым данным IISS и сообщениям о поставках, класс B–D.</w:t>
      </w:r>
    </w:p>
    <w:p>
      <w:pPr>
        <w:spacing w:after="120" w:line="288"/>
        <w:jc w:val="both"/>
      </w:pPr>
      <w:r>
        <w:t xml:space="preserve">Где в таблице указано только семейство (у России: «БТР-80 — 1 200»), а в примечании — состав потерь по модификациям из базы Oryx («292 БТР-80, 865 БТР-82А(М), 389 БТР-82АТ»), строка делится пропорционально потерям. Это замещающая оценка (класс D): в потерях больше той техники, что воюет на фронте. Если модификации перечислены без чисел («Т-72АМТ, Т-72АВ, …, Т-72Б3»), позиция относится к семейству целиком.</w:t>
      </w:r>
    </w:p>
    <w:p>
      <w:pPr>
        <w:spacing w:after="120" w:line="288"/>
        <w:jc w:val="both"/>
      </w:pPr>
      <w:r>
        <w:t xml:space="preserve">Доля считается, только если опознано не меньше 60% единиц страны и не меньше 30% танкового парка по GFP; иначе значение не выставляется. Если в ячейке таблицы указано число по модификациям («1 000 (Т-72А/Б) 470 (Т-72Б3/Б3М)»), позиция делится. Класс достоверности — C: даты и состав в Википедии разнятся, а у части стран модификации внутри семейства не указаны (у России — для БМП и БТР), и доля получается ниже фактической.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014"/>
        <w:gridCol w:w="1014"/>
        <w:gridCol w:w="1014"/>
        <w:gridCol w:w="1115"/>
        <w:gridCol w:w="1217"/>
        <w:gridCol w:w="913"/>
        <w:gridCol w:w="917"/>
      </w:tblGrid>
      <w:tr>
        <w:trPr>
          <w:tblHeader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Государство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Танки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БМП и БТР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Возраст танков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Возраст авиации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Пусковые от 70 км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ЗРК БД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Стелс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США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100%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54%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45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28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1359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68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35%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Китай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89%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97%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28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15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415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50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17%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Россия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42%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16%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36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30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282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90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Франция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100%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94%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33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24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8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Республика Корея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99%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38%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35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29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30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8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12%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Индия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37%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40%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45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25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Великобритания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100%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82%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27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17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43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28%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Япония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—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98%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—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33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99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24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18%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Германия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100%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77%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20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21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33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10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Турция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—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69%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—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31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—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Италия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100%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91%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30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21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21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26%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Израиль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100%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33%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21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23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30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16%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Польша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84%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41%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23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—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176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Австралия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100%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33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13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—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76%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Пакистан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31%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95%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53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—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Швеция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100%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90%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28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—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—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Украина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54%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52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24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61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28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Азербайджан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14%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47%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54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35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123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Армения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0%</w:t>
            </w:r>
          </w:p>
        </w:tc>
        <w:tc>
          <w:tcPr>
            <w:tcW w:type="dxa" w:w="10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53</w:t>
            </w:r>
          </w:p>
        </w:tc>
        <w:tc>
          <w:tcPr>
            <w:tcW w:type="dxa" w:w="11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38</w:t>
            </w:r>
          </w:p>
        </w:tc>
        <w:tc>
          <w:tcPr>
            <w:tcW w:type="dxa" w:w="12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14</w:t>
            </w:r>
          </w:p>
        </w:tc>
        <w:tc>
          <w:tcPr>
            <w:tcW w:type="dxa" w:w="9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</w:t>
            </w:r>
          </w:p>
        </w:tc>
        <w:tc>
          <w:tcPr>
            <w:tcW w:type="dxa" w:w="91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0%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5F6761"/>
          <w:sz w:val="18"/>
          <w:szCs w:val="18"/>
        </w:rPr>
        <w:t xml:space="preserve">Прочерк — данных недостаточно (позиции не опознаны или список неполон). Танки и БМП/БТР — доля современных образцов; возраст — лет от принятия модификации; пусковые — ОТРК и РСЗО с управляемыми ракетами, шт.; ЗРК БД — огневые дивизионы ЗРК большой дальности; стелс — доля малозаметных боевых самолётов.</w:t>
      </w:r>
    </w:p>
    <w:p>
      <w:pPr>
        <w:spacing w:after="120" w:line="288"/>
        <w:jc w:val="both"/>
      </w:pPr>
      <w:r>
        <w:t xml:space="preserve">При разборе таблиц найдены и исправлены ошибки, влиявшие на численность в первой версии: числа модификаций, разделённые в ячейке линией, склеивались (у Таиланда 19 113 БТР вместо 1 154, у Сербии 5 206 вместо 652, у Филиппин 3 813 БМП вместо 60); РСЗО PHL-16 и «Чхонму» считались оперативно-тактическими ракетами; у Таиланда и Австралии были перепутаны страницы ВВС; российские БМП (1 950 ед.) не попадали в выборку из-за пометки «в хранении» в подзаголовке таблицы.</w:t>
      </w:r>
    </w:p>
    <w:p>
      <w:pPr>
        <w:spacing w:after="120" w:line="288"/>
        <w:jc w:val="both"/>
      </w:pPr>
      <w:r>
        <w:t xml:space="preserve">Не собраны: средний возраст флота (даты ввода кораблей в строй есть в таблицах Википедии лишь примерно у 15 стран, и показатель не прошёл бы порог в половину стран) и дивизионы ЗРК средней дальности (систем втрое больше, чем дальних, а данные о числе подразделений разнороднее).</w:t>
      </w:r>
    </w:p>
    <w:p>
      <w:pPr>
        <w:pStyle w:val="Heading2"/>
      </w:pPr>
      <w:bookmarkStart w:name="_Toc141" w:id="141"/>
      <w:r>
        <w:t xml:space="preserve">1.5. Экспертные показатели: объективные замещающие измерители</w:t>
      </w:r>
      <w:bookmarkEnd w:id="141"/>
    </w:p>
    <w:p>
      <w:pPr>
        <w:spacing w:after="120" w:line="288"/>
        <w:jc w:val="both"/>
      </w:pPr>
      <w:r>
        <w:t xml:space="preserve">Экспертный балл субъективен и невоспроизводим. Поэтому вместо суждений использованы измеримые величины из открытых баз, отражающие то же явление: опросы населения, базы событий, геоданные, статистика, официальные статусы. Каждая замена — модельное допущение (класс C): величина измерена точно, но с понятием она связана косвенно. Если такой величины нет, показатель оставлен пустым.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662"/>
        <w:gridCol w:w="2120"/>
        <w:gridCol w:w="965"/>
      </w:tblGrid>
      <w:tr>
        <w:trPr>
          <w:tblHeader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Показатель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Измеритель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Источник</w:t>
            </w:r>
          </w:p>
        </w:tc>
        <w:tc>
          <w:tcPr>
            <w:tcW w:type="dxa" w:w="9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Стран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P15 Моральный дух и сплочённость войск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доля готовых воевать за свою страну, %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WVS/EVS 2017–2023 (QoG)</w:t>
            </w:r>
          </w:p>
        </w:tc>
        <w:tc>
          <w:tcPr>
            <w:tcW w:type="dxa" w:w="9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H12 Общественная поддержка армии и обороны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доверие вооружённым силам, 1–4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WVS/EVS 2017–2023 (QoG)</w:t>
            </w:r>
          </w:p>
        </w:tc>
        <w:tc>
          <w:tcPr>
            <w:tcW w:type="dxa" w:w="9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H14 Риск военного переворота и политизации армии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попытки военного переворота за 2000–2025 гг.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Bjørnskov–Rode (QoG)</w:t>
            </w:r>
          </w:p>
        </w:tc>
        <w:tc>
          <w:tcPr>
            <w:tcW w:type="dxa" w:w="9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P14 Доля личного состава с боевым опытом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интенсивность участия в вооружённых конфликтах за 5 лет, % от максимума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UCDP/PRIO ACD 26.1</w:t>
            </w:r>
          </w:p>
        </w:tc>
        <w:tc>
          <w:tcPr>
            <w:tcW w:type="dxa" w:w="9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P12 Образовательный уровень офицерского корпуса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охват высшим образованием, %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ВБ (UNESCO UIS)</w:t>
            </w:r>
          </w:p>
        </w:tc>
        <w:tc>
          <w:tcPr>
            <w:tcW w:type="dxa" w:w="9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P10 Расходы на подготовку на 1 военнослужащего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все военные расходы на одного военнослужащего, тыс. $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SIPRI, IISS</w:t>
            </w:r>
          </w:p>
        </w:tc>
        <w:tc>
          <w:tcPr>
            <w:tcW w:type="dxa" w:w="9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I04 Доля ВВТ отечественного производства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доля единиц своей разработки или лицензионного выпуска, среднее по 11 классам ВВТ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Википедия, столбец Origin</w:t>
            </w:r>
          </w:p>
        </w:tc>
        <w:tc>
          <w:tcPr>
            <w:tcW w:type="dxa" w:w="9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I05 Полнота цикла: классы ВВТ, выпускаемые самостоятельно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число классов ВВТ со своими образцами (приведено к 11)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Википедия, столбец Origin</w:t>
            </w:r>
          </w:p>
        </w:tc>
        <w:tc>
          <w:tcPr>
            <w:tcW w:type="dxa" w:w="9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D02 Стратегическая глубина (от границы до ключевых центров)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расстояние от столицы до ближайшей иностранной территории, км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Natural Earth</w:t>
            </w:r>
          </w:p>
        </w:tc>
        <w:tc>
          <w:tcPr>
            <w:tcW w:type="dxa" w:w="9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C20 Контроль подводных кабелей и узлов связи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точки выхода подводных кабелей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TeleGeography</w:t>
            </w:r>
          </w:p>
        </w:tc>
        <w:tc>
          <w:tcPr>
            <w:tcW w:type="dxa" w:w="9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C04 Собственная навигационная система (ГНСС)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своя ГНСС: глобальная / совладение Galileo / региональная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операторы систем</w:t>
            </w:r>
          </w:p>
        </w:tc>
        <w:tc>
          <w:tcPr>
            <w:tcW w:type="dxa" w:w="9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D09 Контроль проливов и ключевых морских коммуникаций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примыкающие мировые узкие места морских перевозок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U.S. EIA</w:t>
            </w:r>
          </w:p>
        </w:tc>
        <w:tc>
          <w:tcPr>
            <w:tcW w:type="dxa" w:w="9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X05 Оперативная совместимость с союзниками (стандарты, учения)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член НАТО / основной союзник США вне НАТО или партнёр НАТО / член ОДКБ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НАТО, Госдепартамент США, ОДКБ</w:t>
            </w:r>
          </w:p>
        </w:tc>
        <w:tc>
          <w:tcPr>
            <w:tcW w:type="dxa" w:w="9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40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Объективного измерителя нет у 67 экспертных показателей. Это подготовка и боеготовность (налёт, ходовые дни, исправность, укомплектованность), качество командования, доктрины и управления, сетецентричность и РЭБ, производство боеприпасов и дронов, запасы ракет и снарядов, мобилизационная готовность, надёжность союзников. Их можно заполнить только закрытыми данными или панелью экспертов с процедурой согласования (например, методом Дельфи с оценкой разброса).</w:t>
      </w:r>
    </w:p>
    <w:p>
      <w:pPr>
        <w:spacing w:after="100"/>
      </w:pPr>
      <w:r>
        <w:rPr>
          <w:color w:val="5F6761"/>
          <w:sz w:val="18"/>
          <w:szCs w:val="18"/>
        </w:rPr>
        <w:t xml:space="preserve">Без измерителя: G07 Танки с комплексами активной защиты (КАЗ); G14 Контрбатарейные РЛС и средства артразведки; G18 Средства противодействия БПЛА (РЭБ, ЗАК); G22 Барражирующие боеприпасы и FPV-дроны (выпуск в год); G26 Тактические комплексы РЭБ; G28 Укомплектованность частей личным составом; G29 Коэффициент исправности техники; G30 Интенсивность полевой подготовки (дней учений в год); G31 Оснащённость тепловизорами и ночными прицелами; G32 Запасы артиллерийских боеприпасов; A13 Дальние ударные дроны-камикадзе (выпуск в год); A14 Ракеты «воздух–воздух» большой дальности (класс); A15 Запас авиационных крылатых ракет; A16 Запас высокоточных авиабомб и УАБ; A17 Средний годовой налёт лётчика; A18 Исправность авиапарка; A21 Защищённые укрытия для самолётов; A25 Запас зенитных управляемых ракет; A27 Покрытие территории единой системой ПВО; N08 Корабельная зональная ПВО; N09 Противокорабельные ракеты (дальность, скорость); N24 Ходовые дни кораблей в море в год; N25 Коэффициент оперативной готовности кораблей; S05 Латентный ядерный потенциал (обогащение, переработка); S11 Гарантированный ответный удар (живучесть сил); S14 Расширенное сдерживание («ядерный зонтик» союзника); S16 Крылатые ракеты большой дальности наземного и морского базирования; S18 Неядерные высокоточные средства дальностью от 1500 км; C08 Киберкомандование (наличие, численность); C10 Наступательный киберпотенциал; C11 Военное применение ИИ (программы, внедрение); C12 Квантовые технологии и криптография; C13 Единая автоматизированная система управления (сетецентричность); C14 Защищённая военная связь всех звеньев; C17 Стратегические комплексы РЭБ; C18 Радиолокационное покрытие воздушного пространства; C19 Масштаб военной разведки (оценка ресурсов); P05 Доля военнослужащих по контракту; P08 Удержание кадров (доля продлевающих контракт); P11 Доля профессионального сержантского состава; P16 Дезертирство и уклонение от службы; P19 Иностранные инструкторы и обучение за рубежом; E05 Доля закупок ВВТ и НИОКР в военном бюджете; E06 Военные НИОКР; E21 Устойчивость к санкциям и доступ к финансовым рынкам; I06 Выпуск бронетехники в год; I07 Выпуск артиллерийских снарядов в год; I08 Выпуск боевых самолётов в год; I09 Выпуск ракет (крылатых, баллистических, ЗУР) в год; I10 Выпуск БПЛА в год; I12 Мобилизационная готовность промышленности; I17 Микроэлектроника: собственное производство чипов; I18 Собственное авиадвигателестроение; I24 Мощности по порохам и взрывчатым веществам; L07 Подвижной состав для военных перевозок (транспортёры, тягачи); L17 Время развёртывания мобилизационного резерва; L19 Мобилизационные запасы материальных средств; L21 Устойчивость энергосистемы (резервирование, защита); L22 Гражданская оборона и защитные сооружения; D07 Соседи с территориальными спорами; X04 Надёжность союзнических обязательств; X11 Обмен разведданными с союзниками; H03 Темп восполнения боевых потерь; H07 Качество военной доктрины и её соответствие современной войне; H08 Качество высшего командования; H09 Скорость принятия решений и делегирование полномочий; H13 Устойчивость к информационным операциям противника.</w:t>
      </w: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Ограничения замещающих измерителей. </w:t>
      </w:r>
      <w:r>
        <w:t xml:space="preserve">Опросы WVS/EVS проведены до 2022 г. (в России — 2017 г., на Украине — 2020 г.) и не отражают изменений во время войны. Боевой опыт по UCDP учитывает участие государства в конфликтах, а не долю военнослужащих с опытом. Доля отечественного ВВТ зависит от полноты таблиц Википедии.</w:t>
      </w: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Ограничение. </w:t>
      </w:r>
      <w:r>
        <w:t xml:space="preserve">Подготовка, исправность техники, налёт, ходовые дни, мотивация и боевой опыт в открытых данных отсутствуют: это экспертные или закрытые данные (в пилоте — временная оценка ИИ, раздел 1.6). Шкалы стратегических возможностей (СПРН, стратегическая ПРО, гиперзвуковое и противоспутниковое оружие) входят в столп «Стратегические силы», который при настройках по умолчанию вынесен на ядерную ось и на ИВМ не влияет.</w:t>
      </w:r>
    </w:p>
    <w:p>
      <w:pPr>
        <w:pStyle w:val="Heading2"/>
      </w:pPr>
      <w:bookmarkStart w:name="_Toc142" w:id="142"/>
      <w:r>
        <w:t xml:space="preserve">1.6. Экспертная оценка ИИ (временная)</w:t>
      </w:r>
      <w:bookmarkEnd w:id="142"/>
    </w:p>
    <w:p>
      <w:pPr>
        <w:spacing w:after="120" w:line="288"/>
        <w:jc w:val="both"/>
      </w:pPr>
      <w:r>
        <w:t xml:space="preserve">По решению пользователя показатели без объективного измерителя заполнены экспертной оценкой ИИ (модель Claude Opus 5.5) по открытым источникам до середины 2026 г.: 67 показателей × 40 стран (2 680 ячеек), точечная оценка и 80%-й интервал, обоснование по каждому показателю — data/delphi/ai/ai</w:t>
      </w:r>
      <w:r>
        <w:rPr>
          <w:i/>
          <w:iCs/>
        </w:rPr>
        <w:t xml:space="preserve">expert.txt и книга ai</w:t>
      </w:r>
      <w:r>
        <w:t xml:space="preserve">expert.xlsx.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Это суждение одной модели, а не панель.</w:t>
      </w:r>
      <w:r>
        <w:t xml:space="preserve"> Разброс внутри одной модели не заменяет независимых экспертов, поэтому статистика Дельфи (консенсус, W Кендалла, калибровка) к ней не применяется.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Класс D, низший приоритет.</w:t>
      </w:r>
      <w:r>
        <w:t xml:space="preserve"> Погрешность — из интервалов, но не меньше класса D; любые измерения и итог экспертной панели вытесняют оценку ИИ автоматически.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Без подгонки.</w:t>
      </w:r>
      <w:r>
        <w:t xml:space="preserve"> Значения не подбирались под проверку на войнах; расчёт без них — python core/run.py --no-ai.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Не показывается экспертам панели</w:t>
      </w:r>
      <w:r>
        <w:t xml:space="preserve">, чтобы не создавать якорения.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7"/>
        <w:gridCol w:w="1927"/>
        <w:gridCol w:w="1929"/>
      </w:tblGrid>
      <w:tr>
        <w:trPr>
          <w:tblHeader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Государство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Эксперты (док. 2)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Пилот без ИИ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Пилот с ИИ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США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90,4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80,2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79,7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Франция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66,9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56,3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59,1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Израиль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64,4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44,8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52,2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63,4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71,0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70,5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Великобритания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62,0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51,7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56,3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Германия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58,9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51,9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54,9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Украина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47,3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35,8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45,3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Иран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31,5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41,5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44,7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143" w:id="143"/>
      <w:r>
        <w:t xml:space="preserve">2. Расчётное ядро</w:t>
      </w:r>
      <w:bookmarkEnd w:id="143"/>
    </w:p>
    <w:p>
      <w:pPr>
        <w:pStyle w:val="Heading2"/>
      </w:pPr>
      <w:bookmarkStart w:name="_Toc144" w:id="144"/>
      <w:r>
        <w:t xml:space="preserve">2.1. Этапы</w:t>
      </w:r>
      <w:bookmarkEnd w:id="144"/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Нормировка на глобальную шкалу.</w:t>
      </w:r>
      <w:r>
        <w:t xml:space="preserve"> Счётные и денежные величины — логарифмическая шкала на 3 порядка ниже лидера выборки (инвариантна к единицам измерения); доли — 0–100%; индексы с известной шкалой — их границы (WGI ±2,5, CPI и GII 0–100); остальное — разброс выборки. Показатели «чем больше, тем хуже» переворачиваются.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Отбор и восстановление.</w:t>
      </w:r>
      <w:r>
        <w:t xml:space="preserve"> Показатель входит в индекс, если данные есть хотя бы у 50% стран; вес остальных перераспределяется внутри столпа. Пропуск заменяется средним наблюдённых значений той же страны в том же столпе и группе ролей (N / Q и M / прочие) с погрешностью не меньше 0,10.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Столпы.</w:t>
      </w:r>
      <w:r>
        <w:t xml:space="preserve"> Взвешенное среднее показателей; в боевых столпах вес численности умножается на α (логарифмическая форма закона Ланчестера).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Свёртка, ядерная ось, проекция.</w:t>
      </w:r>
      <w:r>
        <w:t xml:space="preserve"> CES с ρ = 0,5; стратегические силы вынесены на отдельную ось; автономная мощь — без СЯС и союзов; радиус проекции λ = 2 + 10·P̄[показатели проекции].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Монте-Карло</w:t>
      </w:r>
      <w:r>
        <w:t xml:space="preserve"> (1000 прогонов): данные ± σ по классу достоверности, веса × LogN(0; 0,15²), ρ ~ U(0,3; 0,7), α ~ U(0,8; 1,2) (до 13.10.2026 — U(1,2; 1,8)) и структурная неопределённость столпа σ = 0,10 × (доля веса столпа без данных).</w:t>
      </w:r>
    </w:p>
    <w:p>
      <w:pPr>
        <w:shd w:fill="F2F4F0" w:color="auto" w:val="clear"/>
        <w:spacing w:after="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x̃ = (lg x − lg(H·10^−3)) / 3                     лог-шкала, H — лидер выборки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P = (α·Σw·x̃[N] + Σw·x̃[прочие]) / (α·Σw[N] + Σw[прочие])      боевые столпы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ИВМ = (Σ ω·P^ρ)^(1/ρ),  ИВМ(D) = ИВМ·e^(−D/λ)</w:t>
      </w:r>
    </w:p>
    <w:p>
      <w:pPr>
        <w:shd w:fill="F2F4F0" w:color="auto" w:val="clear"/>
        <w:spacing w:after="16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σ наблюдения: лог — A 5%, B 10%, C 30%, D 50%;  прочие — A 0,02, B 0,04, C 0,08, D 0,12</w:t>
      </w:r>
    </w:p>
    <w:p>
      <w:pPr>
        <w:pStyle w:val="Heading2"/>
      </w:pPr>
      <w:bookmarkStart w:name="_Toc145" w:id="145"/>
      <w:r>
        <w:t xml:space="preserve">2.2. Модель боя и коалиции</w:t>
      </w:r>
      <w:bookmarkEnd w:id="145"/>
    </w:p>
    <w:p>
      <w:pPr>
        <w:spacing w:after="120" w:line="288"/>
        <w:jc w:val="both"/>
      </w:pPr>
      <w:r>
        <w:t xml:space="preserve">В ядро перенесены модель боя Ланчестера–Хельмболда с восполнением и подкреплениями и конструктор коалиций (документ 3). Обе повторяют прототип: на экспертных данных коалиции дают те же соотношения, что в документе 3 (Россия–Украина 1,68 : 1; Израиль и США против Ирана 6,84 : 1). С 13.10.2026 нужные соотношения считаются при α = 1,0 и новой таблице d (раздел 7.7): для Украины — 1,70 : 1, для Ирана — 1,30 : 1, окно перевеса в Прибалтике — сутки 0–7 (прежде 2,02 : 1 и сутки 0–4).</w:t>
      </w:r>
    </w:p>
    <w:p>
      <w:pPr>
        <w:pStyle w:val="Heading2"/>
      </w:pPr>
      <w:bookmarkStart w:name="_Toc146" w:id="146"/>
      <w:r>
        <w:t xml:space="preserve">2.3. Тесты</w:t>
      </w:r>
      <w:bookmarkEnd w:id="14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Свойство</w:t>
            </w:r>
          </w:p>
        </w:tc>
        <w:tc>
          <w:tcPr>
            <w:tcW w:type="dxa" w:w="67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Проверка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Инвариантность к масштабу</w:t>
            </w:r>
          </w:p>
        </w:tc>
        <w:tc>
          <w:tcPr>
            <w:tcW w:type="dxa" w:w="67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умножение показателя на константу не меняет лог-шкалу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Монотонность</w:t>
            </w:r>
          </w:p>
        </w:tc>
        <w:tc>
          <w:tcPr>
            <w:tcW w:type="dxa" w:w="67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рост любого показателя не снижает индекс страны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Предельные случаи CES</w:t>
            </w:r>
          </w:p>
        </w:tc>
        <w:tc>
          <w:tcPr>
            <w:tcW w:type="dxa" w:w="67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ρ = 1 — среднее арифметическое, ρ → 0 — геометрическое; «слабое звено» при ρ &lt; 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Роль α</w:t>
            </w:r>
          </w:p>
        </w:tc>
        <w:tc>
          <w:tcPr>
            <w:tcW w:type="dxa" w:w="67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больший α повышает вес численности в боевом столпе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Восстановление</w:t>
            </w:r>
          </w:p>
        </w:tc>
        <w:tc>
          <w:tcPr>
            <w:tcW w:type="dxa" w:w="67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наблюдённые значения не меняются; показатель с данными у одной страны из шести исключается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Воспроизводимость</w:t>
            </w:r>
          </w:p>
        </w:tc>
        <w:tc>
          <w:tcPr>
            <w:tcW w:type="dxa" w:w="67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одинаковое зерно — одинаковый результат; хэш снимка данных в выдаче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Квадратичный закон</w:t>
            </w:r>
          </w:p>
        </w:tc>
        <w:tc>
          <w:tcPr>
            <w:tcW w:type="dxa" w:w="67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численное решение совпадает с аналитическим до 0,1% (RK4) и до 1% (схема прототипа)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Инвариант Ланчестера</w:t>
            </w:r>
          </w:p>
        </w:tc>
        <w:tc>
          <w:tcPr>
            <w:tcW w:type="dxa" w:w="67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b·A^α − a·B^α сохраняется при α = 1; 1,5; 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Документ 3</w:t>
            </w:r>
          </w:p>
        </w:tc>
        <w:tc>
          <w:tcPr>
            <w:tcW w:type="dxa" w:w="67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сценарии коалиций дают числа документа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147" w:id="147"/>
      <w:r>
        <w:t xml:space="preserve">3. Рейтинг 40 государств</w:t>
      </w:r>
      <w:bookmarkEnd w:id="147"/>
    </w:p>
    <w:p>
      <w:pPr>
        <w:spacing w:after="60" w:before="120"/>
        <w:jc w:val="center"/>
      </w:pPr>
      <w:r>
        <w:drawing>
          <wp:inline distT="0" distB="0" distL="0" distR="0">
            <wp:extent cx="6096000" cy="77914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761"/>
          <w:sz w:val="18"/>
          <w:szCs w:val="18"/>
        </w:rPr>
        <w:t xml:space="preserve">Рис. 2. ИВМ пилота с 90% интервалом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"/>
        <w:gridCol w:w="2141"/>
        <w:gridCol w:w="778"/>
        <w:gridCol w:w="1362"/>
        <w:gridCol w:w="778"/>
        <w:gridCol w:w="973"/>
        <w:gridCol w:w="584"/>
        <w:gridCol w:w="1752"/>
        <w:gridCol w:w="784"/>
      </w:tblGrid>
      <w:tr>
        <w:trPr>
          <w:tblHeader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Государство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ИВМ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90% интервал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Места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Автономная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λ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Ядерный класс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Восст.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США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79,7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77,2–80,1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78,8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10,8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ядерная триада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Китай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75,6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73,4–76,6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77,3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9,2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ядерная триада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Россия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70,5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68,6–71,7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71,1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7,0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ядерная триада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Франция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59,1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57,2–60,4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4–6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57,2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7,8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ЯО, крупный арсенал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Республика Корея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57,6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56,1–59,0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4–7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57,7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5,7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Индия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57,6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56,0–59,1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4–8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59,5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7,5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ЯО, крупный арсенал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Великобритания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56,3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54,5–57,5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5–10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54,1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7,8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ЯО, крупный арсенал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8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Япония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55,4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53,9–56,8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7–11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55,4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6,9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Германия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54,9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53,1–56,4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7–11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53,2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5,1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10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Турция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54,9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53,2–56,6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7–11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53,2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7,2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11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Италия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54,2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52,6–55,6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8–11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52,5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6,9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12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Израиль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52,2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50,0–53,8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11–12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52,5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4,2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ЯО, ограниченный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13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Польша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49,0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47,2–50,7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13–14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47,6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3,2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14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Австралия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48,7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46,8–50,2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13–15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47,7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6,6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15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Пакистан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46,4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44,8–48,1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14–19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46,1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4,6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ЯО, крупный арсенал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16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Швеция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45,8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44,2–47,6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15–21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44,4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4,5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17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Тайвань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45,8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44,1–47,7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15–20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46,9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3,8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18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Саудовская Аравия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45,5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43,6–47,5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15–21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45,4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4,0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19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Украина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45,3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43,0–47,5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15–21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46,3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3,3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20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Иран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44,7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43,1–46,7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16–21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47,3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5,4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пороговый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21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Египет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43,7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42,1–45,8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18–22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43,8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5,5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22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Финляндия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41,6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39,6–43,7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21–24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40,0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3,4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23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Греция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41,1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39,6–43,1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22–24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39,3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4,2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24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Бразилия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39,5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38,1–41,6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22–26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39,7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5,0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25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Индонезия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39,2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37,5–41,3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23–27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41,0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5,5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26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Таиланд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38,0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36,6–39,8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25–28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37,8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4,9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27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Вьетнам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37,0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35,5–39,1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25–29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39,2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4,0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28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КНДР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36,9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35,3–39,4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25–29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37,1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3,5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ЯО, ограниченный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29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Азербайджан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35,6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33,9–38,1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27–29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35,6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2,7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30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Белоруссия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32,7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30,9–35,6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30–31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31,8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2,2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31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Филиппины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31,0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29,6–33,6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30–32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30,1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4,1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32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Сербия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28,4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27,3–31,5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31–32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29,2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2,7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33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Армения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23,6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22,2–26,5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33–35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23,6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2,2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34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Венесуэла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23,1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22,1–26,0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33–35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24,1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3,9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35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Эфиопия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22,5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21,4–25,8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33–35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23,2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2,1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36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Камбоджа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17,9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17,2–21,3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36–38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18,0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3,1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37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Руанда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17,4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16,8–20,9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36–38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17,5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2,3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14%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38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ДР Конго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15,7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15,5–19,6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36–39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15,1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2,6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39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Эритрея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13,2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12,9–17,2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38–40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14,1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3,5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13%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40</w:t>
            </w:r>
          </w:p>
        </w:tc>
        <w:tc>
          <w:tcPr>
            <w:tcW w:type="dxa" w:w="214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Афганистан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11,9</w:t>
            </w:r>
          </w:p>
        </w:tc>
        <w:tc>
          <w:tcPr>
            <w:tcW w:type="dxa" w:w="13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11,9–16,1</w:t>
            </w:r>
          </w:p>
        </w:tc>
        <w:tc>
          <w:tcPr>
            <w:tcW w:type="dxa" w:w="7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39–40</w:t>
            </w:r>
          </w:p>
        </w:tc>
        <w:tc>
          <w:tcPr>
            <w:tcW w:type="dxa" w:w="9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12,7</w:t>
            </w:r>
          </w:p>
        </w:tc>
        <w:tc>
          <w:tcPr>
            <w:tcW w:type="dxa" w:w="5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2,2</w:t>
            </w:r>
          </w:p>
        </w:tc>
        <w:tc>
          <w:tcPr>
            <w:tcW w:type="dxa" w:w="17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12%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Первая тройка устойчива: США и Китай делят 1–2 места, Россия — третья. Далее Франция, Республика Корея, Индия, Великобритания, Япония, Германия, Турция лежат в пределах 4,2 балла, и в 90% прогонов их места перемешиваются в диапазоне 4–11. Восстановленные значения заметны лишь у стран с бедными открытыми данными: КНДР, Руанда, Эритрея, Афганистан, Тайвань.</w:t>
      </w:r>
    </w:p>
    <w:p>
      <w:pPr>
        <w:pStyle w:val="Heading1"/>
        <w:pageBreakBefore/>
      </w:pPr>
      <w:bookmarkStart w:name="_Toc148" w:id="148"/>
      <w:r>
        <w:t xml:space="preserve">4. Сверка с экспертной оценкой</w:t>
      </w:r>
      <w:bookmarkEnd w:id="148"/>
    </w:p>
    <w:p>
      <w:pPr>
        <w:spacing w:after="60" w:before="120"/>
        <w:jc w:val="center"/>
      </w:pPr>
      <w:r>
        <w:drawing>
          <wp:inline distT="0" distB="0" distL="0" distR="0">
            <wp:extent cx="6096000" cy="5010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761"/>
          <w:sz w:val="18"/>
          <w:szCs w:val="18"/>
        </w:rPr>
        <w:t xml:space="preserve">Рис. 3. Пилот против экспертной оценки документа 2 (8 государств)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7"/>
        <w:gridCol w:w="1927"/>
        <w:gridCol w:w="1929"/>
      </w:tblGrid>
      <w:tr>
        <w:trPr>
          <w:tblHeader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Государство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Эксперты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Пилот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Разница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США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90,4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79,7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−10,8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Франция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66,9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59,1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−7,8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Израиль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64,4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52,2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−12,2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63,4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70,5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+7,0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Великобритания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62,0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56,3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−5,7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Германия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58,9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54,9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−4,0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Украина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47,3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45,3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−2,1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Иран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31,5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44,7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+13,2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Ранговая корреляция — 0,81. Расхождения систематические: пилот выше экспертов оценивает государства с большими армиями и запасами техники (Россия, Иран) и ниже — небольшие армии с высоким качеством и боевым опытом (Израиль) и воюющую Украину. Причина — отсутствие экспертных показателей качества, подготовки и мотивации: в пилоте их место заняли средние по столпу, то есть численность.</w:t>
      </w:r>
    </w:p>
    <w:p>
      <w:pPr>
        <w:pStyle w:val="Heading1"/>
        <w:pageBreakBefore/>
      </w:pPr>
      <w:bookmarkStart w:name="_Toc149" w:id="149"/>
      <w:r>
        <w:t xml:space="preserve">5. Проверка на войнах 2020–2026 гг.</w:t>
      </w:r>
      <w:bookmarkEnd w:id="149"/>
    </w:p>
    <w:p>
      <w:pPr>
        <w:spacing w:after="120" w:line="288"/>
        <w:jc w:val="both"/>
      </w:pPr>
      <w:r>
        <w:t xml:space="preserve">Каждый случай проверяется по двум критериям. Баланс: хватает ли наступающему соотношения сил на начало, R = (e</w:t>
      </w:r>
      <w:r>
        <w:rPr>
          <w:i/>
          <w:iCs/>
        </w:rPr>
        <w:t xml:space="preserve">B·d / e</w:t>
      </w:r>
      <w:r>
        <w:t xml:space="preserve">A)^(1/α). Исход: вероятности успеха наступления, удержания обороны и затяжных боёв в модели боя (только для кампаний; короткие обмены ударами заканчивались перемирием, и их исход по слому сил не проверяется).</w:t>
      </w:r>
    </w:p>
    <w:p>
      <w:pPr>
        <w:pStyle w:val="Heading2"/>
      </w:pPr>
      <w:bookmarkStart w:name="_Toc150" w:id="150"/>
      <w:r>
        <w:t xml:space="preserve">5.1. Экспертная оценка 8 стран</w:t>
      </w:r>
      <w:bookmarkEnd w:id="15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674"/>
        <w:gridCol w:w="674"/>
        <w:gridCol w:w="1638"/>
        <w:gridCol w:w="2023"/>
        <w:gridCol w:w="2702"/>
      </w:tblGrid>
      <w:tr>
        <w:trPr>
          <w:tblHeader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Случай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 : B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Нужно</w:t>
            </w:r>
          </w:p>
        </w:tc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Баланс</w:t>
            </w:r>
          </w:p>
        </w:tc>
        <w:tc>
          <w:tcPr>
            <w:tcW w:type="dxa" w:w="202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Исход (P успеха A / обороны / затяжных)</w:t>
            </w:r>
          </w:p>
        </w:tc>
        <w:tc>
          <w:tcPr>
            <w:tcW w:type="dxa" w:w="270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Россия против Украины, 2023–2026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1,68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1,70</w:t>
            </w:r>
          </w:p>
        </w:tc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перевес A недостаточен — верно</w:t>
            </w:r>
          </w:p>
        </w:tc>
        <w:tc>
          <w:tcPr>
            <w:tcW w:type="dxa" w:w="202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затяжные бои (36% / 13% / 52%) — верно</w:t>
            </w:r>
          </w:p>
        </w:tc>
        <w:tc>
          <w:tcPr>
            <w:tcW w:type="dxa" w:w="270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позиционная война на истощение, медленное продвижение наступающего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Израиль и США против Ирана, 2025–2026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6,84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1,30</w:t>
            </w:r>
          </w:p>
        </w:tc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перевес A достаточен — верно</w:t>
            </w:r>
          </w:p>
        </w:tc>
        <w:tc>
          <w:tcPr>
            <w:tcW w:type="dxa" w:w="202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успех наступления (100% / 0% / 0%) — верно</w:t>
            </w:r>
          </w:p>
        </w:tc>
        <w:tc>
          <w:tcPr>
            <w:tcW w:type="dxa" w:w="270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быстрое подавление ПВО и ВВС Ирана, перемирие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5F6761"/>
          <w:sz w:val="18"/>
          <w:szCs w:val="18"/>
        </w:rPr>
        <w:t xml:space="preserve">Итог: баланс верен в 2 из 2, исход кампаний — в 2 из 2.</w:t>
      </w:r>
    </w:p>
    <w:p>
      <w:pPr>
        <w:pStyle w:val="Heading2"/>
      </w:pPr>
      <w:bookmarkStart w:name="_Toc151" w:id="151"/>
      <w:r>
        <w:t xml:space="preserve">5.2. Пилот, 40 стран</w:t>
      </w:r>
      <w:bookmarkEnd w:id="15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674"/>
        <w:gridCol w:w="674"/>
        <w:gridCol w:w="1638"/>
        <w:gridCol w:w="2023"/>
        <w:gridCol w:w="2702"/>
      </w:tblGrid>
      <w:tr>
        <w:trPr>
          <w:tblHeader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Случай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 : B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Нужно</w:t>
            </w:r>
          </w:p>
        </w:tc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Баланс</w:t>
            </w:r>
          </w:p>
        </w:tc>
        <w:tc>
          <w:tcPr>
            <w:tcW w:type="dxa" w:w="202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Исход (P успеха A / обороны / затяжных)</w:t>
            </w:r>
          </w:p>
        </w:tc>
        <w:tc>
          <w:tcPr>
            <w:tcW w:type="dxa" w:w="270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Факт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Россия против Украины, 2023–2026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2,52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1,70</w:t>
            </w:r>
          </w:p>
        </w:tc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перевес A достаточен — неверно</w:t>
            </w:r>
          </w:p>
        </w:tc>
        <w:tc>
          <w:tcPr>
            <w:tcW w:type="dxa" w:w="202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успех наступления (97% / 0% / 3%) — неверно</w:t>
            </w:r>
          </w:p>
        </w:tc>
        <w:tc>
          <w:tcPr>
            <w:tcW w:type="dxa" w:w="270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позиционная война на истощение, медленное продвижение наступающего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Израиль и США против Ирана, 2025–2026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1,59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1,30</w:t>
            </w:r>
          </w:p>
        </w:tc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перевес A достаточен — верно</w:t>
            </w:r>
          </w:p>
        </w:tc>
        <w:tc>
          <w:tcPr>
            <w:tcW w:type="dxa" w:w="202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успех наступления (61% / 1% / 38%) — верно</w:t>
            </w:r>
          </w:p>
        </w:tc>
        <w:tc>
          <w:tcPr>
            <w:tcW w:type="dxa" w:w="270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быстрое подавление ПВО и ВВС Ирана, перемирие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Индия против Пакистана, май 2025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0,92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1,30</w:t>
            </w:r>
          </w:p>
        </w:tc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перевес у обороны — неверно</w:t>
            </w:r>
          </w:p>
        </w:tc>
        <w:tc>
          <w:tcPr>
            <w:tcW w:type="dxa" w:w="202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—</w:t>
            </w:r>
          </w:p>
        </w:tc>
        <w:tc>
          <w:tcPr>
            <w:tcW w:type="dxa" w:w="270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четыре дня ударов, перевес Индии в ударах по авиабазам, перемирие 10 мая под ядерным порогом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Таиланд против Камбоджи, июль 2025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1,18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1,30</w:t>
            </w:r>
          </w:p>
        </w:tc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перевес A недостаточен — неверно</w:t>
            </w:r>
          </w:p>
        </w:tc>
        <w:tc>
          <w:tcPr>
            <w:tcW w:type="dxa" w:w="202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—</w:t>
            </w:r>
          </w:p>
        </w:tc>
        <w:tc>
          <w:tcPr>
            <w:tcW w:type="dxa" w:w="270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пять дней боёв, превосходство Таиланда в воздухе и артиллерии, перемирие при посредничестве Малайзии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Азербайджан против Армении, 2020 (Карабах)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2,16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0,89</w:t>
            </w:r>
          </w:p>
        </w:tc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перевес A достаточен — верно</w:t>
            </w:r>
          </w:p>
        </w:tc>
        <w:tc>
          <w:tcPr>
            <w:tcW w:type="dxa" w:w="202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успех наступления (100% / 0% / 0%) — верно</w:t>
            </w:r>
          </w:p>
        </w:tc>
        <w:tc>
          <w:tcPr>
            <w:tcW w:type="dxa" w:w="270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прорыв обороны и победа Азербайджана за 44 дня (беспилотники, высокоточное оружие)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5F6761"/>
          <w:sz w:val="18"/>
          <w:szCs w:val="18"/>
        </w:rPr>
        <w:t xml:space="preserve">Итог: баланс верен в 2 из 5, исход кампаний — в 2 из 3. Допущения новых случаев: Россия против Украины, 2023–2026 — d = 1,7 измерен по потерям техники этой войны (Oryx, 2024–2025 гг.) — не независимая проверка; Индия против Пакистана, май 2025 — s Индии 0,3 — западное направление; d = 1,3 — воздушно-ракетные удары; обе стороны с ЯО; Таиланд против Камбоджи, июль 2025 — s Таиланда 0,3 — пограничная группировка; Азербайджан против Армении, 2020 (Карабах) — укреплённая линия в горах (d по таблице); Турция — разведка и снабжение; данные 2025 г. для войны 2020 г..</w:t>
      </w: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Главный урок проверки. </w:t>
      </w:r>
      <w:r>
        <w:t xml:space="preserve">В пилоте модель видит Россию в 2,5 раза сильнее Украины на театре и предсказывает успех наступления, тогда как идёт позиционная война. Экспертная оценка, учитывающая подготовку, опыт и мотивацию, даёт 1,68 : 1 и верный прогноз. Для Карабаха 2020 г. пилот на данных 2025 г. видит достаточный перевес (2,16 при нужных 0,89), но слишком малый для быстрой победы: модель боя даёт затяжные бои с вероятностью 0%, а война закончилась за 44 дня — решающая роль беспилотников и подготовки в открытых данных не видна. Вывод: доли современной техники сдвинули баланс в нужную сторону, но без показателей подготовки и мотивации прогностической силы недостаточно.</w:t>
      </w:r>
    </w:p>
    <w:p>
      <w:pPr>
        <w:pStyle w:val="Heading2"/>
      </w:pPr>
      <w:bookmarkStart w:name="_Toc152" w:id="152"/>
      <w:r>
        <w:t xml:space="preserve">5.3. Что изменила вторая очередь данных</w:t>
      </w:r>
      <w:bookmarkEnd w:id="15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1349"/>
        <w:gridCol w:w="1734"/>
        <w:gridCol w:w="1927"/>
        <w:gridCol w:w="1930"/>
      </w:tblGrid>
      <w:tr>
        <w:trPr>
          <w:tblHeader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Версия 1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Техника и возможности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+ замещающие измерители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+ оценка ИИ (сейчас)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Показателей в индексе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107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125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138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215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Заполненность среза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42,3%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48,7%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53,6%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83,9%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Ранговая корреляция с экспертами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0,79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0,79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0,76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0,81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 : Украина на театре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5,90 : 1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4,62 : 1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4,63 : 1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2,52 : 1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Баланс сил верен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 из 5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 из 5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 из 5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 из 5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Исход кампаний верен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 из 3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 из 3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 из 3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 из 3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Объективные измерители экспертных показателей не сократили расхождение по России и Украине: готовность воевать до войны была близкой (Россия 76%, Украина 71%), боевой опыт почти равен, а по доле отечественного ВВТ Россия далеко впереди (98% против 34%). Измеримые величины подтверждают преимущество России в ресурсах.</w:t>
      </w:r>
    </w:p>
    <w:p>
      <w:pPr>
        <w:spacing w:after="120" w:line="288"/>
        <w:jc w:val="both"/>
      </w:pPr>
      <w:r>
        <w:t xml:space="preserve">Оценка ИИ по неизмеримым показателям (подготовка, командование, сетецентричность, РЭБ, производство) приблизила индекс Украины к экспертному (35,8 → 45,3 при 47,3 у экспертов) и сократила перевес России до 2,52 : 1, но он всё ещё выше нужных 1,70 : 1, и модель по-прежнему предсказывает успех наступления. Одновременно выросли Пакистан и Иран: случай «Индия против Пакистана» стал неверным (0,92 : 1), а Иран (44,7) оценён выше, чем у экспертов (31,5). Суждение одной модели улучшает согласие с экспертами в среднем (Спирмен 0,76 → 0,81), но не даёт прогностической силы. Для неё нужна настоящая панель с независимыми оценками и калибровкой (документ 7) или закрытые данные.</w:t>
      </w:r>
    </w:p>
    <w:p>
      <w:pPr>
        <w:pStyle w:val="Heading1"/>
        <w:pageBreakBefore/>
      </w:pPr>
      <w:bookmarkStart w:name="_Toc153" w:id="153"/>
      <w:r>
        <w:t xml:space="preserve">6. Чувствительность</w:t>
      </w:r>
      <w:bookmarkEnd w:id="153"/>
    </w:p>
    <w:p>
      <w:pPr>
        <w:spacing w:after="120" w:line="288"/>
        <w:jc w:val="both"/>
      </w:pPr>
      <w:r>
        <w:t xml:space="preserve">Индексы Соболя показывают, какая доля разброса индекса связана с каждым фактором неопределённости: весами столпов, формой свёртки ρ, показателем закона α, погрешностью данных и структурной неопределённостью (пробелами в покрытии столпов).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3909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761"/>
          <w:sz w:val="18"/>
          <w:szCs w:val="18"/>
        </w:rPr>
        <w:t xml:space="preserve">Рис. 4. Полные индексы Соболя ST, средние по 40 странам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3"/>
        <w:gridCol w:w="2677"/>
        <w:gridCol w:w="2678"/>
      </w:tblGrid>
      <w:tr>
        <w:trPr>
          <w:tblHeader/>
        </w:trPr>
        <w:tc>
          <w:tcPr>
            <w:tcW w:type="dxa" w:w="428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Фактор</w:t>
            </w:r>
          </w:p>
        </w:tc>
        <w:tc>
          <w:tcPr>
            <w:tcW w:type="dxa" w:w="267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 с пробелами</w:t>
            </w:r>
          </w:p>
        </w:tc>
        <w:tc>
          <w:tcPr>
            <w:tcW w:type="dxa" w:w="26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 без них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267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0,36</w:t>
            </w:r>
          </w:p>
        </w:tc>
        <w:tc>
          <w:tcPr>
            <w:tcW w:type="dxa" w:w="26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0,56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267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0,36</w:t>
            </w:r>
          </w:p>
        </w:tc>
        <w:tc>
          <w:tcPr>
            <w:tcW w:type="dxa" w:w="26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ρ</w:t>
            </w:r>
          </w:p>
        </w:tc>
        <w:tc>
          <w:tcPr>
            <w:tcW w:type="dxa" w:w="267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0,08</w:t>
            </w:r>
          </w:p>
        </w:tc>
        <w:tc>
          <w:tcPr>
            <w:tcW w:type="dxa" w:w="26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0,11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вес NAV</w:t>
            </w:r>
          </w:p>
        </w:tc>
        <w:tc>
          <w:tcPr>
            <w:tcW w:type="dxa" w:w="267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0,05</w:t>
            </w:r>
          </w:p>
        </w:tc>
        <w:tc>
          <w:tcPr>
            <w:tcW w:type="dxa" w:w="26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0,07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вес IND</w:t>
            </w:r>
          </w:p>
        </w:tc>
        <w:tc>
          <w:tcPr>
            <w:tcW w:type="dxa" w:w="267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0,03</w:t>
            </w:r>
          </w:p>
        </w:tc>
        <w:tc>
          <w:tcPr>
            <w:tcW w:type="dxa" w:w="26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0,05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вес GRD</w:t>
            </w:r>
          </w:p>
        </w:tc>
        <w:tc>
          <w:tcPr>
            <w:tcW w:type="dxa" w:w="267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0,03</w:t>
            </w:r>
          </w:p>
        </w:tc>
        <w:tc>
          <w:tcPr>
            <w:tcW w:type="dxa" w:w="26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0,04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вес PER</w:t>
            </w:r>
          </w:p>
        </w:tc>
        <w:tc>
          <w:tcPr>
            <w:tcW w:type="dxa" w:w="267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0,03</w:t>
            </w:r>
          </w:p>
        </w:tc>
        <w:tc>
          <w:tcPr>
            <w:tcW w:type="dxa" w:w="26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0,04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вес ALL</w:t>
            </w:r>
          </w:p>
        </w:tc>
        <w:tc>
          <w:tcPr>
            <w:tcW w:type="dxa" w:w="267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0,03</w:t>
            </w:r>
          </w:p>
        </w:tc>
        <w:tc>
          <w:tcPr>
            <w:tcW w:type="dxa" w:w="26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0,04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вес AIR</w:t>
            </w:r>
          </w:p>
        </w:tc>
        <w:tc>
          <w:tcPr>
            <w:tcW w:type="dxa" w:w="267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0,02</w:t>
            </w:r>
          </w:p>
        </w:tc>
        <w:tc>
          <w:tcPr>
            <w:tcW w:type="dxa" w:w="26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0,02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вес GEO</w:t>
            </w:r>
          </w:p>
        </w:tc>
        <w:tc>
          <w:tcPr>
            <w:tcW w:type="dxa" w:w="267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0,02</w:t>
            </w:r>
          </w:p>
        </w:tc>
        <w:tc>
          <w:tcPr>
            <w:tcW w:type="dxa" w:w="267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0,02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Около 36% разброса приходится на пробелы в данных — при принятом допущении σ = 0,10 на непокрытую долю столпа. Без этого фактора разброс делят погрешность данных и форма свёртки ρ; из весов заметнее других NAV, IND, PER. Вес стратегических сил не влияет совсем: столп вынесен на ядерную ось. Показатель закона α влияет слабо (ST = 0,02): в боевых столпах появились доли современной техники, но численность по-прежнему преобладает.</w:t>
      </w:r>
    </w:p>
    <w:p>
      <w:pPr>
        <w:pStyle w:val="Heading1"/>
        <w:pageBreakBefore/>
      </w:pPr>
      <w:bookmarkStart w:name="_Toc154" w:id="154"/>
      <w:r>
        <w:t xml:space="preserve">7. Калибровка параметров по проверочным случаям</w:t>
      </w:r>
      <w:bookmarkEnd w:id="154"/>
    </w:p>
    <w:p>
      <w:pPr>
        <w:spacing w:after="120" w:line="288"/>
        <w:jc w:val="both"/>
      </w:pPr>
      <w:r>
        <w:t xml:space="preserve">Задача — подобрать глобальные параметры модели по пяти войнам 2020–2026 гг. так, чтобы результат не был подгонкой. Правила записаны в коде (core/lanmil/calibrate.py) и зафиксированы в истории репозитория до расчёта (коммит 20559fa от 13.10.2026), результаты получены после.</w:t>
      </w:r>
    </w:p>
    <w:p>
      <w:pPr>
        <w:pStyle w:val="Heading2"/>
      </w:pPr>
      <w:bookmarkStart w:name="_Toc155" w:id="155"/>
      <w:r>
        <w:t xml:space="preserve">7.1. Протокол</w:t>
      </w:r>
      <w:bookmarkEnd w:id="155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Подбираются</w:t>
      </w:r>
      <w:r>
        <w:t xml:space="preserve"> только глобальные параметры: α (один на модель — вес численности в боевых столпах, нужное соотношение и модель боя), ρ свёртки столпов, κ перевода индекса в у. е. мощи и один из пяти заранее заданных наборов весов. Сетка: α 1,00; 1,25; 1,50; 1,75; 2,00; ρ -0,50; 0,00; 0,25; 0,50; 0,75; 1,00; κ × 0,50; 0,60; 0,70; 0,80; 0,90; 1,00; 1,15; 1,30; 1,50 от 2,6·ln 10; всего 1350 сочетаний.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Не подбираются</w:t>
      </w:r>
      <w:r>
        <w:t xml:space="preserve"> допущения сценариев (доли сил s, удалённость, надёжность союзников, коэффициент обороны d) и факты исходов — они заданы до калибровки.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Мера качества</w:t>
      </w:r>
      <w:r>
        <w:t xml:space="preserve"> — логарифмическая оценка вероятностного прогноза: вероятность фактического класса баланса по 200 прогонам неопределённости данных и вероятность фактического исхода по 400 прогонам модели боя; сумма по 8 прогнозам (5 балансов, 3 исхода). Чем ближе к нулю, тем лучше; такую меру нельзя улучшить, искажая вероятности.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Защита от подгонки:</w:t>
      </w:r>
      <w:r>
        <w:t xml:space="preserve"> перекрёстная проверка с исключением одного случая (параметры подбираются по четырём войнам и проверяются на пятой); новые параметры принимаются, только если такая оценка лучше оценки параметров по умолчанию не меньше чем на 2; при равенстве выбирается точка, ближайшая к умолчанию.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Ориентиры:</w:t>
      </w:r>
      <w:r>
        <w:t xml:space="preserve"> равновероятный прогноз (1/3 на каждый класс) и прогноз по частотам исходов в остальных случаях — модель, которая их не превосходит, прогностической силы не показала.</w:t>
      </w:r>
    </w:p>
    <w:p>
      <w:pPr>
        <w:pStyle w:val="Heading2"/>
      </w:pPr>
      <w:bookmarkStart w:name="_Toc156" w:id="156"/>
      <w:r>
        <w:t xml:space="preserve">7.2. Результат</w:t>
      </w:r>
      <w:bookmarkEnd w:id="15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638"/>
        <w:gridCol w:w="2313"/>
        <w:gridCol w:w="1542"/>
        <w:gridCol w:w="1445"/>
        <w:gridCol w:w="1448"/>
      </w:tblGrid>
      <w:tr>
        <w:trPr>
          <w:tblHeader/>
        </w:trPr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 умолчанию: оценка, баланс, исход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Лучшие в выборке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Оценка, баланс, исход</w:t>
            </w:r>
          </w:p>
        </w:tc>
        <w:tc>
          <w:tcPr>
            <w:tcW w:type="dxa" w:w="144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Перекрёстная проверка</w:t>
            </w:r>
          </w:p>
        </w:tc>
        <w:tc>
          <w:tcPr>
            <w:tcW w:type="dxa" w:w="144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 оценкой ИИ</w:t>
            </w:r>
          </w:p>
        </w:tc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−19,59; 2 из 5; 1 из 3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α 1,00, ρ −0,50, κ × 1,30, «Сбалансированный»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−11,48; 4 из 5; 1 из 3</w:t>
            </w:r>
          </w:p>
        </w:tc>
        <w:tc>
          <w:tcPr>
            <w:tcW w:type="dxa" w:w="144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−31,71 (−12,13)</w:t>
            </w:r>
          </w:p>
        </w:tc>
        <w:tc>
          <w:tcPr>
            <w:tcW w:type="dxa" w:w="144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оставить по умолчанию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без Карабаха</w:t>
            </w:r>
          </w:p>
        </w:tc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−18,47; 1 из 4; 1 из 2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α 1,00, ρ 0,25, κ × 1,15, «Суша, Европа»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−8,32; 3 из 4; 2 из 2</w:t>
            </w:r>
          </w:p>
        </w:tc>
        <w:tc>
          <w:tcPr>
            <w:tcW w:type="dxa" w:w="144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−23,15 (−4,68)</w:t>
            </w:r>
          </w:p>
        </w:tc>
        <w:tc>
          <w:tcPr>
            <w:tcW w:type="dxa" w:w="144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оставить по умолчанию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без оценки ИИ</w:t>
            </w:r>
          </w:p>
        </w:tc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−17,66; 3 из 5; 1 из 3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α 2,00, ρ 0,25, κ × 1,50, «Конвенциональный»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−13,52; 4 из 5; 2 из 3</w:t>
            </w:r>
          </w:p>
        </w:tc>
        <w:tc>
          <w:tcPr>
            <w:tcW w:type="dxa" w:w="144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−19,40 (−1,75)</w:t>
            </w:r>
          </w:p>
        </w:tc>
        <w:tc>
          <w:tcPr>
            <w:tcW w:type="dxa" w:w="144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оставить по умолчанию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Ориентиры: равновероятный прогноз — −8,79, прогноз по частотам — −8,15 (без Карабаха — −6,59 и −7,69). Даже лучшие в выборке параметры (−11,48) не достигают этих ориентиров.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1156"/>
        <w:gridCol w:w="1158"/>
      </w:tblGrid>
      <w:tr>
        <w:trPr>
          <w:tblHeader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Проверяемая война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Параметры, подобранные по остальным четырём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Соотношение / нужно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Баланс</w:t>
            </w:r>
          </w:p>
        </w:tc>
        <w:tc>
          <w:tcPr>
            <w:tcW w:type="dxa" w:w="115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Исход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 — Украина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α 1,75, ρ 0,00, κ × 1,50, «Экспедиционный»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13,78 / 1,69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неверно</w:t>
            </w:r>
          </w:p>
        </w:tc>
        <w:tc>
          <w:tcPr>
            <w:tcW w:type="dxa" w:w="115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неверно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Израиль и США — Иран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α 1,00, ρ −0,50, κ × 1,30, «Сбалансированный»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2,41 / 1,30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верно</w:t>
            </w:r>
          </w:p>
        </w:tc>
        <w:tc>
          <w:tcPr>
            <w:tcW w:type="dxa" w:w="115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верно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Индия — Пакистан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α 1,00, ρ 1,00, κ × 1,30, «Суша, Европа»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0,89 / 1,30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неверно</w:t>
            </w:r>
          </w:p>
        </w:tc>
        <w:tc>
          <w:tcPr>
            <w:tcW w:type="dxa" w:w="115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Таиланд — Камбоджа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α 1,50, ρ 1,00, κ × 0,90, «Суша, Европа»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0,92 / 1,19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неверно</w:t>
            </w:r>
          </w:p>
        </w:tc>
        <w:tc>
          <w:tcPr>
            <w:tcW w:type="dxa" w:w="115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Азербайджан — Армения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α 1,00, ρ 0,25, κ × 1,15, «Суша, Европа»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2,40 / 2,68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неверно</w:t>
            </w:r>
          </w:p>
        </w:tc>
        <w:tc>
          <w:tcPr>
            <w:tcW w:type="dxa" w:w="115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неверно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5F6761"/>
          <w:sz w:val="18"/>
          <w:szCs w:val="18"/>
        </w:rPr>
        <w:t xml:space="preserve">Перекрёстная проверка на основных данных: для каждой войны параметры подбирались без неё.</w:t>
      </w:r>
    </w:p>
    <w:p>
      <w:pPr>
        <w:pStyle w:val="Heading2"/>
      </w:pPr>
      <w:bookmarkStart w:name="_Toc157" w:id="157"/>
      <w:r>
        <w:t xml:space="preserve">7.3. Определимость параметров</w:t>
      </w:r>
      <w:bookmarkEnd w:id="15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084"/>
        <w:gridCol w:w="3084"/>
        <w:gridCol w:w="1350"/>
      </w:tblGrid>
      <w:tr>
        <w:trPr>
          <w:tblHeader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95%-я область (с оценкой ИИ)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95%-я область (без оценки ИИ)</w:t>
            </w:r>
          </w:p>
        </w:tc>
        <w:tc>
          <w:tcPr>
            <w:tcW w:type="dxa" w:w="135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Значений в сетке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α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1,0; 1,25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1,0; 1,25; 1,5; 1,75; 2,0</w:t>
            </w:r>
          </w:p>
        </w:tc>
        <w:tc>
          <w:tcPr>
            <w:tcW w:type="dxa" w:w="135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ρ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−0,5; 0,0; 0,25; 0,5; 0,75; 1,0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−0,5; 0,0; 0,25; 0,5; 0,75; 1,0</w:t>
            </w:r>
          </w:p>
        </w:tc>
        <w:tc>
          <w:tcPr>
            <w:tcW w:type="dxa" w:w="135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κ × (доля от 2,6·ln 10)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1,0; 1,15; 1,3; 1,5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0,9; 1,0; 1,15; 1,3; 1,5</w:t>
            </w:r>
          </w:p>
        </w:tc>
        <w:tc>
          <w:tcPr>
            <w:tcW w:type="dxa" w:w="135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набор весов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Сбалансированный; Конвенциональный; Затяжная война; Экспедиционный; Суша, Европа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Сбалансированный; Конвенциональный; Затяжная война; Экспедиционный; Суша, Европа</w:t>
            </w:r>
          </w:p>
        </w:tc>
        <w:tc>
          <w:tcPr>
            <w:tcW w:type="dxa" w:w="135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5F6761"/>
          <w:sz w:val="18"/>
          <w:szCs w:val="18"/>
        </w:rPr>
        <w:t xml:space="preserve">95%-я область — значения параметра, при которых лучшая достижимая оценка хуже максимума не больше чем на 1,92 (профиль правдоподобия).</w:t>
      </w:r>
    </w:p>
    <w:p>
      <w:pPr>
        <w:pStyle w:val="Heading2"/>
      </w:pPr>
      <w:bookmarkStart w:name="_Toc158" w:id="158"/>
      <w:r>
        <w:t xml:space="preserve">7.4. Противоречие между случаями</w:t>
      </w:r>
      <w:bookmarkEnd w:id="158"/>
    </w:p>
    <w:p>
      <w:pPr>
        <w:spacing w:after="120" w:line="288"/>
        <w:jc w:val="both"/>
      </w:pPr>
      <w:r>
        <w:t xml:space="preserve">Дополнительный анализ после расчёта (в протокол не входил): при каких κ вывод по балансу каждой войны верен, если остальные параметры по умолчанию.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1734"/>
        <w:gridCol w:w="1734"/>
        <w:gridCol w:w="1734"/>
        <w:gridCol w:w="1931"/>
      </w:tblGrid>
      <w:tr>
        <w:trPr>
          <w:tblHeader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Война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κ × при α = 1,0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κ × при α = 1,5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κ × при α = 2,0</w:t>
            </w:r>
          </w:p>
        </w:tc>
        <w:tc>
          <w:tcPr>
            <w:tcW w:type="dxa" w:w="19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Без оценки ИИ, α = 1,5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 — Украина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0,35–0,95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0,35–0,75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0,35–0,60</w:t>
            </w:r>
          </w:p>
        </w:tc>
        <w:tc>
          <w:tcPr>
            <w:tcW w:type="dxa" w:w="19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0,25–0,50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Израиль и США — Иран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0,90–3,00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0,85–3,00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0,85–3,00</w:t>
            </w:r>
          </w:p>
        </w:tc>
        <w:tc>
          <w:tcPr>
            <w:tcW w:type="dxa" w:w="19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0,85–3,00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Индия — Пакистан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1,45–3,00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1,35–3,00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1,30–3,00</w:t>
            </w:r>
          </w:p>
        </w:tc>
        <w:tc>
          <w:tcPr>
            <w:tcW w:type="dxa" w:w="19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0,95–3,00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Таиланд — Камбоджа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1,10–3,00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1,05–3,00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1,00–3,00</w:t>
            </w:r>
          </w:p>
        </w:tc>
        <w:tc>
          <w:tcPr>
            <w:tcW w:type="dxa" w:w="19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1,05–3,00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Азербайджан — Армения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1,30–3,00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0,85–3,00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0,65–3,00</w:t>
            </w:r>
          </w:p>
        </w:tc>
        <w:tc>
          <w:tcPr>
            <w:tcW w:type="dxa" w:w="19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0,95–3,00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Общего κ, при котором верны все пять войн, нет ни при одном α. Россия — Украина требует сжать разницу индексов (κ не больше 0,75 от умолчания при α = 1,5), Индия — Пакистан, наоборот, растянуть её (κ не меньше 1,35). Выводы по трём малым войнам держатся на допущении о доле задействованных сил ведущего участника: Индия — Пакистан: вывод меняется при s ≈ 0,33 вместо принятых 0,30; Таиланд — Камбоджа: принятая доля 0,30 уже на пороге; Азербайджан — Армения: вывод меняется при s ≈ 0,62 вместо принятых 0,70.</w:t>
      </w: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Вывод калибровки. </w:t>
      </w:r>
      <w:r>
        <w:t xml:space="preserve">Подобранные параметры предсказывают отложенные войны хуже параметров по умолчанию (перекрёстная оценка −31,71 против −19,59; без оценки ИИ — −19,40 против −17,66), поэтому по правилу протокола параметры по умолчанию остаются. Вероятностные прогнозы модели хуже простых ориентиров: модель слишком уверена — неопределённость данных даёт узкие интервалы, а главная ошибка лежит вне данных: в несопоставимых входах (разница индексов России и Украины) и в допущениях сценариев. Из пяти войн параметры не определяются: ρ и веса — никак, κ — только «не меньше умолчания», α — слабое предпочтение 1,0–1,25 на основных данных, которое исчезает без оценки ИИ. Глобальная настройка не может исправить прогноз по России и Украине: для этого нужны другие входы (подготовка, мотивация, дроны, поддержка союзников — экспертная панель) или иная модель обороны, а для калибровки — 20–30 случаев с данными своего года и объективными долями сил.</w:t>
      </w:r>
    </w:p>
    <w:p>
      <w:pPr>
        <w:pStyle w:val="Heading2"/>
      </w:pPr>
      <w:bookmarkStart w:name="_Toc159" w:id="159"/>
      <w:r>
        <w:t xml:space="preserve">7.5. Параметры модели боя по историческим сражениям</w:t>
      </w:r>
      <w:bookmarkEnd w:id="159"/>
    </w:p>
    <w:p>
      <w:pPr>
        <w:spacing w:after="120" w:line="288"/>
        <w:jc w:val="both"/>
      </w:pPr>
      <w:r>
        <w:t xml:space="preserve">Пять войн не определяют параметры, поэтому α и коэффициент обороны d оценены на независимых данных — базе сражений CDB90 (CAA Database of Battles, 1990; после отбора сражений: 644 за 1600–1973 гг., из них 404 за 1900–1973 гг. — основная выборка). Протокол зафиксирован до расчёта (коммит 567224b). Из модели боя следует ln(Lнап/Lобор) = ln d + (α − 1)·ln(Nобор/Nнап): соотношение потерь нападающего и обороняющегося зависит от соотношения сил с показателем α − 1. При первом прогоне выяснилось, что в использованной версии базы 217 поражений нападающего записаны пустыми; победитель взят из исходных таблиц, оценки α и d от этого не зависят.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67"/>
        <w:gridCol w:w="1252"/>
        <w:gridCol w:w="1252"/>
        <w:gridCol w:w="1252"/>
        <w:gridCol w:w="1252"/>
        <w:gridCol w:w="1060"/>
        <w:gridCol w:w="1161"/>
      </w:tblGrid>
      <w:tr>
        <w:trPr>
          <w:tblHeader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Выборка</w:t>
            </w:r>
          </w:p>
        </w:tc>
        <w:tc>
          <w:tcPr>
            <w:tcW w:type="dxa" w:w="86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Сражений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α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d: поспешная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d: подготовленная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d: укреплённая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Побед нападающего</w:t>
            </w:r>
          </w:p>
        </w:tc>
        <w:tc>
          <w:tcPr>
            <w:tcW w:type="dxa" w:w="116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Правило модели верно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1900–1973 (основная)</w:t>
            </w:r>
          </w:p>
        </w:tc>
        <w:tc>
          <w:tcPr>
            <w:tcW w:type="dxa" w:w="86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404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0,65 [0,46; 0,84]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0,87 [0,68; 1,15]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0,60 [0,47; 0,78]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0,65 [0,51; 0,83]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68%</w:t>
            </w:r>
          </w:p>
        </w:tc>
        <w:tc>
          <w:tcPr>
            <w:tcW w:type="dxa" w:w="116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55%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все годы</w:t>
            </w:r>
          </w:p>
        </w:tc>
        <w:tc>
          <w:tcPr>
            <w:tcW w:type="dxa" w:w="86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644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0,63 [0,45; 0,81]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0,81 [0,68; 0,96]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0,69 [0,54; 0,87]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0,67 [0,53; 0,86]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65%</w:t>
            </w:r>
          </w:p>
        </w:tc>
        <w:tc>
          <w:tcPr>
            <w:tcW w:type="dxa" w:w="116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51%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1939–1973</w:t>
            </w:r>
          </w:p>
        </w:tc>
        <w:tc>
          <w:tcPr>
            <w:tcW w:type="dxa" w:w="86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265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0,61 [0,35; 0,85]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0,78 [0,53; 1,16]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0,50 [0,36; 0,71]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0,52 [0,37; 0,72]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70%</w:t>
            </w:r>
          </w:p>
        </w:tc>
        <w:tc>
          <w:tcPr>
            <w:tcW w:type="dxa" w:w="116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59%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надёжные данные</w:t>
            </w:r>
          </w:p>
        </w:tc>
        <w:tc>
          <w:tcPr>
            <w:tcW w:type="dxa" w:w="86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486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0,67 [0,48; 0,88]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0,84 [0,68; 1,02]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0,65 [0,50; 0,86]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0,66 [0,51; 0,85]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65%</w:t>
            </w:r>
          </w:p>
        </w:tc>
        <w:tc>
          <w:tcPr>
            <w:tcW w:type="dxa" w:w="116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53%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5F6761"/>
          <w:sz w:val="18"/>
          <w:szCs w:val="18"/>
        </w:rPr>
        <w:t xml:space="preserve">В скобках — 95%-й интервал (бутстреп, 2 000 повторов). «Правило модели» — нападающий побеждает, если Nнап/Nобор ≥ d^(1/α) при прежних α = 1,5 и d = 1,3 / 1,8 / 3,0.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Квадратичный закон не подтверждается.</w:t>
      </w:r>
      <w:r>
        <w:t xml:space="preserve"> α = 0,65: потери стороны зависят от её собственной численности сильнее, чем от численности противника; соотношение сил объясняет лишь 4% разброса соотношения потерь.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Численность почти не предсказывает победу.</w:t>
      </w:r>
      <w:r>
        <w:t xml:space="preserve"> Перекрёстная проверка: модель победы по соотношению сил и типу обороны −0,62 на сражение против −0,63 у прогноза «нападающий обычно побеждает»; правило модели верно в 55% сражений при 68% побед нападающих.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Слом наступает раньше.</w:t>
      </w:r>
      <w:r>
        <w:t xml:space="preserve"> К концу боя проигравший теряет в медиане 10% сил, победитель — 4%; порог модели 40% достигается лишь в 15% сражений (по протоколу порог не меняется: модель описывает кампании, а не бои).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 ниже 1 — смещение отбора.</w:t>
      </w:r>
      <w:r>
        <w:t xml:space="preserve"> Нападают обычно те, кто сильнее качественно, и это занижает оценку. С поправкой на оценку боевой эффективности сторон составителями базы (вне протокола): α = 0,97 [0,80; 1,13], d = 1,18 / 0,96 / 0,99 — около 1; одна ступень преимущества в эффективности меняет соотношение потерь в 2,36 раза и шансы победы в 3,0 раза — больше, чем двукратный численный перевес.</w:t>
      </w:r>
    </w:p>
    <w:p>
      <w:pPr>
        <w:spacing w:after="120" w:line="288"/>
        <w:jc w:val="both"/>
      </w:pPr>
      <w:r>
        <w:t xml:space="preserve">По правилу протокола сражений кандидат θB (α 1,5; d 0,87 / 0,60 / 0,65) на пяти войнах лучше умолчаний. Но d &lt; 1 отражает смещение, а не слабость обороны, поэтому решение о параметрах вынесено на расширенную проверку на войнах (раздел 7.6), где сравниваются θ₀, θB и θC (α 1,0; d 1,3 / 1,0 / 1,0 — по оценке с поправкой на эффективность).</w:t>
      </w:r>
    </w:p>
    <w:p>
      <w:pPr>
        <w:pStyle w:val="Heading2"/>
      </w:pPr>
      <w:bookmarkStart w:name="_Toc160" w:id="160"/>
      <w:r>
        <w:t xml:space="preserve">7.6. Расширенная проверка: 10 войн 2018–2025 гг. по данным своего года</w:t>
      </w:r>
      <w:bookmarkEnd w:id="160"/>
    </w:p>
    <w:p>
      <w:pPr>
        <w:spacing w:after="120" w:line="288"/>
        <w:jc w:val="both"/>
      </w:pPr>
      <w:r>
        <w:t xml:space="preserve">Набор войн составлен по правилу, а не выбором: эпизоды из UCDP/PRIO ACD 26.1 — начало конфликта после перерыва или переход к войне, где страны пилота стоят по разные стороны (2016–2025 гг.), плюс перенесённый случай «Россия против Украины, 2023». Индекс каждой войны посчитан по срезу года, предшествующего её началу, — только из данных, известных до войны, и без оценки ИИ (она сделана в 2026 г. со знанием исходов). Историю численности ВВТ дали архивные выпуски Global Firepower 2015–2025 гг. (Wayback). Состав индекса одинаков во всех годах: 72 показателей, по которым данные есть у половины стран в каждом срезе. Протокол зафиксирован до расчёта (коммит 5ed015a).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786"/>
        <w:gridCol w:w="4130"/>
        <w:gridCol w:w="1573"/>
        <w:gridCol w:w="789"/>
      </w:tblGrid>
      <w:tr>
        <w:trPr>
          <w:tblHeader/>
        </w:trPr>
        <w:tc>
          <w:tcPr>
            <w:tcW w:type="dxa" w:w="23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Война</w:t>
            </w:r>
          </w:p>
        </w:tc>
        <w:tc>
          <w:tcPr>
            <w:tcW w:type="dxa" w:w="7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41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Факт</w:t>
            </w:r>
          </w:p>
        </w:tc>
        <w:tc>
          <w:tcPr>
            <w:tcW w:type="dxa" w:w="15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Код исхода</w:t>
            </w:r>
          </w:p>
        </w:tc>
        <w:tc>
          <w:tcPr>
            <w:tcW w:type="dxa" w:w="7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Спорно</w:t>
            </w:r>
          </w:p>
        </w:tc>
      </w:tr>
      <w:tr>
        <w:trPr>
          <w:cantSplit/>
        </w:trPr>
        <w:tc>
          <w:tcPr>
            <w:tcW w:type="dxa" w:w="23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Израиль против Ирана в Сирии, 2018</w:t>
            </w:r>
          </w:p>
        </w:tc>
        <w:tc>
          <w:tcPr>
            <w:tcW w:type="dxa" w:w="7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2017</w:t>
            </w:r>
          </w:p>
        </w:tc>
        <w:tc>
          <w:tcPr>
            <w:tcW w:type="dxa" w:w="41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удары по объектам Ирана в Сирии (T-4, 10.05.2018 — около 50 целей), ответный ракетный удар Ирана перехвачен</w:t>
            </w:r>
          </w:p>
        </w:tc>
        <w:tc>
          <w:tcPr>
            <w:tcW w:type="dxa" w:w="15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перевес достаточен</w:t>
            </w:r>
          </w:p>
        </w:tc>
        <w:tc>
          <w:tcPr>
            <w:tcW w:type="dxa" w:w="7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3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Китай против Индии, Ладакх, 2020</w:t>
            </w:r>
          </w:p>
        </w:tc>
        <w:tc>
          <w:tcPr>
            <w:tcW w:type="dxa" w:w="7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2019</w:t>
            </w:r>
          </w:p>
        </w:tc>
        <w:tc>
          <w:tcPr>
            <w:tcW w:type="dxa" w:w="41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выдвижение НОАК в спорные районы, бой в долине Галван 15.06.2020, противостояние и частичный развод войск 2021–2022 гг.</w:t>
            </w:r>
          </w:p>
        </w:tc>
        <w:tc>
          <w:tcPr>
            <w:tcW w:type="dxa" w:w="15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затяжные бои / без перелома</w:t>
            </w:r>
          </w:p>
        </w:tc>
        <w:tc>
          <w:tcPr>
            <w:tcW w:type="dxa" w:w="7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</w:trPr>
        <w:tc>
          <w:tcPr>
            <w:tcW w:type="dxa" w:w="23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Азербайджан против Армении, Карабах, 2020</w:t>
            </w:r>
          </w:p>
        </w:tc>
        <w:tc>
          <w:tcPr>
            <w:tcW w:type="dxa" w:w="7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2019</w:t>
            </w:r>
          </w:p>
        </w:tc>
        <w:tc>
          <w:tcPr>
            <w:tcW w:type="dxa" w:w="41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прорыв обороны, взятие Шуши 08.11.2020, соглашение о прекращении огня 10.11.2020</w:t>
            </w:r>
          </w:p>
        </w:tc>
        <w:tc>
          <w:tcPr>
            <w:tcW w:type="dxa" w:w="15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успех наступления</w:t>
            </w:r>
          </w:p>
        </w:tc>
        <w:tc>
          <w:tcPr>
            <w:tcW w:type="dxa" w:w="7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</w:trPr>
        <w:tc>
          <w:tcPr>
            <w:tcW w:type="dxa" w:w="23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Руанда (через M23) против ДРК, 2021–2022</w:t>
            </w:r>
          </w:p>
        </w:tc>
        <w:tc>
          <w:tcPr>
            <w:tcW w:type="dxa" w:w="7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2020</w:t>
            </w:r>
          </w:p>
        </w:tc>
        <w:tc>
          <w:tcPr>
            <w:tcW w:type="dxa" w:w="41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возобновление наступления M23 при поддержке армии Руанды; за 180 сут крупных городов не взято (Бунагана — 13.06.2022)</w:t>
            </w:r>
          </w:p>
        </w:tc>
        <w:tc>
          <w:tcPr>
            <w:tcW w:type="dxa" w:w="15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затяжные бои / без перелома</w:t>
            </w:r>
          </w:p>
        </w:tc>
        <w:tc>
          <w:tcPr>
            <w:tcW w:type="dxa" w:w="7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</w:trPr>
        <w:tc>
          <w:tcPr>
            <w:tcW w:type="dxa" w:w="23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 против Украины, вторжение 2022</w:t>
            </w:r>
          </w:p>
        </w:tc>
        <w:tc>
          <w:tcPr>
            <w:tcW w:type="dxa" w:w="7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2021</w:t>
            </w:r>
          </w:p>
        </w:tc>
        <w:tc>
          <w:tcPr>
            <w:tcW w:type="dxa" w:w="41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главная цель (Киев, смена власти) не достигнута, отход с севера к 06.04.2022</w:t>
            </w:r>
          </w:p>
        </w:tc>
        <w:tc>
          <w:tcPr>
            <w:tcW w:type="dxa" w:w="15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оборона устояла</w:t>
            </w:r>
          </w:p>
        </w:tc>
        <w:tc>
          <w:tcPr>
            <w:tcW w:type="dxa" w:w="7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</w:trPr>
        <w:tc>
          <w:tcPr>
            <w:tcW w:type="dxa" w:w="23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 против Украины, наступление 2023</w:t>
            </w:r>
          </w:p>
        </w:tc>
        <w:tc>
          <w:tcPr>
            <w:tcW w:type="dxa" w:w="7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2022</w:t>
            </w:r>
          </w:p>
        </w:tc>
        <w:tc>
          <w:tcPr>
            <w:tcW w:type="dxa" w:w="41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позиционные бои: Бахмут взят 20.05.2023 после 10 месяцев боёв, прорыва нет</w:t>
            </w:r>
          </w:p>
        </w:tc>
        <w:tc>
          <w:tcPr>
            <w:tcW w:type="dxa" w:w="15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затяжные бои / без перелома</w:t>
            </w:r>
          </w:p>
        </w:tc>
        <w:tc>
          <w:tcPr>
            <w:tcW w:type="dxa" w:w="7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</w:trPr>
        <w:tc>
          <w:tcPr>
            <w:tcW w:type="dxa" w:w="23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Пакистан против Афганистана, 2024</w:t>
            </w:r>
          </w:p>
        </w:tc>
        <w:tc>
          <w:tcPr>
            <w:tcW w:type="dxa" w:w="7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2023</w:t>
            </w:r>
          </w:p>
        </w:tc>
        <w:tc>
          <w:tcPr>
            <w:tcW w:type="dxa" w:w="41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авиаудары Пакистана в Пактике, ответные атаки талибов на пограничные посты, без изменений</w:t>
            </w:r>
          </w:p>
        </w:tc>
        <w:tc>
          <w:tcPr>
            <w:tcW w:type="dxa" w:w="15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перевес недостаточен</w:t>
            </w:r>
          </w:p>
        </w:tc>
        <w:tc>
          <w:tcPr>
            <w:tcW w:type="dxa" w:w="7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</w:trPr>
        <w:tc>
          <w:tcPr>
            <w:tcW w:type="dxa" w:w="23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Руанда (через M23) против ДРК, 2025</w:t>
            </w:r>
          </w:p>
        </w:tc>
        <w:tc>
          <w:tcPr>
            <w:tcW w:type="dxa" w:w="7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2024</w:t>
            </w:r>
          </w:p>
        </w:tc>
        <w:tc>
          <w:tcPr>
            <w:tcW w:type="dxa" w:w="41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взяты Гома (27.01.2025) и Букаву (16.02.2025)</w:t>
            </w:r>
          </w:p>
        </w:tc>
        <w:tc>
          <w:tcPr>
            <w:tcW w:type="dxa" w:w="15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успех наступления</w:t>
            </w:r>
          </w:p>
        </w:tc>
        <w:tc>
          <w:tcPr>
            <w:tcW w:type="dxa" w:w="7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</w:trPr>
        <w:tc>
          <w:tcPr>
            <w:tcW w:type="dxa" w:w="23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Индия против Пакистана, май 2025</w:t>
            </w:r>
          </w:p>
        </w:tc>
        <w:tc>
          <w:tcPr>
            <w:tcW w:type="dxa" w:w="7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2024</w:t>
            </w:r>
          </w:p>
        </w:tc>
        <w:tc>
          <w:tcPr>
            <w:tcW w:type="dxa" w:w="41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удары по 9 объектам и авиабазам, потери самолётов Индии в воздушном бою, ответные удары, перемирие 10.05.2025; обе стороны заявили победу</w:t>
            </w:r>
          </w:p>
        </w:tc>
        <w:tc>
          <w:tcPr>
            <w:tcW w:type="dxa" w:w="15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перевес недостаточен</w:t>
            </w:r>
          </w:p>
        </w:tc>
        <w:tc>
          <w:tcPr>
            <w:tcW w:type="dxa" w:w="7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3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Израиль и США против Ирана, июнь 2025</w:t>
            </w:r>
          </w:p>
        </w:tc>
        <w:tc>
          <w:tcPr>
            <w:tcW w:type="dxa" w:w="78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2024</w:t>
            </w:r>
          </w:p>
        </w:tc>
        <w:tc>
          <w:tcPr>
            <w:tcW w:type="dxa" w:w="41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господство в воздухе над Ираном, удары по ядерным объектам, перемирие 24.06.2025</w:t>
            </w:r>
          </w:p>
        </w:tc>
        <w:tc>
          <w:tcPr>
            <w:tcW w:type="dxa" w:w="157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успех наступления</w:t>
            </w:r>
          </w:p>
        </w:tc>
        <w:tc>
          <w:tcPr>
            <w:tcW w:type="dxa" w:w="7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</w:tbl>
    <w:p>
      <w:pPr>
        <w:spacing w:after="120"/>
      </w:pPr>
    </w:p>
    <w:p>
      <w:pPr>
        <w:spacing w:after="100"/>
      </w:pPr>
      <w:r>
        <w:rPr>
          <w:color w:val="5F6761"/>
          <w:sz w:val="18"/>
          <w:szCs w:val="18"/>
        </w:rPr>
        <w:t xml:space="preserve">Исключены по правилу отбора: Эритрея — Эфиопия, 2016 (Цорона) — нападающий спорен; Таиланд — Камбоджа, июль 2025 — нападающий спорен (стороны обвиняют друг друга, независимые источники не сходятся); Азербайджан — Арцах, сентябрь 2023 — Армения не участвовала, обороняющаяся сторона не государство; Сирия (Россия, Иран против Турции), 2020–2024 — основной участник — Сирия, не страна пилота; Индия — Пакистан, 2014–2020 (в т. ч. Балакот 2019) — эпизод начался до 2015 г., данных за год до начала нет; Украина — ДНР/ЛНР при участии России, 2014–2015 — данных за 2013–2014 гг. нет; США и Великобритания — Йемен, Израиль — Йемен, Израиль — Сирия — второй участник не страна пилота.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252"/>
        <w:gridCol w:w="1252"/>
        <w:gridCol w:w="1349"/>
        <w:gridCol w:w="1352"/>
      </w:tblGrid>
      <w:tr>
        <w:trPr>
          <w:tblHeader/>
        </w:trPr>
        <w:tc>
          <w:tcPr>
            <w:tcW w:type="dxa" w:w="44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Кандидат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Оценка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Без спорных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Баланс</w:t>
            </w:r>
          </w:p>
        </w:tc>
        <w:tc>
          <w:tcPr>
            <w:tcW w:type="dxa" w:w="13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Исход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θ₀ — умолчания (α 1,5; d 1,3 / 1,8 / 3,0)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−74,58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−67,50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 из 10</w:t>
            </w:r>
          </w:p>
        </w:tc>
        <w:tc>
          <w:tcPr>
            <w:tcW w:type="dxa" w:w="13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 из 7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θB — сражения по протоколу (α 1,5; d 0,87 / 0,60 / 0,65)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−73,92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−67,39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 из 10</w:t>
            </w:r>
          </w:p>
        </w:tc>
        <w:tc>
          <w:tcPr>
            <w:tcW w:type="dxa" w:w="13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 из 7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θC — сражения с поправкой на эффективность (α 1,0; d 1,3 / 1,0 / 1,0)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−64,45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−57,04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 из 10</w:t>
            </w:r>
          </w:p>
        </w:tc>
        <w:tc>
          <w:tcPr>
            <w:tcW w:type="dxa" w:w="13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 из 7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Ориентиры: равновероятный прогноз — −14,62, прогноз по частотам — −17,42. По правилу протокола выбран θC.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542"/>
        <w:gridCol w:w="1542"/>
        <w:gridCol w:w="1349"/>
        <w:gridCol w:w="2314"/>
      </w:tblGrid>
      <w:tr>
        <w:trPr>
          <w:tblHeader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Война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Соотношение / нужно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Прогноз баланса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Факт</w:t>
            </w:r>
          </w:p>
        </w:tc>
        <w:tc>
          <w:tcPr>
            <w:tcW w:type="dxa" w:w="23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Прогноз исхода (вероятность факта)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Израиль против Ирана в Сирии, 2018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1,14 / 1,30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недостаточен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достаточен</w:t>
            </w:r>
          </w:p>
        </w:tc>
        <w:tc>
          <w:tcPr>
            <w:tcW w:type="dxa" w:w="23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Китай против Индии, Ладакх, 2020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1,49 / 1,00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достаточен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недостаточен</w:t>
            </w:r>
          </w:p>
        </w:tc>
        <w:tc>
          <w:tcPr>
            <w:tcW w:type="dxa" w:w="23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затяжные бои / без перелома (51%)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Азербайджан против Армении, Карабах, 2020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1,84 / 0,87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достаточен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достаточен</w:t>
            </w:r>
          </w:p>
        </w:tc>
        <w:tc>
          <w:tcPr>
            <w:tcW w:type="dxa" w:w="23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успех наступления (100%)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Руанда (через M23) против ДРК, 2021–2022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1,19 / 1,00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достаточен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недостаточен</w:t>
            </w:r>
          </w:p>
        </w:tc>
        <w:tc>
          <w:tcPr>
            <w:tcW w:type="dxa" w:w="23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успех наступления (0%)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 против Украины, вторжение 2022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1,77 / 1,49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достаточен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недостаточен</w:t>
            </w:r>
          </w:p>
        </w:tc>
        <w:tc>
          <w:tcPr>
            <w:tcW w:type="dxa" w:w="23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затяжные бои / без перелома (0%)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 против Украины, наступление 2023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8,83 / 1,15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достаточен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недостаточен</w:t>
            </w:r>
          </w:p>
        </w:tc>
        <w:tc>
          <w:tcPr>
            <w:tcW w:type="dxa" w:w="23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успех наступления (0%)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Пакистан против Афганистана, 2024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6,84 / 1,30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достаточен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недостаточен</w:t>
            </w:r>
          </w:p>
        </w:tc>
        <w:tc>
          <w:tcPr>
            <w:tcW w:type="dxa" w:w="23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Руанда (через M23) против ДРК, 2025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1,07 / 1,00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достаточен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достаточен</w:t>
            </w:r>
          </w:p>
        </w:tc>
        <w:tc>
          <w:tcPr>
            <w:tcW w:type="dxa" w:w="23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успех наступления (53%)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Индия против Пакистана, май 2025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3,94 / 1,30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достаточен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недостаточен</w:t>
            </w:r>
          </w:p>
        </w:tc>
        <w:tc>
          <w:tcPr>
            <w:tcW w:type="dxa" w:w="23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Израиль и США против Ирана, июнь 2025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0,53 / 1,13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 обороны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достаточен</w:t>
            </w:r>
          </w:p>
        </w:tc>
        <w:tc>
          <w:tcPr>
            <w:tcW w:type="dxa" w:w="231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затяжные бои / без перелома (0%)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5F6761"/>
          <w:sz w:val="18"/>
          <w:szCs w:val="18"/>
        </w:rPr>
        <w:t xml:space="preserve">Строки — для выбранного кандидата. Вероятность факта по балансу и исходу — из Монте-Карло неопределённости данных и модели боя.</w:t>
      </w:r>
    </w:p>
    <w:p>
      <w:pPr>
        <w:spacing w:after="120" w:line="288"/>
        <w:jc w:val="both"/>
      </w:pPr>
      <w:r>
        <w:t xml:space="preserve">Перебор сетки α, ρ, κ и весов при таблице d выбранного кандидата: лучшая точка в выборке — α 1,00, ρ 1,00, κ × 0,50, «Суша, Европа» (оценка −46,75, баланс 4 из 10, исход 3 из 7); перекрёстная проверка с исключением одной войны — −51,92 против −64,45 у опорной точки (+12,53) → принять. 95%-е области: α — 1,0; 1,25; 1,5; 1,75; 2,0; ρ — −0,5; 0,75; 1,0; κ × — 0,5; веса — Конвенциональный; Затяжная война; Суша, Европа.</w:t>
      </w: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Вывод расширенной проверки. </w:t>
      </w:r>
      <w:r>
        <w:t xml:space="preserve">Ни один вариант не превзошёл простые ориентиры: θC — −64,45, лучшая точка сетки при перекрёстной проверке — −51,92, равновероятный прогноз — −14,62. Систематика та же, что в сражениях: индекс, который можно восстановить по годам (экономика, расходы, численность техники и личного состава; показателей — 72), переоценивает численность и не видит качества. Россия : Украина на данных 2022 г. — 8,86 : 1, Пакистан : Афганистан — 7,01 : 1, Индия : Пакистан — 3,84 : 1, а Израиль с США против Ирана — 0,52 : 1 при быстрой победе Израиля. По правилам протоколов θC (α 1,0; d 1,3 / 1,0 / 1,0), оценённый на сражениях, лучше умолчаний на независимых войнах (+10,13), а точка сетки (ρ 1,0; κ × 0,5; «Суша, Европа») лучше θC вне выборки (+12,53). Но κ упёрся в нижний край сетки, а на полном индексе 2025 г. (раздел 7.3) тянулся вверх: его значение зависит от состава индекса и устойчивым параметром не является. Решение о параметрах — раздел 7.7.</w:t>
      </w:r>
    </w:p>
    <w:p>
      <w:pPr>
        <w:pStyle w:val="Heading2"/>
      </w:pPr>
      <w:bookmarkStart w:name="_Toc161" w:id="161"/>
      <w:r>
        <w:t xml:space="preserve">7.7. Решение: α = 1,0, d по сражениям, d войны на Украине — по её потерям</w:t>
      </w:r>
      <w:bookmarkEnd w:id="161"/>
    </w:p>
    <w:p>
      <w:pPr>
        <w:spacing w:after="120" w:line="288"/>
        <w:jc w:val="both"/>
      </w:pPr>
      <w:r>
        <w:t xml:space="preserve">Решение пользователя 13.10.2026: принять θC — α = 1,0 (линейный закон; в Монте-Карло и анализе Соболя α ~ U(0,8; 1,2)) и коэффициенты обороны d = 1,3 для поспешной обороны и ударов, 1,0 для подготовленной и укреплённой обороны. Точку перебора сетки (ρ 1,0; κ × 0,5; «Суша, Европа») не принимать: κ упёрся в край сетки и на полном индексе тянулся в обратную сторону. При первом пересчёте выяснилось, что сценарий «Россия против Украины» на экспертных баллах предсказывает успех наступления за месяц (1,68 : 1 при нужных 1,00 : 1); прежнее объяснение позиционной войны держалось на сценарном допущении d = 2,5 при α = 1,3. Поэтому d этой войны измерен по её собственным потерям — протокол зафиксирован до расчёта (коммит 68b7081): при α = 1 из модели боя следует d = Lнап / Lобор.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831"/>
        <w:gridCol w:w="1831"/>
        <w:gridCol w:w="1831"/>
        <w:gridCol w:w="1832"/>
      </w:tblGrid>
      <w:tr>
        <w:trPr>
          <w:tblHeader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Вся техника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Танки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Бронетехника</w:t>
            </w:r>
          </w:p>
        </w:tc>
        <w:tc>
          <w:tcPr>
            <w:tcW w:type="dxa" w:w="183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Артиллерия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2024–2025 (основная)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10 084 / 6 023 = 1,67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1 693 / 648 = 2,61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6 622 / 4 053 = 1,63</w:t>
            </w:r>
          </w:p>
        </w:tc>
        <w:tc>
          <w:tcPr>
            <w:tcW w:type="dxa" w:w="183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233 / 515 = 0,45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2023–2025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15 252 / 8 260 = 1,85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2 701 / 931 = 2,90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9 511 / 5 311 = 1,79</w:t>
            </w:r>
          </w:p>
        </w:tc>
        <w:tc>
          <w:tcPr>
            <w:tcW w:type="dxa" w:w="183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919 / 799 = 1,15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вся война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23 812 / 10 937 = 2,18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4 301 / 1 370 = 3,14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14 228 / 6 914 = 2,06</w:t>
            </w:r>
          </w:p>
        </w:tc>
        <w:tc>
          <w:tcPr>
            <w:tcW w:type="dxa" w:w="183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1 538 / 1 010 = 1,52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вторжение, 24.02–07.04.2022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2 572 / 854 = 3,01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452 / 127 = 3,56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1 381 / 409 = 3,38</w:t>
            </w:r>
          </w:p>
        </w:tc>
        <w:tc>
          <w:tcPr>
            <w:tcW w:type="dxa" w:w="183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184 / 66 = 2,79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5F6761"/>
          <w:sz w:val="18"/>
          <w:szCs w:val="18"/>
        </w:rPr>
        <w:t xml:space="preserve">Потери России / потери Украины по Oryx (визуально подтверждённые, включая трофеи), разность итогов на снимках Wayback; нападающий — Россия, кроме контрнаступления Украины 2023 г. и Курской операции 2024–2025 гг.</w:t>
      </w:r>
    </w:p>
    <w:p>
      <w:pPr>
        <w:spacing w:after="120" w:line="288"/>
        <w:jc w:val="both"/>
      </w:pPr>
      <w:r>
        <w:t xml:space="preserve">Основная оценка по правилу протокола — 2024–2025 гг., вся техника: d = 1,70 (разброс вариантов 0,45–3,56; по артиллерии Россия теряла меньше Украины). Ограничения: Oryx учитывает только подтверждённое фото и видео, потери России документируются плотнее, поэтому d, вероятно, завышен; техника — не вся боевая мощь. Случай «Россия против Украины» больше не является независимой проверкой: d взят из той же войны.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Рейтинг 2025 г.</w:t>
      </w:r>
      <w:r>
        <w:t xml:space="preserve"> почти не изменился (сдвиги до 1 балла), ранговая корреляция с экспертами — 0,81.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Проверка на войнах.</w:t>
      </w:r>
      <w:r>
        <w:t xml:space="preserve"> Экспертная оценка — баланс 2 из 2, исход 2 из 2: Россия против Украины 1,68 : 1 при нужных 1,70 : 1 — модель снова ожидает позиционную войну, но запас — сотые доли (при d = 1,67 без округления вывод меняется). Пилот — баланс 2 из 5, исход 2 из 3 (Карабах стал верным).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Коалиции.</w:t>
      </w:r>
      <w:r>
        <w:t xml:space="preserve"> Израиль и США против Ирана — 6,84 : 1 при нужных 1,30 : 1; в Прибалтике окно перевеса нападающего — сутки 0–7 вместо 0–4: при d = 1,0 подготовленная оборона НАТО слабее, чем по прежнему допущению.</w:t>
      </w:r>
    </w:p>
    <w:p>
      <w:pPr>
        <w:pStyle w:val="Heading2"/>
      </w:pPr>
      <w:bookmarkStart w:name="_Toc162" w:id="162"/>
      <w:r>
        <w:t xml:space="preserve">7.8. Ошибка модели</w:t>
      </w:r>
      <w:bookmarkEnd w:id="162"/>
    </w:p>
    <w:p>
      <w:pPr>
        <w:spacing w:after="120" w:line="288"/>
        <w:jc w:val="both"/>
      </w:pPr>
      <w:r>
        <w:t xml:space="preserve">Вероятности модели учитывали только погрешность данных, поэтому были слишком уверенными. Ошибка модели введена множителем к силам нападающего exp(σ·z), z ~ N(0; 1), и оценена по тем же 10 войнам 2018–2025 гг. при текущей методике (α 1,0; d по таблице, без измеренного d войны на Украине). Протокол зафиксирован до расчёта (коммит f2a1a3c).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698"/>
        <w:gridCol w:w="2698"/>
        <w:gridCol w:w="2700"/>
      </w:tblGrid>
      <w:tr>
        <w:trPr>
          <w:tblHeader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σ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Оценка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Баланс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Исход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0,00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−64,45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−34,78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−29,67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0,10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−61,25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−32,95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−28,30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0,20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−57,71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−30,29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−27,42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0,30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−54,91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−28,65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−26,26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0,50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−48,50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−23,37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−25,13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0,75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−42,05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−18,60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−23,45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1,00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−35,29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−13,83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−21,46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1,25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−33,46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−11,49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−21,97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1,50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−29,78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−10,74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−19,03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2,00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−27,88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−9,41</w:t>
            </w:r>
          </w:p>
        </w:tc>
        <w:tc>
          <w:tcPr>
            <w:tcW w:type="dxa" w:w="270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−18,47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Оценка растёт до края сетки: лучшее σ = 2,00, перекрёстная проверка выбирает его для каждой из 10 войн (−27,88 против −64,45 при σ = 0), но и так модель хуже равновероятного прогноза (−14,62). Причина видна по остаткам ln(Fнап/Fобор ÷ R): там, где перевеса нападающему не хватило, модель давала в среднем 0,92, а там, где хватило, — -0,02: на этих войнах соотношение сил по восстановимому индексу не несёт прогностической информации.</w:t>
      </w: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Ошибка модели в методике. </w:t>
      </w:r>
      <w:r>
        <w:t xml:space="preserve">Решение пользователя 13.10.2026: σ = 2,00 входит только в вероятность того, что перевеса хватает, — P = Φ(ln(Fнап/Fобор ÷ R) / σ); модель боя остаётся без добавочного шума, её исходы условны («если соотношение сил верно»). По протоколу σ шла бы и в модель боя, но большой разброс сил почти исключает в ней затяжные бои (для России и Украины на экспертных баллах «успех наступления» 48%, затяжные бои — 10%), поэтому это отступление сделано явно. Сейчас: Россия против Украины — P = 50%, Израиль и США против Ирана — 80%.</w:t>
      </w:r>
    </w:p>
    <w:p>
      <w:pPr>
        <w:pStyle w:val="Heading2"/>
      </w:pPr>
      <w:bookmarkStart w:name="_Toc163" w:id="163"/>
      <w:r>
        <w:t xml:space="preserve">7.9. Качество по годам и модель ударных кампаний</w:t>
      </w:r>
      <w:bookmarkEnd w:id="163"/>
    </w:p>
    <w:p>
      <w:pPr>
        <w:spacing w:after="120" w:line="288"/>
        <w:jc w:val="both"/>
      </w:pPr>
      <w:r>
        <w:t xml:space="preserve">Протокол зафиксирован до расчёта (коммит 67504ee). В срезы прошлых лет добавлены годовые ряды военных расходов на одного военнослужащего (P10: SIPRI и численность IISS или архива Global Firepower) и охвата высшим образованием (P12); оба вошли в состав (74 показателей). Проверка на тех же 10 войнах: −65,97 против −64,45 при σ = 0 и −27,90 против −27,88 при σ = 2,0, перевес верно определён в 2 войнах из 10 — эти показатели качества прогноз не улучшили.</w:t>
      </w:r>
    </w:p>
    <w:p>
      <w:pPr>
        <w:spacing w:after="120" w:line="288"/>
        <w:jc w:val="both"/>
      </w:pPr>
      <w:r>
        <w:t xml:space="preserve">Вариант для ударных кампаний считает силу стороны по столпу «ВВС и ПВО» вместо автономной мощи. На четырёх ударных войнах при σ = 2,0 он хуже общей модели (−5,32 против −4,36; верных выводов 1 против 0), поэтому по правилу ударные сценарии считаются по общей модели. Показательны ошибки: Пакистан против Афганистана по авиации — 78,3 : 1, но ответ талибов был наземным; Израиль против Ирана — 1,00 : 1, потому что счёт самолётов не различает поколения.</w:t>
      </w:r>
    </w:p>
    <w:p>
      <w:pPr>
        <w:pStyle w:val="Heading2"/>
      </w:pPr>
      <w:bookmarkStart w:name="_Toc164" w:id="164"/>
      <w:r>
        <w:t xml:space="preserve">7.10. Монитор очагов: вероятность конфликта в паре государств</w:t>
      </w:r>
      <w:bookmarkEnd w:id="164"/>
    </w:p>
    <w:p>
      <w:pPr>
        <w:spacing w:after="120" w:line="288"/>
        <w:jc w:val="both"/>
      </w:pPr>
      <w:r>
        <w:t xml:space="preserve">Десяти войн мало для проверки, поэтому вопрос поставлен шире: насколько предсказуемы вооружённые конфликты между государствами пилота вообще и добавляет ли что-то индекс военной мощи. Единица — пара из 40 стран в году 2016–2025 (7 800 пар-лет), исход — конфликт по UCDP/PRIO, признаки — только по данным прошлого года. Протокол зафиксирован до расчёта (коммит cb72541).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3469"/>
        <w:gridCol w:w="1542"/>
        <w:gridCol w:w="963"/>
        <w:gridCol w:w="1930"/>
      </w:tblGrid>
      <w:tr>
        <w:trPr>
          <w:tblHeader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Исход</w:t>
            </w:r>
          </w:p>
        </w:tc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Логарифмическая оценка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Прогнозов / конфликтов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наличие конфликта</w:t>
            </w:r>
          </w:p>
        </w:tc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частота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−227,92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0,55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5 460 / 38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наличие конфликта</w:t>
            </w:r>
          </w:p>
        </w:tc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география, история, демократия, союз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−66,65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0,96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5 460 / 38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наличие конфликта</w:t>
            </w:r>
          </w:p>
        </w:tc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M1 + показатели ИВМ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−68,61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0,98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5 460 / 38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начало конфликта</w:t>
            </w:r>
          </w:p>
        </w:tc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частота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−61,39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0,36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5 427 / 8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начало конфликта</w:t>
            </w:r>
          </w:p>
        </w:tc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география, история, демократия, союз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−51,50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0,75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5 427 / 8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начало конфликта</w:t>
            </w:r>
          </w:p>
        </w:tc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M1 + показатели ИВМ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−55,87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0,74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5 427 / 8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5F6761"/>
          <w:sz w:val="18"/>
          <w:szCs w:val="18"/>
        </w:rPr>
        <w:t xml:space="preserve">Проверка вперёд по времени: прогноз на каждый год 2019–2025 по модели, обученной на предыдущих годах. AUC — вероятность того, что пара с конфликтом получит более высокую оценку, чем пара без него.</w:t>
      </w:r>
    </w:p>
    <w:p>
      <w:pPr>
        <w:spacing w:after="120" w:line="288"/>
        <w:jc w:val="both"/>
      </w:pPr>
      <w:r>
        <w:t xml:space="preserve">Конфликты пар хорошо предсказуемы по соседству, истории и режиму (AUC 0,96), а показатели ИВМ — близость сил и сила сильнейшего — прогноз вне выборки не улучшают (−68,61 против −66,65), поэтому по правилу в монитор не входят. Это согласуется с проверкой на войнах: индекс описывает ресурсы, но не решения о войне и не её исход. Новые очаги предсказываются хуже (AUC 0,75 по 8 началам).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7"/>
        <w:gridCol w:w="1927"/>
        <w:gridCol w:w="1929"/>
      </w:tblGrid>
      <w:tr>
        <w:trPr>
          <w:tblHeader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Вероятность в 2026 г.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Конфликт в 2025 г.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Лет конфликта за 10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 — Украина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99,2%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да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Индия — Пакистан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96,8%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да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ДР Конго — Руанда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96,7%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да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Иран — Израиль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95,0%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да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Афганистан — Пакистан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94,1%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да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Иран — США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87,9%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да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Камбоджа — Таиланд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82,6%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да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КНДР — Украина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69,3%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да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Армения — Азербайджан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21,4%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нет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Эритрея — Эфиопия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3,6%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нет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Китай — Индия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2,5%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нет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Республика Корея — КНДР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1,0%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нет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5F6761"/>
          <w:sz w:val="18"/>
          <w:szCs w:val="18"/>
        </w:rPr>
        <w:t xml:space="preserve">Первые 12 пар; полный список — вкладка «Монитор очагов» прототипа и data/pilot/monitor_2026.json. События после 2025 г. (перемирия, соглашения) в данных нет.</w:t>
      </w:r>
    </w:p>
    <w:p>
      <w:pPr>
        <w:pStyle w:val="Heading1"/>
        <w:pageBreakBefore/>
      </w:pPr>
      <w:bookmarkStart w:name="_Toc165" w:id="165"/>
      <w:r>
        <w:t xml:space="preserve">8. Выводы и следующие шаги</w:t>
      </w:r>
      <w:bookmarkEnd w:id="165"/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Экспертные показатели без объективного измерителя</w:t>
      </w:r>
      <w:r>
        <w:t xml:space="preserve"> (67 шт., шаблон на 1 268 ячеек): подготовка, исправность, налёт, качество командования, производство боеприпасов. Заполнять — панелью экспертов по процедуре Дельфи с явной погрешностью; без них пилот не проходит проверку на войне России и Украины.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Недостающие данные IISS:</w:t>
      </w:r>
      <w:r>
        <w:t xml:space="preserve"> силы специальных операций, морская пехота, дивизионы ЗРК, ячейки VLS, средний возраст парков, модификации внутри семейств (доля Т-72Б3 среди Т-72, БМП-2М среди БМП-2); сверка чисел Global Firepower и Википедии с IISS Military Balance 2026.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Справочник образцов, вторая очередь:</w:t>
      </w:r>
      <w:r>
        <w:t xml:space="preserve"> коэффициенты качества q (эталон = 1,0) для взвешенной численности, корабли; дивизионы ЗРК средней дальности; возраст флота по датам ввода кораблей.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Калибровка.</w:t>
      </w:r>
      <w:r>
        <w:t xml:space="preserve"> Проведена (раздел 7): по пяти войнам параметры не определяются, подобранные хуже умолчания вне выборки. Дальше — 20–30 проверочных случаев (войны 1990–2026 гг. и сражения с данными своего года), объективные доли сил в сценариях и явная ошибка модели в Монте-Карло, оцениваемая по этим случаям.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Ядро, вторая очередь:</w:t>
      </w:r>
      <w:r>
        <w:t xml:space="preserve"> API (FastAPI) и перенос интерфейса на React; ежеквартальное обновление «быстрых» показателей.</w:t>
      </w:r>
    </w:p>
    <w:p>
      <w:pPr>
        <w:pStyle w:val="Heading1"/>
        <w:pageBreakBefore/>
      </w:pPr>
      <w:bookmarkStart w:name="_Toc166" w:id="166"/>
      <w:r>
        <w:t xml:space="preserve">Источники</w:t>
      </w:r>
      <w:bookmarkEnd w:id="166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SIPRI Military Expenditure Database (апрель 2026 г.), SIPRI Top-100 (декабрь 2025 г.), SIPRI Yearbook 2026 (июнь 2026 г.)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World Bank — World Development Indicators, Worldwide Governance Indicators, Human Capital Index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IMF — World Economic Outlook (DataMapper)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Our World in Data — energy-data (Energy Institute Statistical Review), UN World Population Prospects 2024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CIA World Factbook (зеркало factbook.json), UCS Satellite Database (май 2023 г.)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UCDP/PRIO Armed Conflict Dataset, версия 26.1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IISS, The Military Balance 2024–2026 (через таблицы Википедии), Global Firepower 2026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Transparency International CPI 2025, WIPO Global Innovation Index 2025, worldsteel, FAS Nuclear Notebook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ITU Global Cybersecurity Index 2024 (World Bank Data360), ООН — Uniformed Personnel Contributions (HDX), USGS Mineral Commodity Summaries 2026, FAOSTAT — Suite of Food Security Indicators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Secure World Foundation, Global Counterspace Capabilities (апрель 2025 г.), CSIS Missile Threat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Oryx — Documenting Russian Equipment Losses (через примечания таблиц Википедии, данные на 25 октября 2025 г.)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Quality of Government Standard Dataset (январь 2026 г.): World Values Survey / European Values Study, Bjørnskov–Rode Coup Data; Natural Earth; TeleGeography Submarine Cable Map; U.S. EIA — World Oil Transit Chokepoints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SIPRI Arms Transfers Database (данные на октябрь 2026 г.); ATOP 5.1 и тексты договоров о взаимной обороне (data/ref/defense_treaties.csv); Wikipedia — List of countries with overseas military bases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Nunn N., Puga D. Ruggedness: The Blessing of Bad Geography in Africa (2012), данные рельефа; World Bank Climate Change Knowledge Portal (CRU TS 4.08, 1991–2020); OurAirports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UNCTADstat — Ships built by country of building; UNESCO UIS (февраль 2026 г.); CSET — The Global Distribution of STEM Graduates (2023)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7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761"/>
        <w:sz w:val="16"/>
        <w:szCs w:val="16"/>
      </w:rPr>
      <w:t xml:space="preserve"> / </w:t>
    </w:r>
    <w:r>
      <w:rPr>
        <w:color w:val="5F67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761"/>
        <w:sz w:val="16"/>
        <w:szCs w:val="16"/>
      </w:rPr>
      <w:t xml:space="preserve">Пилот на 40 государствах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1B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1F1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9F2F2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1A1F1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c30146fa0d54ce102c9e876f36148748f8eee17.png"/><Relationship Id="rId10" Type="http://schemas.openxmlformats.org/officeDocument/2006/relationships/image" Target="media/0d6a9fd51f9b3e2ba457112c917bb59348eb5ef0.png"/><Relationship Id="rId11" Type="http://schemas.openxmlformats.org/officeDocument/2006/relationships/image" Target="media/93876edc35917c06c727ed552acfcc0209fa51f9.png"/><Relationship Id="rId12" Type="http://schemas.openxmlformats.org/officeDocument/2006/relationships/image" Target="media/6f3125f8ca3bd2b7279478096e06e9a616aad85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Пилот на 40 государствах</dc:title>
  <dc:creator>ИВМ «Ланчестер–Осипов»</dc:creator>
  <cp:lastModifiedBy>Un-named</cp:lastModifiedBy>
  <cp:revision>1</cp:revision>
  <dcterms:created xsi:type="dcterms:W3CDTF">2026-10-19T18:38:00.441Z</dcterms:created>
  <dcterms:modified xsi:type="dcterms:W3CDTF">2026-10-19T18:38:00.441Z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