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2.4. Why the hypothesis did not work: yield per drone and the composition of losses (branch B)</w:t>
            </w:r>
            <w:r>
              <w:tab/>
            </w:r>
            <w:r>
              <w:fldChar w:fldCharType="begin" w:dirty="true"/>
              <w:instrText xml:space="preserve">PAGEREF _Toc196 \h</w:instrText>
              <w:fldChar w:fldCharType="separate"/>
              <w:fldChar w:fldCharType="end"/>
            </w:r>
          </w:hyperlink>
        </w:p>
        <w:p>
          <w:pPr>
            <w:pStyle w:val="TOC1"/>
            <w:tabs>
              <w:tab w:val="right" w:pos="9638" w:leader="dot"/>
            </w:tabs>
          </w:pPr>
          <w:hyperlink w:history="1" w:anchor="_Toc197">
            <w:r>
              <w:t xml:space="preserve">3. How models account for intelligence and psychology</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3.1. Intelligence — transition between laws</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3.2. Psychology — will as a state variable</w:t>
            </w:r>
            <w:r>
              <w:tab/>
            </w:r>
            <w:r>
              <w:fldChar w:fldCharType="begin" w:dirty="true"/>
              <w:instrText xml:space="preserve">PAGEREF _Toc199 \h</w:instrText>
              <w:fldChar w:fldCharType="separate"/>
              <w:fldChar w:fldCharType="end"/>
            </w:r>
          </w:hyperlink>
        </w:p>
        <w:p>
          <w:pPr>
            <w:pStyle w:val="TOC1"/>
            <w:tabs>
              <w:tab w:val="right" w:pos="9638" w:leader="dot"/>
            </w:tabs>
          </w:pPr>
          <w:hyperlink w:history="1" w:anchor="_Toc200">
            <w:r>
              <w:t xml:space="preserve">4. Measurements on CDB90 battles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4.1. The fire law: what daily losses depend on</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4.2. Intelligence and psychology in numerical advantage</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4.3. Will threshold</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4.4. Potential × effectiveness: what explains the outcome (branch 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4.5. Order of the index and the balance of forces (branch G)</w:t>
            </w:r>
            <w:r>
              <w:tab/>
            </w:r>
            <w:r>
              <w:fldChar w:fldCharType="begin" w:dirty="true"/>
              <w:instrText xml:space="preserve">PAGEREF _Toc205 \h</w:instrText>
              <w:fldChar w:fldCharType="separate"/>
              <w:fldChar w:fldCharType="end"/>
            </w:r>
          </w:hyperlink>
        </w:p>
        <w:p>
          <w:pPr>
            <w:pStyle w:val="TOC1"/>
            <w:tabs>
              <w:tab w:val="right" w:pos="9638" w:leader="dot"/>
            </w:tabs>
          </w:pPr>
          <w:hyperlink w:history="1" w:anchor="_Toc206">
            <w:r>
              <w:t xml:space="preserve">5. Analysis of common claims</w:t>
            </w:r>
            <w:r>
              <w:tab/>
            </w:r>
            <w:r>
              <w:fldChar w:fldCharType="begin" w:dirty="true"/>
              <w:instrText xml:space="preserve">PAGEREF _Toc206 \h</w:instrText>
              <w:fldChar w:fldCharType="separate"/>
              <w:fldChar w:fldCharType="end"/>
            </w:r>
          </w:hyperlink>
        </w:p>
        <w:p>
          <w:pPr>
            <w:pStyle w:val="TOC1"/>
            <w:tabs>
              <w:tab w:val="right" w:pos="9638" w:leader="dot"/>
            </w:tabs>
          </w:pPr>
          <w:hyperlink w:history="1" w:anchor="_Toc207">
            <w:r>
              <w:t xml:space="preserve">6. Scientific novelty</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6.1. Not new</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6.2. Possibly new (priority must be confirmed by a literature review)</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6.3. Where the gap is</w:t>
            </w:r>
            <w:r>
              <w:tab/>
            </w:r>
            <w:r>
              <w:fldChar w:fldCharType="begin" w:dirty="true"/>
              <w:instrText xml:space="preserve">PAGEREF _Toc210 \h</w:instrText>
              <w:fldChar w:fldCharType="separate"/>
              <w:fldChar w:fldCharType="end"/>
            </w:r>
          </w:hyperlink>
        </w:p>
        <w:p>
          <w:pPr>
            <w:pStyle w:val="TOC1"/>
            <w:tabs>
              <w:tab w:val="right" w:pos="9638" w:leader="dot"/>
            </w:tabs>
          </w:pPr>
          <w:hyperlink w:history="1" w:anchor="_Toc211">
            <w:r>
              <w:t xml:space="preserve">7. Competitor: TENET Intelligence MCI</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8. Plan</w:t>
            </w:r>
            <w:r>
              <w:tab/>
            </w:r>
            <w:r>
              <w:fldChar w:fldCharType="begin" w:dirty="true"/>
              <w:instrText xml:space="preserve">PAGEREF _Toc212 \h</w:instrText>
              <w:fldChar w:fldCharType="separate"/>
              <w:fldChar w:fldCharType="end"/>
            </w:r>
          </w:hyperlink>
        </w:p>
        <w:p>
          <w:pPr>
            <w:pStyle w:val="TOC1"/>
            <w:tabs>
              <w:tab w:val="right" w:pos="9638" w:leader="dot"/>
            </w:tabs>
          </w:pPr>
          <w:hyperlink w:history="1" w:anchor="_Toc213">
            <w:r>
              <w:t xml:space="preserve">References</w:t>
            </w:r>
            <w:r>
              <w:tab/>
            </w:r>
            <w:r>
              <w:fldChar w:fldCharType="begin" w:dirty="true"/>
              <w:instrText xml:space="preserve">PAGEREF _Toc213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spacing w:after="120" w:line="288"/>
        <w:jc w:val="both"/>
      </w:pPr>
      <w:r>
        <w:rPr>
          <w:b/>
          <w:bCs/>
        </w:rPr>
        <w:t xml:space="preserve">Layered air defence and target speed (implemented in the prototype calculator, `core/lanmil/salvo.py`).</w:t>
      </w:r>
      <w:r>
        <w:t xml:space="preserve"> Targets pass through the layers in order, and each layer spends stock only on the targets that reached it; the effectiveness of an interceptor falls with target speed above its reference speed:</w:t>
      </w:r>
    </w:p>
    <w:p>
      <w:pPr>
        <w:shd w:fill="F2F4F0" w:color="auto" w:val="clear"/>
        <w:spacing w:after="0" w:before="60"/>
        <w:ind w:left="200" w:right="200"/>
        <w:jc w:val="left"/>
      </w:pPr>
      <w:r>
        <w:rPr>
          <w:rFonts w:ascii="Consolas" w:cs="Consolas" w:eastAsia="Consolas" w:hAnsi="Consolas"/>
          <w:color w:val="1A1F1B"/>
          <w:sz w:val="19"/>
          <w:szCs w:val="19"/>
        </w:rPr>
        <w:t xml:space="preserve">p_eff = p0 for v ≤ v_ref,  otherwise  p0 · (v_ref / v)^g</w:t>
      </w:r>
    </w:p>
    <w:p>
      <w:pPr>
        <w:shd w:fill="F2F4F0" w:color="auto" w:val="clear"/>
        <w:spacing w:after="0" w:before="0"/>
        <w:ind w:left="200" w:right="200"/>
        <w:jc w:val="left"/>
      </w:pPr>
      <w:r>
        <w:rPr>
          <w:rFonts w:ascii="Consolas" w:cs="Consolas" w:eastAsia="Consolas" w:hAnsi="Consolas"/>
          <w:color w:val="1A1F1B"/>
          <w:sz w:val="19"/>
          <w:szCs w:val="19"/>
        </w:rPr>
        <w:t xml:space="preserve">a target passes a layer with probability (1 − p_eff)^n,  n — whole interceptors per target</w:t>
      </w:r>
    </w:p>
    <w:p>
      <w:pPr>
        <w:shd w:fill="F2F4F0" w:color="auto" w:val="clear"/>
        <w:spacing w:after="160" w:before="0"/>
        <w:ind w:left="200" w:right="200"/>
        <w:jc w:val="left"/>
      </w:pPr>
      <w:r>
        <w:rPr>
          <w:rFonts w:ascii="Consolas" w:cs="Consolas" w:eastAsia="Consolas" w:hAnsi="Consolas"/>
          <w:color w:val="1A1F1B"/>
          <w:sz w:val="19"/>
          <w:szCs w:val="19"/>
        </w:rPr>
        <w:t xml:space="preserve">stock_j(t+1) = stock_j(t) − k_j · (number of targets reaching layer j) + output_j</w:t>
      </w:r>
    </w:p>
    <w:p>
      <w:pPr>
        <w:spacing w:after="120" w:line="288"/>
        <w:jc w:val="both"/>
      </w:pPr>
      <w:r>
        <w:t xml:space="preserve">The exponent g = 0.5 was chosen roughly from two claimed class D points (piston-engine Shaheds are intercepted in 92–98% of cases, jet-type ones in about 60%; the Ukrainian Air Force, FT, September 2026) and is </w:t>
      </w:r>
      <w:r>
        <w:rPr>
          <w:b/>
          <w:bCs/>
        </w:rPr>
        <w:t xml:space="preserve">not a calibration</w:t>
      </w:r>
      <w:r>
        <w:t xml:space="preserve">: g and the reference speeds are set by the user. The default scenario is SAM missiles as the outer layer and interceptor drones as the inner one (prices from open estimates: an interceptor of about $1 million and about $5 thousand against a target of $30 thousand). The result is a demonstration: against a fast target (500 km/h instead of 180) the effectiveness of the inner layer falls from 0.70 to 0.49 and day-one leakage rises from 2.9 to 5.7 out of 100; the stock of the expensive outer layer runs out by the end of the month in both variants, while the cheap inner one accumulates, and the cost exchange stays at about 5 : 1 in favour of the offence (the defence spends five times more). The proof that a uniform distribution of interceptors over targets is optimal (arXiv 2608.31143, a preprint) means that the calculation is the best case for the defence.</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2"/>
      </w:pPr>
      <w:bookmarkStart w:name="_Toc196" w:id="196"/>
      <w:r>
        <w:t xml:space="preserve">2.4. Why the hypothesis did not work: yield per drone and the composition of losses (branch B)</w:t>
      </w:r>
      <w:bookmarkEnd w:id="196"/>
    </w:p>
    <w:p>
      <w:pPr>
        <w:spacing w:after="120" w:line="288"/>
        <w:jc w:val="both"/>
      </w:pPr>
      <w:r>
        <w:t xml:space="preserve">The next step is to understand the cause rather than look for another fit. Status of the analysis: </w:t>
      </w:r>
      <w:r>
        <w:rPr>
          <w:b/>
          <w:bCs/>
        </w:rPr>
        <w:t xml:space="preserve">exploratory, outside the protocol</w:t>
      </w:r>
      <w:r>
        <w:t xml:space="preserve"> (the loss ratio for 2025 was already known from the test in 2.3). Russia's losses are compared with the claimed drone output of Ukraine in two independent sources — Oryx and WarSpotting (records by date of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445"/>
        <w:gridCol w:w="1252"/>
        <w:gridCol w:w="1349"/>
        <w:gridCol w:w="1252"/>
        <w:gridCol w:w="1349"/>
        <w:gridCol w:w="1156"/>
        <w:gridCol w:w="1064"/>
      </w:tblGrid>
      <w:tr>
        <w:trPr>
          <w:tblHeader/>
        </w:trPr>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Year</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Ukrainian drone output, million (claimed)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Oryx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WarSpotting</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Oryx per million drones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WarSpotting per million drones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heavy equipment</w:t>
            </w:r>
          </w:p>
        </w:tc>
        <w:tc>
          <w:tcPr>
            <w:tcW w:type="dxa" w:w="10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light vehicles</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0.80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5168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4315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6460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5394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19%</w:t>
            </w:r>
          </w:p>
        </w:tc>
      </w:tr>
      <w:tr>
        <w:trPr>
          <w:cantSplit/>
        </w:trPr>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4"/>
                <w:szCs w:val="14"/>
              </w:rPr>
              <w:t xml:space="preserve">2024</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2.20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5984</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6296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2720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2862</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72%</w:t>
            </w:r>
          </w:p>
        </w:tc>
        <w:tc>
          <w:tcPr>
            <w:tcW w:type="dxa" w:w="10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17%</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2025</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4.00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4100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3464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1025</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866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58%</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29%</w:t>
            </w:r>
          </w:p>
        </w:tc>
      </w:tr>
    </w:tbl>
    <w:p>
      <w:pPr>
        <w:spacing w:after="120"/>
      </w:pPr>
    </w:p>
    <w:p>
      <w:pPr>
        <w:spacing w:after="120" w:line="288"/>
        <w:jc w:val="both"/>
      </w:pPr>
      <w:r>
        <w:t xml:space="preserve">The yield of losses per unit of claimed output fell by a factor of 6.3 according to Oryx (6460 → 1025 per million) and by a factor of 6.2 according to WarSpotting. The main point: between 2024 and 2025 the claimed Ukrainian output rose from 2.20 to 4.00 million, while the number of recorded Russian losses </w:t>
      </w:r>
      <w:r>
        <w:rPr>
          <w:b/>
          <w:bCs/>
        </w:rPr>
        <w:t xml:space="preserve">fell</w:t>
      </w:r>
      <w:r>
        <w:t xml:space="preserve"> — by 31% according to Oryx and by 45% according to WarSpotting. Any model of the form “losses are a non-decreasing function of output” with constant parameters (including the saturation model L = T·(1 − e^(−y·D/T))) is rejected by this in both independent sources.</w:t>
      </w:r>
    </w:p>
    <w:p>
      <w:pPr>
        <w:spacing w:after="120" w:line="288"/>
        <w:jc w:val="both"/>
      </w:pPr>
      <w:r>
        <w:t xml:space="preserve">In the WarSpotting records the share of heavy equipment (tanks, infantry fighting vehicles, self-propelled artillery) fell from 72% in 2024 to 24% in 2026 (as of 20.10.2026), while the share of light vehicles (transport, light mobility vehicles) rose from 17% to 48%. This is consistent with the descriptions by RUSI and Defence Studies: drones account for about two thirds of losses, but only 20–40% of them reach the target, and the adversary adapts — it disperses and replaces armour with light vehicles and infantry assaults.</w:t>
      </w:r>
    </w:p>
    <w:p>
      <w:pPr>
        <w:pBdr>
          <w:left w:val="single" w:color="9F2F27" w:sz="18" w:space="8"/>
        </w:pBdr>
        <w:shd w:fill="F4EEE9" w:color="auto" w:val="clear"/>
        <w:spacing w:after="160" w:before="120" w:line="276"/>
        <w:ind w:left="200" w:right="120"/>
      </w:pPr>
      <w:r>
        <w:rPr>
          <w:b/>
          <w:bCs/>
          <w:color w:val="9F2F27"/>
        </w:rPr>
        <w:t xml:space="preserve">Conclusion. </w:t>
      </w:r>
      <w:r>
        <w:t xml:space="preserve">Claimed output is a poor input parameter: losses are limited not by the number of “shooters” but by the number of vulnerable targets and by the adversary's adaptation. A proper attrition model is of the predator–prey type: losses = output × share arriving × share of hits × </w:t>
      </w:r>
      <w:r>
        <w:rPr>
          <w:b/>
          <w:bCs/>
        </w:rPr>
        <w:t xml:space="preserve">the share of targets still present at the front</w:t>
      </w:r>
      <w:r>
        <w:t xml:space="preserve">; the last factor itself declines. This is a testable hypothesis for a future period (the share of heavy equipment in the loss records will not return to the 2024 level), but not an accepted model: there are no independent monthly series of the number of targets at the front in open data. Caveats: output is claims by the parties, not comparable in definition; Oryx and WarSpotting record only what is confirmed by photo and video; 2026 is incomplete.</w:t>
      </w:r>
    </w:p>
    <w:p>
      <w:pPr>
        <w:pStyle w:val="Heading1"/>
        <w:pageBreakBefore/>
      </w:pPr>
      <w:bookmarkStart w:name="_Toc197" w:id="197"/>
      <w:r>
        <w:t xml:space="preserve">3. How models account for intelligence and psychology</w:t>
      </w:r>
      <w:bookmarkEnd w:id="197"/>
    </w:p>
    <w:p>
      <w:pPr>
        <w:pStyle w:val="Heading2"/>
      </w:pPr>
      <w:bookmarkStart w:name="_Toc198" w:id="198"/>
      <w:r>
        <w:t xml:space="preserve">3.1. Intelligence — transition between laws</w:t>
      </w:r>
      <w:bookmarkEnd w:id="198"/>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9" w:id="199"/>
      <w:r>
        <w:t xml:space="preserve">3.2. Psychology — will as a state variable</w:t>
      </w:r>
      <w:bookmarkEnd w:id="199"/>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200" w:id="200"/>
      <w:r>
        <w:t xml:space="preserve">4. Measurements on CDB90 battles</w:t>
      </w:r>
      <w:bookmarkEnd w:id="200"/>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1" w:id="201"/>
      <w:r>
        <w:t xml:space="preserve">4.1. The fire law: what daily losses depend on</w:t>
      </w:r>
      <w:bookmarkEnd w:id="201"/>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2" w:id="202"/>
      <w:r>
        <w:t xml:space="preserve">4.2. Intelligence and psychology in numerical advantage</w:t>
      </w:r>
      <w:bookmarkEnd w:id="202"/>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3" w:id="203"/>
      <w:r>
        <w:t xml:space="preserve">4.3. Will threshold</w:t>
      </w:r>
      <w:bookmarkEnd w:id="203"/>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4" w:id="204"/>
      <w:r>
        <w:t xml:space="preserve">4.4. Potential × effectiveness: what explains the outcome (branch A)</w:t>
      </w:r>
      <w:bookmarkEnd w:id="204"/>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5" w:id="205"/>
      <w:r>
        <w:t xml:space="preserve">4.5. Order of the index and the balance of forces (branch G)</w:t>
      </w:r>
      <w:bookmarkEnd w:id="205"/>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1"/>
        <w:pageBreakBefore/>
      </w:pPr>
      <w:bookmarkStart w:name="_Toc206" w:id="206"/>
      <w:r>
        <w:t xml:space="preserve">5. Analysis of common claims</w:t>
      </w:r>
      <w:bookmarkEnd w:id="206"/>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7" w:id="207"/>
      <w:r>
        <w:t xml:space="preserve">6. Scientific novelty</w:t>
      </w:r>
      <w:bookmarkEnd w:id="207"/>
    </w:p>
    <w:p>
      <w:pPr>
        <w:pStyle w:val="Heading2"/>
      </w:pPr>
      <w:bookmarkStart w:name="_Toc208" w:id="208"/>
      <w:r>
        <w:t xml:space="preserve">6.1. Not new</w:t>
      </w:r>
      <w:bookmarkEnd w:id="208"/>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09" w:id="209"/>
      <w:r>
        <w:t xml:space="preserve">6.2. Possibly new (priority must be confirmed by a literature review)</w:t>
      </w:r>
      <w:bookmarkEnd w:id="209"/>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10" w:id="210"/>
      <w:r>
        <w:t xml:space="preserve">6.3. Where the gap is</w:t>
      </w:r>
      <w:bookmarkEnd w:id="210"/>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1" w:id="211"/>
      <w:r>
        <w:t xml:space="preserve">7. Competitor: TENET Intelligence MCI</w:t>
      </w:r>
      <w:bookmarkEnd w:id="211"/>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40 (pilot)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 out-of-sample</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2" w:id="212"/>
      <w:r>
        <w:t xml:space="preserve">8. Plan</w:t>
      </w:r>
      <w:bookmarkEnd w:id="212"/>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Heading1"/>
        <w:pageBreakBefore/>
      </w:pPr>
      <w:bookmarkStart w:name="_Toc213" w:id="213"/>
      <w:r>
        <w:t xml:space="preserve">References</w:t>
      </w:r>
      <w:bookmarkEnd w:id="213"/>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2026-10-19T18:31:50.011Z</dcterms:created>
  <dcterms:modified xsi:type="dcterms:W3CDTF">2026-10-19T18:31:50.011Z</dcterms:modified>
</cp:coreProperties>
</file>

<file path=docProps/custom.xml><?xml version="1.0" encoding="utf-8"?>
<Properties xmlns="http://schemas.openxmlformats.org/officeDocument/2006/custom-properties" xmlns:vt="http://schemas.openxmlformats.org/officeDocument/2006/docPropsVTypes"/>
</file>