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2.4. Почему гипотеза не сработала: выход на дрон и состав потерь (ветка Б)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7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1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spacing w:after="120" w:line="288"/>
        <w:jc w:val="both"/>
      </w:pPr>
      <w:r>
        <w:rPr>
          <w:b/>
          <w:bCs/>
        </w:rPr>
        <w:t xml:space="preserve">Эшелонированная ПВО и скорость цели (реализовано в калькуляторе прототипа, `core/lanmil/salvo.py`).</w:t>
      </w:r>
      <w:r>
        <w:t xml:space="preserve"> Цели проходят эшелоны по порядку, каждый эшелон тратит запас только на дошедшие до него цели; эффективность перехватчика падает со скоростью цели выше его опорной: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p_eff = p0 при v ≤ v_ref,  иначе  p0 · (v_ref / v)^g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цель проходит эшелон с вероятностью (1 − p_eff)^n,  n — целые перехватчики на цель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запас_j(t+1) = запас_j(t) − k_j · (число целей, дошедших до эшелона j) + выпуск_j</w:t>
      </w:r>
    </w:p>
    <w:p>
      <w:pPr>
        <w:spacing w:after="120" w:line="288"/>
        <w:jc w:val="both"/>
      </w:pPr>
      <w:r>
        <w:t xml:space="preserve">Показатель g = 0,5 подобран грубо по двум заявленным точкам класса D (поршневые «Шахеды» перехватываются в 92–98% случаев, реактивные — примерно в 60%; Воздушные силы Украины, FT, сентябрь 2026 г.) и </w:t>
      </w:r>
      <w:r>
        <w:rPr>
          <w:b/>
          <w:bCs/>
        </w:rPr>
        <w:t xml:space="preserve">не является калибровкой</w:t>
      </w:r>
      <w:r>
        <w:t xml:space="preserve">: g и опорные скорости задаёт пользователь. Сценарий по умолчанию — ракеты ЗРК как внешний эшелон и дроны-перехватчики как внутренний (цены по открытым оценкам: перехватчик около 1 млн $ и около 5 тыс. $ против цели 30 тыс. $). Результат демонстрационный: при быстрой цели (500 км/ч вместо 180) эффективность внутреннего эшелона падает с 0,70 до 0,49 и прорыв в первые сутки растёт с 2,9 до 5,7 из 100; запас дорогого внешнего эшелона иссякает к концу месяца в обоих вариантах, тогда как дешёвый внутренний накапливается, а стоимостной обмен остаётся около 5 : 1 в пользу нападения (оборона тратит в 5 раз больше). Доказательство оптимальности равномерного распределения перехватчиков по целям (arXiv 2608.31143, препринт) означает, что расчёт — лучший случай для обороны.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2"/>
      </w:pPr>
      <w:bookmarkStart w:name="_Toc196" w:id="196"/>
      <w:r>
        <w:t xml:space="preserve">2.4. Почему гипотеза не сработала: выход на дрон и состав потерь (ветка Б)</w:t>
      </w:r>
      <w:bookmarkEnd w:id="196"/>
    </w:p>
    <w:p>
      <w:pPr>
        <w:spacing w:after="120" w:line="288"/>
        <w:jc w:val="both"/>
      </w:pPr>
      <w:r>
        <w:t xml:space="preserve">Следующий шаг — понять причину, а не искать другую подгонку. Статус анализа: </w:t>
      </w:r>
      <w:r>
        <w:rPr>
          <w:b/>
          <w:bCs/>
        </w:rPr>
        <w:t xml:space="preserve">разведочный, вне протокола</w:t>
      </w:r>
      <w:r>
        <w:t xml:space="preserve"> (отношение потерь за 2025 г. было известно по проверке 2.3). Сравниваются потери России с заявленным выпуском дронов Украины по двум независимым источникам — Oryx и WarSpotting (записи по датам потерь).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445"/>
        <w:gridCol w:w="1252"/>
        <w:gridCol w:w="1349"/>
        <w:gridCol w:w="1252"/>
        <w:gridCol w:w="1349"/>
        <w:gridCol w:w="1156"/>
        <w:gridCol w:w="1064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Год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Выпуск дронов Украины, млн (заявл.)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Oryx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WarSpotting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Oryx на млн дронов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WarSpotting на млн дронов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тяжёлой техники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лёгких машин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0,80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5168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4315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6460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5394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2024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2,20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5984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6296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2720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2862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72%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2025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4,00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4100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3464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1025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866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58%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29%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Выход потерь на единицу заявленного выпуска упал в 6,3 раза по Oryx (6460 → 1025 на млн) и в 6,2 раза по WarSpotting. Главное: между 2024 и 2025 гг. заявленный выпуск Украины вырос с 2,20 до 4,00 млн, а число зафиксированных потерь России </w:t>
      </w:r>
      <w:r>
        <w:rPr>
          <w:b/>
          <w:bCs/>
        </w:rPr>
        <w:t xml:space="preserve">упало</w:t>
      </w:r>
      <w:r>
        <w:t xml:space="preserve"> — на 31% по Oryx и на 45% по WarSpotting. Любая модель вида «потери — неубывающая функция выпуска» с постоянными параметрами (в том числе модель насыщения L = T·(1 − e^(−y·D/T))) этим отвергается в обоих независимых источниках.</w:t>
      </w:r>
    </w:p>
    <w:p>
      <w:pPr>
        <w:spacing w:after="120" w:line="288"/>
        <w:jc w:val="both"/>
      </w:pPr>
      <w:r>
        <w:t xml:space="preserve">В составе записей WarSpotting доля тяжёлой техники (танки, БМП, самоходная артиллерия) снизилась с 72% в 2024 г. до 24% в 2026 г. (по 20.10.2026), доля лёгких машин (транспорт, лёгкие мобильные машины) выросла с 17% до 48%. Это согласуется с описанием RUSI и Defence Studies: дроны дают около двух третей потерь, но до цели долетает лишь 20–40%, а противник адаптируется — рассредоточивает и заменяет бронетехнику лёгкими машинами и пехотными штурмами.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Заявленный выпуск — плохой входной параметр: потери упираются не в число «стрелков», а в число уязвимых целей и в ответную адаптацию. Правильная модель истощения — типа «хищник — жертва»: потери = выпуск × доля долетевших × доля поражений × </w:t>
      </w:r>
      <w:r>
        <w:rPr>
          <w:b/>
          <w:bCs/>
        </w:rPr>
        <w:t xml:space="preserve">доля целей, которые ещё есть на фронте</w:t>
      </w:r>
      <w:r>
        <w:t xml:space="preserve">; последний множитель сам убывает. Это проверяемая гипотеза для будущего периода (доля тяжёлой техники в записях потерь не вернётся к уровню 2024 г.), но не принимаемая модель: независимых помесячных рядов численности целей на фронте в открытых данных нет. Оговорки: выпуск — заявления сторон, несопоставимые по определению; Oryx и WarSpotting учитывают только подтверждённое фото и видео; 2026 г. неполный.</w:t>
      </w:r>
    </w:p>
    <w:p>
      <w:pPr>
        <w:pStyle w:val="Heading1"/>
        <w:pageBreakBefore/>
      </w:pPr>
      <w:bookmarkStart w:name="_Toc197" w:id="197"/>
      <w:r>
        <w:t xml:space="preserve">3. Как модели учитывают разведку и психологию</w:t>
      </w:r>
      <w:bookmarkEnd w:id="197"/>
    </w:p>
    <w:p>
      <w:pPr>
        <w:pStyle w:val="Heading2"/>
      </w:pPr>
      <w:bookmarkStart w:name="_Toc198" w:id="198"/>
      <w:r>
        <w:t xml:space="preserve">3.1. Разведка — переход между законами</w:t>
      </w:r>
      <w:bookmarkEnd w:id="198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9" w:id="199"/>
      <w:r>
        <w:t xml:space="preserve">3.2. Психология — воля как переменная состояния</w:t>
      </w:r>
      <w:bookmarkEnd w:id="19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200" w:id="200"/>
      <w:r>
        <w:t xml:space="preserve">4. Измерения на сражениях CDB90</w:t>
      </w:r>
      <w:bookmarkEnd w:id="200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1" w:id="201"/>
      <w:r>
        <w:t xml:space="preserve">4.1. Закон огня: от чего зависят суточные потери</w:t>
      </w:r>
      <w:bookmarkEnd w:id="201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2" w:id="202"/>
      <w:r>
        <w:t xml:space="preserve">4.2. Разведка и психология в численном перевесе</w:t>
      </w:r>
      <w:bookmarkEnd w:id="202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3" w:id="203"/>
      <w:r>
        <w:t xml:space="preserve">4.3. Порог воли</w:t>
      </w:r>
      <w:bookmarkEnd w:id="203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204" w:id="204"/>
      <w:r>
        <w:t xml:space="preserve">4.4. Потенциал × эффективность: что объясняет исход (ветка А)</w:t>
      </w:r>
      <w:bookmarkEnd w:id="204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205" w:id="205"/>
      <w:r>
        <w:t xml:space="preserve">4.5. Порядок индекса и баланс сил (ветка Г)</w:t>
      </w:r>
      <w:bookmarkEnd w:id="205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1734"/>
        <w:gridCol w:w="1349"/>
        <w:gridCol w:w="1929"/>
      </w:tblGrid>
      <w:tr>
        <w:trPr>
          <w:tblHeader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Перевеса хватило?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0,033 (односторонний), 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1"/>
        <w:pageBreakBefore/>
      </w:pPr>
      <w:bookmarkStart w:name="_Toc206" w:id="206"/>
      <w:r>
        <w:t xml:space="preserve">5. Разбор распространённых утверждений</w:t>
      </w:r>
      <w:bookmarkEnd w:id="206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7" w:id="207"/>
      <w:r>
        <w:t xml:space="preserve">6. Научная новизна</w:t>
      </w:r>
      <w:bookmarkEnd w:id="207"/>
    </w:p>
    <w:p>
      <w:pPr>
        <w:pStyle w:val="Heading2"/>
      </w:pPr>
      <w:bookmarkStart w:name="_Toc208" w:id="208"/>
      <w:r>
        <w:t xml:space="preserve">6.1. Не ново</w:t>
      </w:r>
      <w:bookmarkEnd w:id="208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09" w:id="209"/>
      <w:r>
        <w:t xml:space="preserve">6.2. Возможно ново (приоритет нужно подтвердить обзором литературы)</w:t>
      </w:r>
      <w:bookmarkEnd w:id="20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10" w:id="210"/>
      <w:r>
        <w:t xml:space="preserve">6.3. Где пробел</w:t>
      </w:r>
      <w:bookmarkEnd w:id="210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11" w:id="211"/>
      <w:r>
        <w:t xml:space="preserve">7. Конкурент: TENET Intelligence MCI</w:t>
      </w:r>
      <w:bookmarkEnd w:id="211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 (пилот)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 вне выборки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12" w:id="212"/>
      <w:r>
        <w:t xml:space="preserve">8. План</w:t>
      </w:r>
      <w:bookmarkEnd w:id="21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Heading1"/>
        <w:pageBreakBefore/>
      </w:pPr>
      <w:bookmarkStart w:name="_Toc213" w:id="213"/>
      <w:r>
        <w:t xml:space="preserve">Литература</w:t>
      </w:r>
      <w:bookmarkEnd w:id="21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2026-10-19T18:31:54.929Z</dcterms:created>
  <dcterms:modified xsi:type="dcterms:W3CDTF">2026-10-19T18:31:54.929Z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