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ИВМ «ЛАНЧЕСТЕР–ОСИПОВ»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Современные модели боя и научная новизна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Что добавить к уравнениям Ланчестера, как измерить разведку и психологию, чем ИВМ отличается от конкурентов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Документ 8 · Теория и новизна</w:t>
      </w:r>
    </w:p>
    <w:p>
      <w:pPr>
        <w:spacing w:after="80"/>
      </w:pPr>
      <w:r>
        <w:rPr>
          <w:color w:val="1A1F1B"/>
          <w:sz w:val="22"/>
          <w:szCs w:val="22"/>
        </w:rPr>
        <w:t xml:space="preserve">Измерения: 404 сражений 1900–1973 гг. (CDB90), 10 войн 2018–2025 гг.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Срез данных: октябрь 2026 г. · Открытые источники</w:t>
      </w:r>
    </w:p>
    <w:p>
      <w:r>
        <w:rPr>
          <w:color w:val="5F6761"/>
          <w:sz w:val="20"/>
          <w:szCs w:val="20"/>
        </w:rPr>
        <w:t xml:space="preserve">Программа оценки военной мощи государств · проектная документация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88">
            <w:r>
              <w:t xml:space="preserve">Резюме</w:t>
            </w:r>
            <w:r>
              <w:tab/>
            </w:r>
            <w:r>
              <w:fldChar w:fldCharType="begin" w:dirty="true"/>
              <w:instrText xml:space="preserve">PAGEREF _Toc188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9">
            <w:r>
              <w:t xml:space="preserve">1. Классическая модель и её проверка</w:t>
            </w:r>
            <w:r>
              <w:tab/>
            </w:r>
            <w:r>
              <w:fldChar w:fldCharType="begin" w:dirty="true"/>
              <w:instrText xml:space="preserve">PAGEREF _Toc189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0">
            <w:r>
              <w:t xml:space="preserve">1.1. Уравнения Ланчестера и Осипова</w:t>
            </w:r>
            <w:r>
              <w:tab/>
            </w:r>
            <w:r>
              <w:fldChar w:fldCharType="begin" w:dirty="true"/>
              <w:instrText xml:space="preserve">PAGEREF _Toc190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1">
            <w:r>
              <w:t xml:space="preserve">1.2. Что показали данные</w:t>
            </w:r>
            <w:r>
              <w:tab/>
            </w:r>
            <w:r>
              <w:fldChar w:fldCharType="begin" w:dirty="true"/>
              <w:instrText xml:space="preserve">PAGEREF _Toc191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2">
            <w:r>
              <w:t xml:space="preserve">2. Современные расширения модели</w:t>
            </w:r>
            <w:r>
              <w:tab/>
            </w:r>
            <w:r>
              <w:fldChar w:fldCharType="begin" w:dirty="true"/>
              <w:instrText xml:space="preserve">PAGEREF _Toc192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3">
            <w:r>
              <w:t xml:space="preserve">2.1. Модель залпов (Хьюз)</w:t>
            </w:r>
            <w:r>
              <w:tab/>
            </w:r>
            <w:r>
              <w:fldChar w:fldCharType="begin" w:dirty="true"/>
              <w:instrText xml:space="preserve">PAGEREF _Toc193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4">
            <w:r>
              <w:t xml:space="preserve">2.2. Трёхсторонний бой и дроны</w:t>
            </w:r>
            <w:r>
              <w:tab/>
            </w:r>
            <w:r>
              <w:fldChar w:fldCharType="begin" w:dirty="true"/>
              <w:instrText xml:space="preserve">PAGEREF _Toc194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5">
            <w:r>
              <w:t xml:space="preserve">2.3. Проверка на войне России и Украины: решает ли выпуск дронов</w:t>
            </w:r>
            <w:r>
              <w:tab/>
            </w:r>
            <w:r>
              <w:fldChar w:fldCharType="begin" w:dirty="true"/>
              <w:instrText xml:space="preserve">PAGEREF _Toc195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6">
            <w:r>
              <w:t xml:space="preserve">2.4. Почему гипотеза не сработала: выход на дрон и состав потерь (ветка Б)</w:t>
            </w:r>
            <w:r>
              <w:tab/>
            </w:r>
            <w:r>
              <w:fldChar w:fldCharType="begin" w:dirty="true"/>
              <w:instrText xml:space="preserve">PAGEREF _Toc196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7">
            <w:r>
              <w:t xml:space="preserve">3. Как модели учитывают разведку и психологию</w:t>
            </w:r>
            <w:r>
              <w:tab/>
            </w:r>
            <w:r>
              <w:fldChar w:fldCharType="begin" w:dirty="true"/>
              <w:instrText xml:space="preserve">PAGEREF _Toc197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8">
            <w:r>
              <w:t xml:space="preserve">3.1. Разведка — переход между законами</w:t>
            </w:r>
            <w:r>
              <w:tab/>
            </w:r>
            <w:r>
              <w:fldChar w:fldCharType="begin" w:dirty="true"/>
              <w:instrText xml:space="preserve">PAGEREF _Toc198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9">
            <w:r>
              <w:t xml:space="preserve">3.2. Психология — воля как переменная состояния</w:t>
            </w:r>
            <w:r>
              <w:tab/>
            </w:r>
            <w:r>
              <w:fldChar w:fldCharType="begin" w:dirty="true"/>
              <w:instrText xml:space="preserve">PAGEREF _Toc199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0">
            <w:r>
              <w:t xml:space="preserve">4. Измерения на сражениях CDB90</w:t>
            </w:r>
            <w:r>
              <w:tab/>
            </w:r>
            <w:r>
              <w:fldChar w:fldCharType="begin" w:dirty="true"/>
              <w:instrText xml:space="preserve">PAGEREF _Toc200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1">
            <w:r>
              <w:t xml:space="preserve">4.1. Закон огня: от чего зависят суточные потери</w:t>
            </w:r>
            <w:r>
              <w:tab/>
            </w:r>
            <w:r>
              <w:fldChar w:fldCharType="begin" w:dirty="true"/>
              <w:instrText xml:space="preserve">PAGEREF _Toc201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2">
            <w:r>
              <w:t xml:space="preserve">4.2. Разведка и психология в численном перевесе</w:t>
            </w:r>
            <w:r>
              <w:tab/>
            </w:r>
            <w:r>
              <w:fldChar w:fldCharType="begin" w:dirty="true"/>
              <w:instrText xml:space="preserve">PAGEREF _Toc202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3">
            <w:r>
              <w:t xml:space="preserve">4.3. Порог воли</w:t>
            </w:r>
            <w:r>
              <w:tab/>
            </w:r>
            <w:r>
              <w:fldChar w:fldCharType="begin" w:dirty="true"/>
              <w:instrText xml:space="preserve">PAGEREF _Toc203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4">
            <w:r>
              <w:t xml:space="preserve">4.4. Потенциал × эффективность: что объясняет исход (ветка А)</w:t>
            </w:r>
            <w:r>
              <w:tab/>
            </w:r>
            <w:r>
              <w:fldChar w:fldCharType="begin" w:dirty="true"/>
              <w:instrText xml:space="preserve">PAGEREF _Toc204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5">
            <w:r>
              <w:t xml:space="preserve">4.5. Порядок индекса и баланс сил (ветка Г)</w:t>
            </w:r>
            <w:r>
              <w:tab/>
            </w:r>
            <w:r>
              <w:fldChar w:fldCharType="begin" w:dirty="true"/>
              <w:instrText xml:space="preserve">PAGEREF _Toc205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6">
            <w:r>
              <w:t xml:space="preserve">4.6. Эффективность из открытых признаков страны (CDB90 и UCDP GED)</w:t>
            </w:r>
            <w:r>
              <w:tab/>
            </w:r>
            <w:r>
              <w:fldChar w:fldCharType="begin" w:dirty="true"/>
              <w:instrText xml:space="preserve">PAGEREF _Toc206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7">
            <w:r>
              <w:t xml:space="preserve">5. Разбор распространённых утверждений</w:t>
            </w:r>
            <w:r>
              <w:tab/>
            </w:r>
            <w:r>
              <w:fldChar w:fldCharType="begin" w:dirty="true"/>
              <w:instrText xml:space="preserve">PAGEREF _Toc207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8">
            <w:r>
              <w:t xml:space="preserve">6. Научная новизна</w:t>
            </w:r>
            <w:r>
              <w:tab/>
            </w:r>
            <w:r>
              <w:fldChar w:fldCharType="begin" w:dirty="true"/>
              <w:instrText xml:space="preserve">PAGEREF _Toc208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9">
            <w:r>
              <w:t xml:space="preserve">6.1. Не ново</w:t>
            </w:r>
            <w:r>
              <w:tab/>
            </w:r>
            <w:r>
              <w:fldChar w:fldCharType="begin" w:dirty="true"/>
              <w:instrText xml:space="preserve">PAGEREF _Toc209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0">
            <w:r>
              <w:t xml:space="preserve">6.2. Возможно ново (приоритет нужно подтвердить обзором литературы)</w:t>
            </w:r>
            <w:r>
              <w:tab/>
            </w:r>
            <w:r>
              <w:fldChar w:fldCharType="begin" w:dirty="true"/>
              <w:instrText xml:space="preserve">PAGEREF _Toc210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1">
            <w:r>
              <w:t xml:space="preserve">6.3. Где пробел</w:t>
            </w:r>
            <w:r>
              <w:tab/>
            </w:r>
            <w:r>
              <w:fldChar w:fldCharType="begin" w:dirty="true"/>
              <w:instrText xml:space="preserve">PAGEREF _Toc211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2">
            <w:r>
              <w:t xml:space="preserve">7. Конкурент: TENET Intelligence MCI</w:t>
            </w:r>
            <w:r>
              <w:tab/>
            </w:r>
            <w:r>
              <w:fldChar w:fldCharType="begin" w:dirty="true"/>
              <w:instrText xml:space="preserve">PAGEREF _Toc212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3">
            <w:r>
              <w:t xml:space="preserve">8. План</w:t>
            </w:r>
            <w:r>
              <w:tab/>
            </w:r>
            <w:r>
              <w:fldChar w:fldCharType="begin" w:dirty="true"/>
              <w:instrText xml:space="preserve">PAGEREF _Toc213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14">
            <w:r>
              <w:t xml:space="preserve">Литература</w:t>
            </w:r>
            <w:r>
              <w:tab/>
            </w:r>
            <w:r>
              <w:fldChar w:fldCharType="begin" w:dirty="true"/>
              <w:instrText xml:space="preserve">PAGEREF _Toc214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Если номера страниц не видны, нажмите F9 в Word (обновить поле) или правой кнопкой по оглавлению → «Обновить поле».</w:t>
      </w:r>
    </w:p>
    <w:p>
      <w:pPr>
        <w:pStyle w:val="Heading1"/>
        <w:pageBreakBefore/>
      </w:pPr>
      <w:bookmarkStart w:name="_Toc188" w:id="188"/>
      <w:r>
        <w:t xml:space="preserve">Резюме</w:t>
      </w:r>
      <w:bookmarkEnd w:id="188"/>
    </w:p>
    <w:p>
      <w:pPr>
        <w:spacing w:after="120" w:line="288"/>
        <w:jc w:val="both"/>
      </w:pPr>
      <w:r>
        <w:t xml:space="preserve">Уравнения Ланчестера (1916) и Осипова (1915) — система дифференциальных уравнений, где потери стороны зависят от численности и огневой эффективности противника. За сто лет предложено много расширений: случайность исхода, пространство, разведка, мораль, ракетные залпы, трёхсторонний бой, дроны. Этот документ разбирает, что из них стоит взять, и — главное — </w:t>
      </w:r>
      <w:r>
        <w:rPr>
          <w:b/>
          <w:bCs/>
        </w:rPr>
        <w:t xml:space="preserve">проверяет на исторических данных</w:t>
      </w:r>
      <w:r>
        <w:t xml:space="preserve">, какие из этих идей подтверждаются.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Квадратичный закон не подтверждается.</w:t>
      </w:r>
      <w:r>
        <w:t xml:space="preserve"> По 404 сражениям показатель α = 0,65 [0,46; 0,84], с поправкой на боевую эффективность 0,97 [0,80; 1,13] — закон почти линейный. Популярное «10% перевеса дают 21% огневой мощи» в реальных боях не наблюдается.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Ни одна форма Ланчестера не описывает интенсивность боя.</w:t>
      </w:r>
      <w:r>
        <w:t xml:space="preserve"> Суточные потери почти не зависят от численности противника (показатель 0,16 вместо 1) и умеренно — от своей (0,46); при удвоении обеих сторон потери в сутки растут в 1,54 раза, а не вдвое: в бою участвует лишь часть сил.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Разведка и психология измеримы.</w:t>
      </w:r>
      <w:r>
        <w:t xml:space="preserve"> Ступень превосходства в руководстве по оценкам составителей базы равна численному перевесу примерно в 9,3 раза, в морали — в 6,3, в снабжении — в 2,3, в разведке — в 2,2 (по всем годам 2,8).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Бой заканчивается сломом воли, а не уничтожением.</w:t>
      </w:r>
      <w:r>
        <w:t xml:space="preserve"> Медиана порога — 16% потерь [14%; 18%]; ступень морали поднимает порог в 1,29 раза. В модели боя порог стал сценарным: 16% для сражения, 40% для кампании.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Потенциал против эффективности.</w:t>
      </w:r>
      <w:r>
        <w:t xml:space="preserve"> Вне выборки численность добавляет к предсказанию исхода сражения +0,009 на сражение, семь факторов эффективности — +0,180 (95% всего прироста). А порядок индекса на 10 войнах 2018–2025 гг. не только не предсказывает, хватит ли перевеса (AUC 0,13), но и обратен исходу: индекс измеряет ресурсы, не эффективность.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Открытые признаки страны ловят эффективность лишь отчасти и не переносятся.</w:t>
      </w:r>
      <w:r>
        <w:t xml:space="preserve"> ВВП на душу, демократия и механизация добавляют к предсказанию исхода сражений 1900–1973 гг. +0,022 на сражение поверх численности (в 8 раз меньше факторов составителей); на независимой базе UCDP GED 1989–2024 гг. перенос не подтвердился (Спирмен +0,248, n = 24).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Научная новизна ИВМ — в проверяемости:</w:t>
      </w:r>
      <w:r>
        <w:t xml:space="preserve"> перевод индекса в силу с проверкой вне выборки по заранее зафиксированным протоколам, включая отрицательные результаты. Дроновое расширение Ланчестера опубликовано (Gogerty, 2026) без проверки на данных; мы проверили его ключевое утверждение на потерях Oryx вне выборки, и оно </w:t>
      </w:r>
      <w:r>
        <w:rPr>
          <w:b/>
          <w:bCs/>
        </w:rPr>
        <w:t xml:space="preserve">не подтвердилось</w:t>
      </w:r>
      <w:r>
        <w:t xml:space="preserve"> (раздел 2.3).</w:t>
      </w:r>
    </w:p>
    <w:p>
      <w:pPr>
        <w:pStyle w:val="Heading1"/>
        <w:pageBreakBefore/>
      </w:pPr>
      <w:bookmarkStart w:name="_Toc189" w:id="189"/>
      <w:r>
        <w:t xml:space="preserve">1. Классическая модель и её проверка</w:t>
      </w:r>
      <w:bookmarkEnd w:id="189"/>
    </w:p>
    <w:p>
      <w:pPr>
        <w:pStyle w:val="Heading2"/>
      </w:pPr>
      <w:bookmarkStart w:name="_Toc190" w:id="190"/>
      <w:r>
        <w:t xml:space="preserve">1.1. Уравнения Ланчестера и Осипова</w:t>
      </w:r>
      <w:bookmarkEnd w:id="190"/>
    </w:p>
    <w:p>
      <w:pPr>
        <w:spacing w:after="120" w:line="288"/>
        <w:jc w:val="both"/>
      </w:pPr>
      <w:r>
        <w:t xml:space="preserve">Пусть A и B — численности сторон, a и b — их огневая эффективность (поражённых целей в единицу времени на единицу силы). Квадратичный закон (прицельный огонь, каждый видит цель):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dA/dt = −b·B,   dB/dt = −a·A   ⇒   a·A² − b·B² = const</w:t>
      </w:r>
    </w:p>
    <w:p>
      <w:pPr>
        <w:spacing w:after="120" w:line="288"/>
        <w:jc w:val="both"/>
      </w:pPr>
      <w:r>
        <w:t xml:space="preserve">Сила стороны пропорциональна эффективности и </w:t>
      </w:r>
      <w:r>
        <w:rPr>
          <w:b/>
          <w:bCs/>
        </w:rPr>
        <w:t xml:space="preserve">квадрату</w:t>
      </w:r>
      <w:r>
        <w:t xml:space="preserve"> численности: перевес в 10% даёт 21% преимущества. Линейный закон (огонь по площади, без видимой цели) — потери пропорциональны плотности своих сил: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dA/dt = −b·A·B,   dB/dt = −a·A·B   ⇒   сила ∝ эффективность × численность</w:t>
      </w:r>
    </w:p>
    <w:p>
      <w:pPr>
        <w:spacing w:after="120" w:line="288"/>
        <w:jc w:val="both"/>
      </w:pPr>
      <w:r>
        <w:t xml:space="preserve">В ИВМ используется обобщение Хельмболда с показателем α (α = 2 — квадратичный закон, α = 1 — линейный по отношению потерь):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dA/dt = −a · A^(1−α/2) · B^(α/2),   dB/dt = −b · B^(1−α/2) · A^(α/2)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ln(Lнап / Lоб) = ln d + ln(eоб / eнап) + (α − 1) · ln(Nоб / Nнап)</w:t>
      </w:r>
    </w:p>
    <w:p>
      <w:pPr>
        <w:pStyle w:val="Heading2"/>
      </w:pPr>
      <w:bookmarkStart w:name="_Toc191" w:id="191"/>
      <w:r>
        <w:t xml:space="preserve">1.2. Что показали данные</w:t>
      </w:r>
      <w:bookmarkEnd w:id="19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891"/>
        <w:gridCol w:w="4242"/>
      </w:tblGrid>
      <w:tr>
        <w:trPr>
          <w:tblHeader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42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Rubio-Campillo (PLoS ONE, 2016)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1 080 сражений 1620–1905 гг., байесовский выбор модели (ABC)</w:t>
            </w:r>
          </w:p>
        </w:tc>
        <w:tc>
          <w:tcPr>
            <w:tcW w:type="dxa" w:w="42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ни линейный, ни квадратичный закон не подходят; лучше всего — модель «усталости»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ИВМ, CDB90 (протокол 567224b)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404 сражений 1900–1973 гг.</w:t>
            </w:r>
          </w:p>
        </w:tc>
        <w:tc>
          <w:tcPr>
            <w:tcW w:type="dxa" w:w="42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0,65 [0,46; 0,84]; R² = 0,04; нападающие побеждают в 68%; проигравший теряет в медиане 10%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ИВМ, CDB90 с поправкой на эффективность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377 сражений</w:t>
            </w:r>
          </w:p>
        </w:tc>
        <w:tc>
          <w:tcPr>
            <w:tcW w:type="dxa" w:w="42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α = 0,97 [0,80; 1,13]; d ≈ 1,0–1,2; ступень эффективности: потери нападающего × 0,42, шансы победы × 3,0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ИВМ, 10 войн 2018–2025 гг. (протокол 5ed015a)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индекс по данным года до войны</w:t>
            </w:r>
          </w:p>
        </w:tc>
        <w:tc>
          <w:tcPr>
            <w:tcW w:type="dxa" w:w="42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все варианты хуже равновероятного прогноза (-14,6): -64,4 при α 1,0; ошибка модели σ = 2,0</w:t>
            </w:r>
          </w:p>
        </w:tc>
      </w:tr>
    </w:tbl>
    <w:p>
      <w:pPr>
        <w:spacing w:after="120"/>
      </w:pP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Вывод. </w:t>
      </w:r>
      <w:r>
        <w:t xml:space="preserve">Видимое в истории «α между 1 и 2» в основном объясняется тем, что нападают качественно более сильные стороны. При равной эффективности закон почти линейный: численный перевес ценен пропорционально, а не в квадрате, а качество (эффективность, руководство, мораль) весит больше численности.</w:t>
      </w:r>
    </w:p>
    <w:p>
      <w:pPr>
        <w:pStyle w:val="Heading1"/>
        <w:pageBreakBefore/>
      </w:pPr>
      <w:bookmarkStart w:name="_Toc192" w:id="192"/>
      <w:r>
        <w:t xml:space="preserve">2. Современные расширения модели</w:t>
      </w:r>
      <w:bookmarkEnd w:id="192"/>
    </w:p>
    <w:p>
      <w:pPr>
        <w:spacing w:after="120" w:line="288"/>
        <w:jc w:val="both"/>
      </w:pPr>
      <w:r>
        <w:t xml:space="preserve">Ниже — основные направления развития с оценкой, нужно ли их включать в ИВМ. Критерий: расширение принимается, если его параметры можно измерить и проверить на данных.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2891"/>
        <w:gridCol w:w="1927"/>
        <w:gridCol w:w="2315"/>
      </w:tblGrid>
      <w:tr>
        <w:trPr>
          <w:tblHeader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Направление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Суть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 ИВМ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Хельмболд, переменные коэффициенты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эффективность зависит от соотношения сил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есть (модель боя)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Стохастические модели (цепи Маркова)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вероятность победы вместо среднего исхода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Монте-Карло параметров и σ ошибки модели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достаточно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Точка слома, толерантность к потерям (Atkinson, Kress, MacKay 2021; Шумов 2016)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бой кончается сломом воли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порог bp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измерено</w:t>
            </w: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 (раздел 4.3)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Смешанный закон, разведка (Дейтчман 1962, Шаффер 1967, Coulson 2019)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прицельный огонь против огня по площади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проверено</w:t>
            </w: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 (раздел 4.1)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Модель залпов Хьюза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ракетный бой: залп против перехватчиков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взять для флота и ПВО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Трёхсторонний бой (Kress и др., 2018)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третья сила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через дроны (раздел 6)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Пространственные модели (PDE), рои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движение и плотность по территории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позже: нет данных для проверки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Дробный порядок («память»)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дробные производные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нет: без эмпирической опоры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SINDy — вывод уравнений из данных (Chung, Jeong 2024)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система подбирается по рядам потерь Oryx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без проверки вне выборки — пробел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QJM/TNDM Дюпюи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множитель боевой эффективности CEV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роли Q и M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множитель E (раздел 4.2)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Экономика истощения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выпуск против расхода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взять (раздел 6)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Gogerty 2026 «Square Law → Swarm Law»</w:t>
            </w:r>
          </w:p>
        </w:tc>
        <w:tc>
          <w:tcPr>
            <w:tcW w:type="dxa" w:w="28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дроны — третья сила, стоимостной обмен, РЭБ, глубина производства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идея опубликована, проверки нет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93" w:id="193"/>
      <w:r>
        <w:t xml:space="preserve">2.1. Модель залпов (Хьюз)</w:t>
      </w:r>
      <w:bookmarkEnd w:id="193"/>
    </w:p>
    <w:p>
      <w:pPr>
        <w:spacing w:after="120" w:line="288"/>
        <w:jc w:val="both"/>
      </w:pPr>
      <w:r>
        <w:t xml:space="preserve">Для ракетного боя, где огонь дискретен, а перехват важен не меньше удара, Хьюз предложил залповую модель. Потери B за залп: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ΔB = (α·A − y·B) / w   (не меньше 0)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α — ракет в залпе на корабль A, y — перехватов на корабль B, w — попаданий для вывода корабля из строя</w:t>
      </w:r>
    </w:p>
    <w:p>
      <w:pPr>
        <w:spacing w:after="120" w:line="288"/>
        <w:jc w:val="both"/>
      </w:pPr>
      <w:r>
        <w:t xml:space="preserve">Модель подходит для флота и для противостояния «ударные дроны и ракеты против ПВО»: результат определяют глубина боекомплекта перехватчиков и стоимость одного перехвата, а не численность платформ.</w:t>
      </w:r>
    </w:p>
    <w:p>
      <w:pPr>
        <w:spacing w:after="120" w:line="288"/>
        <w:jc w:val="both"/>
      </w:pPr>
      <w:r>
        <w:rPr>
          <w:b/>
          <w:bCs/>
        </w:rPr>
        <w:t xml:space="preserve">Эшелонированная ПВО и скорость цели (реализовано в калькуляторе прототипа, `core/lanmil/salvo.py`).</w:t>
      </w:r>
      <w:r>
        <w:t xml:space="preserve"> Цели проходят эшелоны по порядку, каждый эшелон тратит запас только на дошедшие до него цели; эффективность перехватчика падает со скоростью цели выше его опорной: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p_eff = p0 при v ≤ v_ref,  иначе  p0 · (v_ref / v)^g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цель проходит эшелон с вероятностью (1 − p_eff)^n,  n — целые перехватчики на цель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запас_j(t+1) = запас_j(t) − k_j · (число целей, дошедших до эшелона j) + выпуск_j</w:t>
      </w:r>
    </w:p>
    <w:p>
      <w:pPr>
        <w:spacing w:after="120" w:line="288"/>
        <w:jc w:val="both"/>
      </w:pPr>
      <w:r>
        <w:t xml:space="preserve">Показатель g = 0,5 подобран грубо по двум заявленным точкам класса D (поршневые «Шахеды» перехватываются в 92–98% случаев, реактивные — примерно в 60%; Воздушные силы Украины, FT, сентябрь 2026 г.) и </w:t>
      </w:r>
      <w:r>
        <w:rPr>
          <w:b/>
          <w:bCs/>
        </w:rPr>
        <w:t xml:space="preserve">не является калибровкой</w:t>
      </w:r>
      <w:r>
        <w:t xml:space="preserve">: g и опорные скорости задаёт пользователь. Сценарий по умолчанию — ракеты ЗРК как внешний эшелон и дроны-перехватчики как внутренний (цены по открытым оценкам: перехватчик около 1 млн $ и около 5 тыс. $ против цели 30 тыс. $). Результат демонстрационный: при быстрой цели (500 км/ч вместо 180) эффективность внутреннего эшелона падает с 0,70 до 0,49 и прорыв в первые сутки растёт с 2,9 до 5,7 из 100; запас дорогого внешнего эшелона иссякает к концу месяца в обоих вариантах, тогда как дешёвый внутренний накапливается, а стоимостной обмен остаётся около 5 : 1 в пользу нападения (оборона тратит в 5 раз больше). Доказательство оптимальности равномерного распределения перехватчиков по целям (arXiv 2608.31143, препринт) означает, что расчёт — лучший случай для обороны.</w:t>
      </w:r>
    </w:p>
    <w:p>
      <w:pPr>
        <w:pStyle w:val="Heading2"/>
      </w:pPr>
      <w:bookmarkStart w:name="_Toc194" w:id="194"/>
      <w:r>
        <w:t xml:space="preserve">2.2. Трёхсторонний бой и дроны</w:t>
      </w:r>
      <w:bookmarkEnd w:id="194"/>
    </w:p>
    <w:p>
      <w:pPr>
        <w:spacing w:after="120" w:line="288"/>
        <w:jc w:val="both"/>
      </w:pPr>
      <w:r>
        <w:t xml:space="preserve">Kress, Caulkins, Feichtinger, Grass и Seidl (EJOR, 2018) решили систему Ланчестера для трёх сторон. Gogerty (SSRN 6881358, 2026) использует её, чтобы ввести массово производимые беспилотники как третью «силу» с эффективностью, зависящей от стоимостного обмена и РЭБ. Его главный вывод: в войне с массовыми дронами исход определяет глубина производства. Это сценарный анализ без проверки на данных.</w:t>
      </w:r>
    </w:p>
    <w:p>
      <w:pPr>
        <w:pStyle w:val="Heading2"/>
      </w:pPr>
      <w:bookmarkStart w:name="_Toc195" w:id="195"/>
      <w:r>
        <w:t xml:space="preserve">2.3. Проверка на войне России и Украины: решает ли выпуск дронов</w:t>
      </w:r>
      <w:bookmarkEnd w:id="195"/>
    </w:p>
    <w:p>
      <w:pPr>
        <w:spacing w:after="120" w:line="288"/>
        <w:jc w:val="both"/>
      </w:pPr>
      <w:r>
        <w:t xml:space="preserve">Утверждение, которое можно проверить: в войне с массовыми дронами отношение потерь определяет относительный выпуск дешёвых средств поражения. Операционально: ln r = c + b·x, где r — отношение потерь России и Украины за год (вся техника, Oryx), x = ln(выпуск Украины ÷ выпуск России) по заявлениям сторон. Протокол зафиксирован до расчёта (коммит 061ed46): b оценивается по переходу 2023 → 2024 гг., прогноз делается на 2025 г., который в оценке не участвует; ориентиры — «ничего не изменилось» и «постоянный d» по 2022–2024 гг.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927"/>
        <w:gridCol w:w="1927"/>
        <w:gridCol w:w="1734"/>
        <w:gridCol w:w="1930"/>
      </w:tblGrid>
      <w:tr>
        <w:trPr>
          <w:tblHeader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Год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Потери России (ед.)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Потери Украины (ед.)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Отношение r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 = ln(P</w:t>
            </w:r>
            <w:r>
              <w:rPr>
                <w:b/>
                <w:bCs/>
                <w:i/>
                <w:iCs/>
                <w:color w:val="FFFFFF"/>
                <w:sz w:val="18"/>
                <w:szCs w:val="18"/>
              </w:rPr>
              <w:t xml:space="preserve">Укр ÷ P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Рос)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2022 (с 24.02)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8560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2677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3,20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2023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5168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2237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2,31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1,74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5984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2486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2,41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0,38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2025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4100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3537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1,16</w:t>
            </w:r>
          </w:p>
        </w:tc>
        <w:tc>
          <w:tcPr>
            <w:tcW w:type="dxa" w:w="193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0,69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rPr>
          <w:b/>
          <w:bCs/>
        </w:rPr>
        <w:t xml:space="preserve">Результат: гипотеза не поддержана.</w:t>
      </w:r>
      <w:r>
        <w:t xml:space="preserve"> Между 2023 и 2024 гг. относительный выпуск Украины упал (x с 1,74 до 0,38), а отношение потерь не изменилось (2,31 → 2,41), поэтому b = -0,03. Прогноз на 2025 г. — r = 2,38, фактически 1,16; направление изменения предсказано неверно. Средняя ошибка |Δ ln r|: у гипотезы 0,72, у «ничего не изменилось» 0,73, у постоянного d 0,81 — гипотеза не лучше нулевых ориентиров. С альтернативным выпуском Украины 3 млн в 2025 г. она тоже не поддержана (ошибка 0,73).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Что это значит. </w:t>
      </w:r>
      <w:r>
        <w:t xml:space="preserve">в 2025 г. отношение потерь резко упало — с 2,4 до 1,2, к осени 2025 г. около 0,9 (потери сторон сравнялись), — тогда как заявленный относительный выпуск изменился мало. Причины не установлены. Оговорки: это одна проверочная точка; заявления о выпуске несопоставимы по определению и политичны; публикации Oryx в конце 2025 г. могли запаздывать; отношение зависит от того, кто наступает. Результат относится к простой связи «заявленный выпуск → отношение потерь», а не к роли дронов в целом.</w:t>
      </w:r>
    </w:p>
    <w:p>
      <w:pPr>
        <w:pStyle w:val="Heading2"/>
      </w:pPr>
      <w:bookmarkStart w:name="_Toc196" w:id="196"/>
      <w:r>
        <w:t xml:space="preserve">2.4. Почему гипотеза не сработала: выход на дрон и состав потерь (ветка Б)</w:t>
      </w:r>
      <w:bookmarkEnd w:id="196"/>
    </w:p>
    <w:p>
      <w:pPr>
        <w:spacing w:after="120" w:line="288"/>
        <w:jc w:val="both"/>
      </w:pPr>
      <w:r>
        <w:t xml:space="preserve">Следующий шаг — понять причину, а не искать другую подгонку. Статус анализа: </w:t>
      </w:r>
      <w:r>
        <w:rPr>
          <w:b/>
          <w:bCs/>
        </w:rPr>
        <w:t xml:space="preserve">разведочный, вне протокола</w:t>
      </w:r>
      <w:r>
        <w:t xml:space="preserve"> (отношение потерь за 2025 г. было известно по проверке 2.3). Сравниваются потери России с заявленным выпуском дронов Украины по двум независимым источникам — Oryx и WarSpotting (записи по датам потерь).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445"/>
        <w:gridCol w:w="1252"/>
        <w:gridCol w:w="1349"/>
        <w:gridCol w:w="1252"/>
        <w:gridCol w:w="1349"/>
        <w:gridCol w:w="1156"/>
        <w:gridCol w:w="1064"/>
      </w:tblGrid>
      <w:tr>
        <w:trPr>
          <w:tblHeader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Год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Выпуск дронов Украины, млн (заявл.)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Потери России, Oryx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Потери России, WarSpotting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Oryx на млн дронов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WarSpotting на млн дронов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Доля тяжёлой техники</w:t>
            </w:r>
          </w:p>
        </w:tc>
        <w:tc>
          <w:tcPr>
            <w:tcW w:type="dxa" w:w="10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Доля лёгких машин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2023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0,80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5168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4315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6460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5394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64%</w:t>
            </w:r>
          </w:p>
        </w:tc>
        <w:tc>
          <w:tcPr>
            <w:tcW w:type="dxa" w:w="10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19%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2024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2,20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5984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6296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2720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2862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72%</w:t>
            </w:r>
          </w:p>
        </w:tc>
        <w:tc>
          <w:tcPr>
            <w:tcW w:type="dxa" w:w="10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2025</w:t>
            </w:r>
          </w:p>
        </w:tc>
        <w:tc>
          <w:tcPr>
            <w:tcW w:type="dxa" w:w="144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4,00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4100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3464</w:t>
            </w:r>
          </w:p>
        </w:tc>
        <w:tc>
          <w:tcPr>
            <w:tcW w:type="dxa" w:w="125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1025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866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58%</w:t>
            </w:r>
          </w:p>
        </w:tc>
        <w:tc>
          <w:tcPr>
            <w:tcW w:type="dxa" w:w="106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4"/>
                <w:szCs w:val="14"/>
              </w:rPr>
              <w:t xml:space="preserve">29%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Выход потерь на единицу заявленного выпуска упал в 6,3 раза по Oryx (6460 → 1025 на млн) и в 6,2 раза по WarSpotting. Главное: между 2024 и 2025 гг. заявленный выпуск Украины вырос с 2,20 до 4,00 млн, а число зафиксированных потерь России </w:t>
      </w:r>
      <w:r>
        <w:rPr>
          <w:b/>
          <w:bCs/>
        </w:rPr>
        <w:t xml:space="preserve">упало</w:t>
      </w:r>
      <w:r>
        <w:t xml:space="preserve"> — на 31% по Oryx и на 45% по WarSpotting. Любая модель вида «потери — неубывающая функция выпуска» с постоянными параметрами (в том числе модель насыщения L = T·(1 − e^(−y·D/T))) этим отвергается в обоих независимых источниках.</w:t>
      </w:r>
    </w:p>
    <w:p>
      <w:pPr>
        <w:spacing w:after="120" w:line="288"/>
        <w:jc w:val="both"/>
      </w:pPr>
      <w:r>
        <w:t xml:space="preserve">В составе записей WarSpotting доля тяжёлой техники (танки, БМП, самоходная артиллерия) снизилась с 72% в 2024 г. до 24% в 2026 г. (по 20.10.2026), доля лёгких машин (транспорт, лёгкие мобильные машины) выросла с 17% до 48%. Это согласуется с описанием RUSI и Defence Studies: дроны дают около двух третей потерь, но до цели долетает лишь 20–40%, а противник адаптируется — рассредоточивает и заменяет бронетехнику лёгкими машинами и пехотными штурмами.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Вывод. </w:t>
      </w:r>
      <w:r>
        <w:t xml:space="preserve">Заявленный выпуск — плохой входной параметр: потери упираются не в число «стрелков», а в число уязвимых целей и в ответную адаптацию. Правильная модель истощения — типа «хищник — жертва»: потери = выпуск × доля долетевших × доля поражений × </w:t>
      </w:r>
      <w:r>
        <w:rPr>
          <w:b/>
          <w:bCs/>
        </w:rPr>
        <w:t xml:space="preserve">доля целей, которые ещё есть на фронте</w:t>
      </w:r>
      <w:r>
        <w:t xml:space="preserve">; последний множитель сам убывает. Это проверяемая гипотеза для будущего периода (доля тяжёлой техники в записях потерь не вернётся к уровню 2024 г.), но не принимаемая модель: независимых помесячных рядов численности целей на фронте в открытых данных нет. Оговорки: выпуск — заявления сторон, несопоставимые по определению; Oryx и WarSpotting учитывают только подтверждённое фото и видео; 2026 г. неполный.</w:t>
      </w:r>
    </w:p>
    <w:p>
      <w:pPr>
        <w:pStyle w:val="Heading1"/>
        <w:pageBreakBefore/>
      </w:pPr>
      <w:bookmarkStart w:name="_Toc197" w:id="197"/>
      <w:r>
        <w:t xml:space="preserve">3. Как модели учитывают разведку и психологию</w:t>
      </w:r>
      <w:bookmarkEnd w:id="197"/>
    </w:p>
    <w:p>
      <w:pPr>
        <w:pStyle w:val="Heading2"/>
      </w:pPr>
      <w:bookmarkStart w:name="_Toc198" w:id="198"/>
      <w:r>
        <w:t xml:space="preserve">3.1. Разведка — переход между законами</w:t>
      </w:r>
      <w:bookmarkEnd w:id="198"/>
    </w:p>
    <w:p>
      <w:pPr>
        <w:spacing w:after="120" w:line="288"/>
        <w:jc w:val="both"/>
      </w:pPr>
      <w:r>
        <w:t xml:space="preserve">Пусть i — доля огня по разведанным целям (0…1). Тогда потери — смесь прицельного и площадного огня:</w:t>
      </w:r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dA/dt = −b·B·[ iB + (1 − iB)·A/A₀ ]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dB/dt = −a·A·[ iA + (1 − iA)·B/B₀ ]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i = 1 — квадратичный закон, i = 0 — линейный (огонь по площади)</w:t>
      </w:r>
    </w:p>
    <w:p>
      <w:pPr>
        <w:spacing w:after="120" w:line="288"/>
        <w:jc w:val="both"/>
      </w:pPr>
      <w:r>
        <w:t xml:space="preserve">В этой записи разведка — не просто множитель силы, а то, что определяет, по какому закону идёт бой. Отсюда известный результат Coulson (2019): при квадратичном законе превосходство в разведке компенсирует численность лишь через квадратный корень. Но это следствие самого квадратичного закона; при линейном законе (как в наших данных) разведка компенсирует численность один к одному.</w:t>
      </w:r>
    </w:p>
    <w:p>
      <w:pPr>
        <w:pStyle w:val="Heading2"/>
      </w:pPr>
      <w:bookmarkStart w:name="_Toc199" w:id="199"/>
      <w:r>
        <w:t xml:space="preserve">3.2. Психология — воля как переменная состояния</w:t>
      </w:r>
      <w:bookmarkEnd w:id="199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dm/dt = −μ·(относительная скорость потерь) − ν·(удары по тылу) + ρ·(1 − m)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огонь ведут A·m бойцов (Шумов: не поражённые и не отказавшиеся от боя)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сторона прекращает бой при m &lt; m*  (порог воли, толерантность к потерям)</w:t>
      </w:r>
    </w:p>
    <w:p>
      <w:pPr>
        <w:spacing w:after="120" w:line="288"/>
        <w:jc w:val="both"/>
      </w:pPr>
      <w:r>
        <w:t xml:space="preserve">Atkinson, Kress и MacKay (Operations Research, 2021) показали на такой модели: больше единиц </w:t>
      </w:r>
      <w:r>
        <w:rPr>
          <w:b/>
          <w:bCs/>
        </w:rPr>
        <w:t xml:space="preserve">и</w:t>
      </w:r>
      <w:r>
        <w:t xml:space="preserve"> лучшее оружие (выше коэффициент поражения) выгоднее, чем улучшение целеуказания и снятие ограничений развёртывания. Распространённый пересказ «численность важнее новых образцов» этой работе не соответствует.</w:t>
      </w:r>
    </w:p>
    <w:p>
      <w:pPr>
        <w:pStyle w:val="Heading1"/>
        <w:pageBreakBefore/>
      </w:pPr>
      <w:bookmarkStart w:name="_Toc200" w:id="200"/>
      <w:r>
        <w:t xml:space="preserve">4. Измерения на сражениях CDB90</w:t>
      </w:r>
      <w:bookmarkEnd w:id="200"/>
    </w:p>
    <w:p>
      <w:pPr>
        <w:spacing w:after="120" w:line="288"/>
        <w:jc w:val="both"/>
      </w:pPr>
      <w:r>
        <w:t xml:space="preserve">База CDB90 (Concepts Analysis Agency, 1990) содержит численность, потери, длительность и оценки составителей HERO — в чью пользу были разведка, мораль, руководство, подготовка, техника, снабжение и внезапность (шкала −2…+2). Протокол зафиксирован коммитом 65e1a59 до расчёта; основная выборка — 404 сражений 1900–1973 гг., проверки — все годы (643) и сражения с надёжной численностью (485). Интервалы — 95%, бутстреп по сражениям.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Ловушка данных. </w:t>
      </w:r>
      <w:r>
        <w:t xml:space="preserve">В распространённой «опрятной» версии CDB90 все отрицательные коды (оценки в пользу обороны, поражения нападающего) записаны пустыми. ИВМ читает их из исходных таблиц; без этого выборка теряет до 20% сражений и смещается.</w:t>
      </w:r>
    </w:p>
    <w:p>
      <w:pPr>
        <w:pStyle w:val="Heading2"/>
      </w:pPr>
      <w:bookmarkStart w:name="_Toc201" w:id="201"/>
      <w:r>
        <w:t xml:space="preserve">4.1. Закон огня: от чего зависят суточные потери</w:t>
      </w:r>
      <w:bookmarkEnd w:id="201"/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ln(L/T) = c + p · ln Nпротивника + q · ln Nсвои + тип обороны + роль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927"/>
        <w:gridCol w:w="1927"/>
        <w:gridCol w:w="1542"/>
        <w:gridCol w:w="2508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Выборка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(противник)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(свои)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+ q</w:t>
            </w:r>
          </w:p>
        </w:tc>
        <w:tc>
          <w:tcPr>
            <w:tcW w:type="dxa" w:w="25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Ожидание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1900–1973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0,16 [0,06; 0,27]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0,46 [0,36; 0,56]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0,62 [0,55; 0,70]</w:t>
            </w:r>
          </w:p>
        </w:tc>
        <w:tc>
          <w:tcPr>
            <w:tcW w:type="dxa" w:w="25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квадратичный: 1 и 0; по площади: 1 и 1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 шириной фронта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0,22 [0,10; 0,35]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0,49 [0,37; 0,61]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0,71</w:t>
            </w:r>
          </w:p>
        </w:tc>
        <w:tc>
          <w:tcPr>
            <w:tcW w:type="dxa" w:w="25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поправка на плотность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все годы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0,15 [0,05; 0,23]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0,46 [0,37; 0,56]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0,61</w:t>
            </w:r>
          </w:p>
        </w:tc>
        <w:tc>
          <w:tcPr>
            <w:tcW w:type="dxa" w:w="25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надёжные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0,18 [0,07; 0,29]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0,44 [0,33; 0,54]</w:t>
            </w:r>
          </w:p>
        </w:tc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0,62</w:t>
            </w:r>
          </w:p>
        </w:tc>
        <w:tc>
          <w:tcPr>
            <w:tcW w:type="dxa" w:w="250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Ни квадратичный закон, ни закон огня по площади не описывают, сколько сторона теряет в сутки: численность противника влияет слабо (p = 0,16), своя — умеренно. Сумма p + q = 0,62 &lt; 1 означает, что в бою участвует только часть сил — это и есть ограничение развёртывания из работы Atkinson, Kress и MacKay. Для исхода важнее отношение потерь, а оно согласовано с моделью: α = 1 + p − q ≈ 0,71. Долю прицельного огня i из раздела 3.1 так определить нельзя (она требует p ≈ 1) — это честный отрицательный результат.</w:t>
      </w:r>
    </w:p>
    <w:p>
      <w:pPr>
        <w:pStyle w:val="Heading2"/>
      </w:pPr>
      <w:bookmarkStart w:name="_Toc202" w:id="202"/>
      <w:r>
        <w:t xml:space="preserve">4.2. Разведка и психология в численном перевесе</w:t>
      </w:r>
      <w:bookmarkEnd w:id="202"/>
    </w:p>
    <w:p>
      <w:pPr>
        <w:spacing w:after="120" w:line="288"/>
        <w:jc w:val="both"/>
      </w:pPr>
      <w:r>
        <w:t xml:space="preserve">Обмен потерями и вероятность победы оценены одновременно по всем семи факторам (377 сражений), с учётом соотношения сил и типа обороны. Эквивалент — во сколько раз нужно превосходить противника численно, чтобы получить тот же прирост шансов, что даёт одна ступень фактора.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120"/>
        <w:gridCol w:w="1349"/>
        <w:gridCol w:w="1929"/>
      </w:tblGrid>
      <w:tr>
        <w:trPr>
          <w:tblHeader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Фактор (ступень)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Шансы победы ×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Равно перевесу, раз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Все годы, раз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Потери нападающего ×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Руководство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13,4 [7,1; 50,9]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9,3 [4,2; 67,7]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14,7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0,61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Мораль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8,5 [4,4; 32,8]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6,3 [2,8; 47,0]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10,7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0,77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Снабжение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2,6 [1,1; 11,3]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2,3 [1,1; 13,8]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3,0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1,60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Разведка (значимо по всем годам)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2,5 [0,9; 18,1]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2,2 [0,9; 18,0]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2,8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0,81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Внезапность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1,8 [1,1; 3,1]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1,6 [1,1; 3,1]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1,4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0,90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Техника (не значимо)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0,8 [0,1; не ограничен]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0,8 [0,1; не ограничен]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1,4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0,71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Подготовка (не значимо)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0,7 [0,4; 1,2]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0,7 [0,4; 1,2]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1,4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0,65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Рабочая форма для модели боя — множитель эффективности стороны: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E = Π kf ^ (ступень f),   k: руководство ≈ 9, мораль ≈ 6, снабжение ≈ 2,3, разведка ≈ 2, внезапность ≈ 1,6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Оговорка. </w:t>
      </w:r>
      <w:r>
        <w:t xml:space="preserve">Оценки факторов проставлены составителями HERO после сражений, когда исход был известен. Связь «победил — значит, руководство было лучше» неизбежно завышает эффекты, поэтому множители — верхняя граница. Подготовка и техника при учёте остальных факторов отдельно не различимы.</w:t>
      </w:r>
    </w:p>
    <w:p>
      <w:pPr>
        <w:pStyle w:val="Heading2"/>
      </w:pPr>
      <w:bookmarkStart w:name="_Toc203" w:id="203"/>
      <w:r>
        <w:t xml:space="preserve">4.3. Порог воли</w:t>
      </w:r>
      <w:bookmarkEnd w:id="203"/>
    </w:p>
    <w:p>
      <w:pPr>
        <w:spacing w:after="120" w:line="288"/>
        <w:jc w:val="both"/>
      </w:pPr>
      <w:r>
        <w:t xml:space="preserve">Проигравшая сторона сломалась при своей доле потерь, победившая — нет (её порог выше наблюдённой доли). Порог моделируется логнормальным распределением, оценка — максимум правдоподобия с цензурированием.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2313"/>
        <w:gridCol w:w="1156"/>
        <w:gridCol w:w="3471"/>
      </w:tblGrid>
      <w:tr>
        <w:trPr>
          <w:tblHeader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Модель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Медиана порога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Разброс s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Эффекты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C0 — общий порог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16% [14%; 18%]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1,26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C1 — нападающий / обороняющийся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16% / 16%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1,25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оборона 0,05 [-0,18; 0,26] — не отличается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C3 — + мораль (вне протокола)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15% [12%; 18%]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1,26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ступень морали — порог × 1,29 [1,11; 1,47]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все годы, C0</w:t>
            </w:r>
          </w:p>
        </w:tc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21% [19%; 23%]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1,17</w:t>
            </w:r>
          </w:p>
        </w:tc>
        <w:tc>
          <w:tcPr>
            <w:tcW w:type="dxa" w:w="34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120"/>
      </w:pPr>
    </w:p>
    <w:p>
      <w:pPr>
        <w:spacing w:after="100"/>
      </w:pPr>
      <w:r>
        <w:rPr>
          <w:color w:val="5F6761"/>
          <w:sz w:val="18"/>
          <w:szCs w:val="18"/>
        </w:rPr>
        <w:t xml:space="preserve">Модель C2 протокола содержала ковариату «скорость потерь» ln(f/T), в которую входит сама доля потерь f — её коэффициент механически положителен и не интерпретируется; C3 — та же модель без неё (анализ вне протокола).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m* ≈ 0,16 · 1,29^(мораль)</w:t>
      </w:r>
    </w:p>
    <w:p>
      <w:pPr>
        <w:spacing w:after="120" w:line="288"/>
        <w:jc w:val="both"/>
      </w:pPr>
      <w:r>
        <w:t xml:space="preserve">Кандидат bp = 0,16 проверен на 10 войнах 2018–2025 гг.: логарифмическая оценка -66,5 против -66,0 при прежнем 0,4 — не хуже, но и не лучше. </w:t>
      </w:r>
      <w:r>
        <w:rPr>
          <w:b/>
          <w:bCs/>
        </w:rPr>
        <w:t xml:space="preserve">Решение (13.10.2026): порог — сценарный параметр.</w:t>
      </w:r>
      <w:r>
        <w:t xml:space="preserve"> Отдельное сражение (дни) — 16%, кампания (месяцы) — 40%, по умолчанию; в прототипе — переключатель «Порог слома».</w:t>
      </w:r>
    </w:p>
    <w:p>
      <w:pPr>
        <w:pStyle w:val="Heading2"/>
      </w:pPr>
      <w:bookmarkStart w:name="_Toc204" w:id="204"/>
      <w:r>
        <w:t xml:space="preserve">4.4. Потенциал × эффективность: что объясняет исход (ветка А)</w:t>
      </w:r>
      <w:bookmarkEnd w:id="204"/>
    </w:p>
    <w:p>
      <w:pPr>
        <w:spacing w:after="120" w:line="288"/>
        <w:jc w:val="both"/>
      </w:pPr>
      <w:r>
        <w:t xml:space="preserve">Гипотеза: сила стороны — произведение потенциала (численности) на эффективность. Проверка — перекрёстная (5 частей × 40 повторов), 343 сражений без пропусков по факторам, мера — логарифмическая оценка вне выборки на сражение (выше — лучше); правило протокола ddf406d зафиксировано до расчёта: прирост от факторов поверх численности не меньше 0,10 и доверительный интервал выше нуля.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433"/>
        <w:gridCol w:w="1927"/>
        <w:gridCol w:w="2315"/>
      </w:tblGrid>
      <w:tr>
        <w:trPr>
          <w:tblHeader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Модель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Признаки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Оценка вне выборки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Прирост к предыдущей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A0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тип обороны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−0,641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A1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 численность (ln N нап / N об)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−0,632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+0,009 [+0,003; +0,012]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A2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 семь факторов (разведка, мораль, руководство, подготовка, техника, снабжение, внезапность)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−0,452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+0,180 [+0,149; +0,193]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A3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факторы без численности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−0,474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+0,167 к A0 [+0,144; +0,180]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Численность добавляет к предсказанию исхода почти ничего (+0,009 на сражение), факторы эффективности — примерно в 20 раз больше (+0,180); на долю факторов приходится 95% всего прироста над типом обороны. Для обмена потерями ln(Lнап / Lоб) доля объяснённой дисперсии вне выборки: по численности 0,00, с факторами 0,23. Правило протокола выполнено, но с оговоркой: коды факторов проставлены составителями после сражений, поэтому вклад факторов — верхняя граница; вклад численности завышен быть не может.</w:t>
      </w:r>
    </w:p>
    <w:p>
      <w:pPr>
        <w:shd w:fill="F2F4F0" w:color="auto" w:val="clear"/>
        <w:spacing w:after="16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F = M · E,   M — потенциал (численность × качество техники),   E = Π kf ^ (ступень f) — эффективность (раздел 4.2)</w:t>
      </w:r>
    </w:p>
    <w:p>
      <w:pPr>
        <w:spacing w:after="120" w:line="288"/>
        <w:jc w:val="both"/>
      </w:pPr>
      <w:r>
        <w:t xml:space="preserve">Следствие для ИВМ: индекс измеряет в основном M. Чтобы он предсказывал исходы, ему нужен множитель E, а источники для E в современных войнах — это именно то, что открытые данные не дают (подготовка, руководство, мораль). Это обосновывает экспертную панель (документ 7, модули М5–М6) как необходимую часть метода, а не как украшение.</w:t>
      </w:r>
    </w:p>
    <w:p>
      <w:pPr>
        <w:pStyle w:val="Heading2"/>
      </w:pPr>
      <w:bookmarkStart w:name="_Toc205" w:id="205"/>
      <w:r>
        <w:t xml:space="preserve">4.5. Порядок индекса и баланс сил (ветка Г)</w:t>
      </w:r>
      <w:bookmarkEnd w:id="205"/>
    </w:p>
    <w:p>
      <w:pPr>
        <w:spacing w:after="120" w:line="288"/>
        <w:jc w:val="both"/>
      </w:pPr>
      <w:r>
        <w:t xml:space="preserve">Если κ не определяется (раздел 1.2), можно ли хотя бы доверять порядку индекса? Площадь под ROC-кривой (AUC) не зависит от κ: проверяется, выше ли у случаев, где перевеса хватило, значение ln(ratio), чем у тех, где не хватило. Десять войн 2018–2025 гг., кандидат θC.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6"/>
        <w:gridCol w:w="1734"/>
        <w:gridCol w:w="1349"/>
        <w:gridCol w:w="1929"/>
      </w:tblGrid>
      <w:tr>
        <w:trPr>
          <w:tblHeader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Случай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Перевес по индексу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Нужно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Перевеса хватило?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 и США против Ирана, июнь 2025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0,53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1,13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да,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Руанда (через M23) против ДРК, 2025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1,07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1,00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да,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Израиль против Ирана в Сирии, 2018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1,14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да,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Руанда (через M23) против ДРК, 2021–2022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1,19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1,00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Китай против Индии, Ладакх, 2020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1,49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1,00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 против Украины, вторжение 2022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1,77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1,49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Азербайджан против Армении, Карабах, 2020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1,84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0,87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да,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Индия против Пакистана, май 2025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3,94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Пакистан против Афганистана, 2024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6,84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1,30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  <w:tr>
        <w:trPr>
          <w:cantSplit/>
        </w:trPr>
        <w:tc>
          <w:tcPr>
            <w:tcW w:type="dxa" w:w="462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Россия против Украины, наступление 2023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8,83 : 1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1,15 : 1</w:t>
            </w:r>
          </w:p>
        </w:tc>
        <w:tc>
          <w:tcPr>
            <w:tcW w:type="dxa" w:w="192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нет, не хватило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AUC = 0,13 (в протоколе ожидалось не менее 0,70), перестановочная вероятность в сторону превосходства 0,98: правило «порядок индекса информативен» не выполнено. Но значение не «около 0,5», а существенно ниже — порядок индекса </w:t>
      </w:r>
      <w:r>
        <w:rPr>
          <w:b/>
          <w:bCs/>
        </w:rPr>
        <w:t xml:space="preserve">обратен</w:t>
      </w:r>
      <w:r>
        <w:t xml:space="preserve"> исходу. Вне протокола (после расчёта, поэтому разведочно): точный перестановочный p для обратной связи — 0,033 (односторонний), 0,067 (двусторонний). Пять нападающих с наибольшим перевесом по индексу (Индия 2025, Пакистан 2024, Россия 2023 и 2022, Китай против Индии 2020) цели не достигли; Израиль, чей индекс слабее или равен, цели достиг.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Оговорка. </w:t>
      </w:r>
      <w:r>
        <w:t xml:space="preserve">Десять случаев — это мало и они не независимы (Россия 2022 и 2023 — одна война; два случая Руанды — одна тема); обратный порядок не гипотеза протокола, а наблюдение после расчёта. Вывод осторожный: порядок индекса по ресурсам не предсказывает успех наступления, потому что индекс измеряет размер, а не эффективность (раздел 4.4). Для прогнозов войн индекс следует подавать как порядковую оценку ресурсов, без перевода в «силу» и без обещания, что больший перевес — больший шанс.</w:t>
      </w:r>
    </w:p>
    <w:p>
      <w:pPr>
        <w:pStyle w:val="Heading2"/>
      </w:pPr>
      <w:bookmarkStart w:name="_Toc206" w:id="206"/>
      <w:r>
        <w:t xml:space="preserve">4.6. Эффективность из открытых признаков страны (CDB90 и UCDP GED)</w:t>
      </w:r>
      <w:bookmarkEnd w:id="206"/>
    </w:p>
    <w:p>
      <w:pPr>
        <w:spacing w:after="120" w:line="288"/>
        <w:jc w:val="both"/>
      </w:pPr>
      <w:r>
        <w:t xml:space="preserve">Раздел 4.4 показал: исход объясняют факторы эффективности, но их коды проставлены составителями после сражений. Можно ли заменить их признаками, известными до сражения? Протокол acd9792 зафиксирован до расчёта. Признаки стороны (разность нападающий − обороняющийся, последнее значение за 5 лет до года сражения): ln ВВП на душу (Maddison), электоральная демократия (V-Dem), ln энергопотребления на военнослужащего (CoW NMC — мера механизации), боевой опыт в той же войне. Выборка: n = 354 сражений 1900–1973 гг., у которых обе стороны сопоставлены со странами; мера и перекрёстная проверка — как в разделе 4.4.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433"/>
        <w:gridCol w:w="1927"/>
        <w:gridCol w:w="2315"/>
      </w:tblGrid>
      <w:tr>
        <w:trPr>
          <w:tblHeader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Модель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Признаки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Оценка вне выборки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Прирост к предыдущей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E0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тип обороны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−0,687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E1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 численность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−0,679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+0,008 [+0,004; +0,012]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E2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 ВВП на душу, демократия, механизация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−0,657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+0,022 [+0,015; +0,027]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E3</w:t>
            </w:r>
          </w:p>
        </w:tc>
        <w:tc>
          <w:tcPr>
            <w:tcW w:type="dxa" w:w="443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 боевой опыт</w:t>
            </w:r>
          </w:p>
        </w:tc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−0,656</w:t>
            </w:r>
          </w:p>
        </w:tc>
        <w:tc>
          <w:tcPr>
            <w:tcW w:type="dxa" w:w="231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+0,001 [−0,004; +0,004]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Правило 1 (признаки страны добавляют не менее 0,02 поверх численности) </w:t>
      </w:r>
      <w:r>
        <w:rPr>
          <w:b/>
          <w:bCs/>
        </w:rPr>
        <w:t xml:space="preserve">выполнено</w:t>
      </w:r>
      <w:r>
        <w:t xml:space="preserve">: +0,022. Это первое положительное предсказательное обнаружение проекта поверх численности, но оно примерно в 8 раз меньше верхней границы по факторам составителей (+0,180). Правило 2 (боевой опыт сверх страны) не выполнено. Доля объяснённой дисперсии отношения потерь вне выборки выросла с 0,01 (численность) до 0,20 (признаки страны) — страна объясняет пятую часть разброса, как и в литературе (Biddle, Reiter и Stam): потери определяются тем, как воюют, а не сколько воюет.</w:t>
      </w:r>
    </w:p>
    <w:p>
      <w:pPr>
        <w:spacing w:after="120" w:line="288"/>
        <w:jc w:val="both"/>
      </w:pPr>
      <w:r>
        <w:rPr>
          <w:b/>
          <w:bCs/>
        </w:rPr>
        <w:t xml:space="preserve">Независимая проверка на UCDP GED v25.1.</w:t>
      </w:r>
      <w:r>
        <w:t xml:space="preserve"> Модель обмена потерями (три признака, без свободного члена, обучена только на CDB90, n = 354) применена к межгосударственным диада-годам 1989–2024 гг. (потери у обеих сторон, не менее 25 погибших): 24 диада-года в 9 диадах, 12 из них Индия — Пакистан. Протокол с правилом (ранговая корреляция не ниже 0,30 и нижняя граница бутстрепа по диадам выше нуля) зафиксирован коммитом до расчёта. Результат: Спирмен +0,248 [−0,596; +0,627], знак обмена угадан в 50% случаев; на современных войнах 2018–2025 гг. модели, обученные на CDB90, дали AUC 0,50 (E1) и 0,38 (E2) против «перевеса хватило». </w:t>
      </w:r>
      <w:r>
        <w:rPr>
          <w:b/>
          <w:bCs/>
        </w:rPr>
        <w:t xml:space="preserve">Перенос не подтверждён.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Вывод. </w:t>
      </w:r>
      <w:r>
        <w:t xml:space="preserve">Это не опровержение: 24 случая в 9 зависимых диадах дают слишком мало мощности. Но и подтверждения нет. Поэтому признаки страны (ВВП на душу, демократия, механизация) в индекс не вносятся: они ловят часть эффективности в эпоху 1900–1973 гг. и пока не показали умения на современных войнах. Для эффективности современных армий по-прежнему нужны экспертные оценки (панель Дельфи, модули М5–М6).</w:t>
      </w:r>
    </w:p>
    <w:p>
      <w:pPr>
        <w:pStyle w:val="Heading1"/>
        <w:pageBreakBefore/>
      </w:pPr>
      <w:bookmarkStart w:name="_Toc207" w:id="207"/>
      <w:r>
        <w:t xml:space="preserve">5. Разбор распространённых утверждений</w:t>
      </w:r>
      <w:bookmarkEnd w:id="207"/>
    </w:p>
    <w:p>
      <w:pPr>
        <w:spacing w:after="120" w:line="288"/>
        <w:jc w:val="both"/>
      </w:pPr>
      <w:r>
        <w:t xml:space="preserve">Ответы языковых моделей и материалы конкурентов о «полной модели» с сотнями параметров содержат ошибки, которые полезно знать: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7"/>
        <w:gridCol w:w="5591"/>
      </w:tblGrid>
      <w:tr>
        <w:trPr>
          <w:tblHeader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Утверждение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Как на самом деле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«Полная математическая модель TENET MCI» с формулами разведки и психологии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ядро MCI закрыто (проприетарно); такие «синтезы» — обобщения языковой модели, а не формулы компании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«Больше единиц выгоднее новых платформ» (ссылка на Atkinson, Kress, MacKay 2021)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 работе: больше единиц </w:t>
            </w: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и</w:t>
            </w: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 лучшее оружие выгоднее улучшения целеуказания и снятия ограничений развёртывания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«10% перевеса дают 21% мощи»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верно только при квадратичном законе; на сражениях α ≈ 0,65–1,0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«Разведка действует как корень из превосходства» (Coulson 2019)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это следствие квадратичного закона, а не самостоятельный закон; на данных разведка ≈ перевес в 2 раза за ступень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«Артиллерия — линейный закон, танки — квадратичный»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линейный закон — огонь без видимой цели; артиллерия с корректировкой дронами ведёт прицельный огонь</w:t>
            </w:r>
          </w:p>
        </w:tc>
      </w:tr>
      <w:tr>
        <w:trPr>
          <w:cantSplit/>
        </w:trPr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«Численность решает больше, чем принято считать» (TENET)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по CDB90 соотношение сил почти не предсказывает исход; руководство и мораль весят больше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208" w:id="208"/>
      <w:r>
        <w:t xml:space="preserve">6. Научная новизна</w:t>
      </w:r>
      <w:bookmarkEnd w:id="208"/>
    </w:p>
    <w:p>
      <w:pPr>
        <w:pStyle w:val="Heading2"/>
      </w:pPr>
      <w:bookmarkStart w:name="_Toc209" w:id="209"/>
      <w:r>
        <w:t xml:space="preserve">6.1. Не ново</w:t>
      </w:r>
      <w:bookmarkEnd w:id="209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Индекс военной мощи на основе Ланчестера (Осипов 1915; TENET MCI; Дюпюи QJM).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Дроны как третья сила, стоимостной обмен, глубина производства (Gogerty 2026).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Уравнения по рядам потерь войны на Украине (Chung, Jeong 2024, SINDy по Oryx).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Разведка и мораль в уравнениях (Дейтчман, Шаффер, Шумов, Coulson, Atkinson–Kress–MacKay).</w:t>
      </w:r>
    </w:p>
    <w:p>
      <w:pPr>
        <w:pStyle w:val="Heading2"/>
      </w:pPr>
      <w:bookmarkStart w:name="_Toc210" w:id="210"/>
      <w:r>
        <w:t xml:space="preserve">6.2. Возможно ново (приоритет нужно подтвердить обзором литературы)</w:t>
      </w:r>
      <w:bookmarkEnd w:id="210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Индекс, переведённый в силу (M = exp(κ·ИВМ)), с проверкой вне выборки по заранее зафиксированным протоколам</w:t>
      </w:r>
      <w:r>
        <w:t xml:space="preserve">, включая отрицательный результат: открытые данные не предсказывают ни исход, ни начало войн. Публикация неудач с предрегистрацией в этой области почти не встречается.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α ≈ 1 при равной эффективности:</w:t>
      </w:r>
      <w:r>
        <w:t xml:space="preserve"> видимый в истории «закон между линейным и квадратичным» объясняется отбором — нападают качественно более сильные. Проверить, делали ли это Hartley и Helmbold.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Абсолютная интенсивность боя не следует ни одной форме Ланчестера</w:t>
      </w:r>
      <w:r>
        <w:t xml:space="preserve"> (p ≈ 0,16, q ≈ 0,46), при этом отношение потерь согласовано с α ≈ 0,7–1.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Множители факторов в единицах численного перевеса</w:t>
      </w:r>
      <w:r>
        <w:t xml:space="preserve"> (руководство ≈ 9, мораль ≈ 6, разведка ≈ 2) и </w:t>
      </w:r>
      <w:r>
        <w:rPr>
          <w:b/>
          <w:bCs/>
        </w:rPr>
        <w:t xml:space="preserve">порог воли с цензурированием</w:t>
      </w:r>
      <w:r>
        <w:t xml:space="preserve"> (медиана 16%, мораль × 1,29 за ступень).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 конкретной войны по отношению её потерь и ошибка модели σ, откалиброванная по 10 войнам.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Разложение предсказуемости исхода на потенциал и эффективность вне выборки</w:t>
      </w:r>
      <w:r>
        <w:t xml:space="preserve"> (почти всё — эффективность) и </w:t>
      </w:r>
      <w:r>
        <w:rPr>
          <w:b/>
          <w:bCs/>
        </w:rPr>
        <w:t xml:space="preserve">обратный порядок индекса ресурсов относительно успеха наступления</w:t>
      </w:r>
      <w:r>
        <w:t xml:space="preserve"> на 10 войнах (разведочный результат, p ≈ 0,03–0,07).</w:t>
      </w:r>
    </w:p>
    <w:p>
      <w:pPr>
        <w:pStyle w:val="Heading2"/>
      </w:pPr>
      <w:bookmarkStart w:name="_Toc211" w:id="211"/>
      <w:r>
        <w:t xml:space="preserve">6.3. Где пробел</w:t>
      </w:r>
      <w:bookmarkEnd w:id="211"/>
    </w:p>
    <w:p>
      <w:pPr>
        <w:spacing w:after="120" w:line="288"/>
        <w:jc w:val="both"/>
      </w:pPr>
      <w:r>
        <w:t xml:space="preserve">Модель истощения с дронами (выпуск против расхода, стоимостной обмен, РЭБ), </w:t>
      </w:r>
      <w:r>
        <w:rPr>
          <w:b/>
          <w:bCs/>
        </w:rPr>
        <w:t xml:space="preserve">проверенная вне выборки</w:t>
      </w:r>
      <w:r>
        <w:t xml:space="preserve">. Первая проверка выполнена: простая связь «заявленный выпуск → отношение потерь» по Oryx 2022–2025 гг. не подтвердилась (раздел 2.3). Пробел сохраняется: нужны входы лучше заявленного выпуска — расход средств, потери от РЭБ, доля попаданий. Ни Gogerty, ни Chung и Jeong проверки вне выборки не делали.</w:t>
      </w:r>
    </w:p>
    <w:p>
      <w:pPr>
        <w:pStyle w:val="Heading1"/>
        <w:pageBreakBefore/>
      </w:pPr>
      <w:bookmarkStart w:name="_Toc212" w:id="212"/>
      <w:r>
        <w:t xml:space="preserve">7. Конкурент: TENET Intelligence MCI</w:t>
      </w:r>
      <w:bookmarkEnd w:id="212"/>
    </w:p>
    <w:p>
      <w:pPr>
        <w:spacing w:after="120" w:line="288"/>
        <w:jc w:val="both"/>
      </w:pPr>
      <w:r>
        <w:t xml:space="preserve">TENET Intelligence (США) — аналитическая компания, основанная бывшими военными и разведчиками; продукты DAWN (оборонный рынок), MERIDIAN (национальная мощь и дипломатическое влияние), SAGE (единая платформа). Military Capability Index: «на основе законов Ланчестера», 150+ стран, 200+ показателей, четыре блока — структура сил, технологическая оснащённость, операционная эффективность, способность к поддержке. Уравнения закрыты; опубликованной проверки на войнах нет.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276"/>
        <w:gridCol w:w="2698"/>
        <w:gridCol w:w="1737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Критерий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ИВМ «Ланчестер–Осипов»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TENET MCI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Впереди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Охват стран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8 (эксперты), 40 (пилот), 177 (расширенный набор)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150+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Показатели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253 (≈ 215 в индексе)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200+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паритет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Прозрачность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формулы, параметры и код открыты (MLO-core, MIT)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ядро закрыто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Закон боя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α измерен на сражениях, квадратичный закон отвергнут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заявлен N²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Проверка на истории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CDB90 и 10 войн, протоколы до расчёта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 опубликована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Неопределённость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интервалы, Монте-Карло, Соболь, σ модели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 видно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Разведка и воля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множители и порог измерены по сражениям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декларативно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Дроны и производство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проверка вне выборки: связь «выпуск → потери» не подтвердилась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статьи, рынок БПЛА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открыто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Флот и ПВО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модель залпов (в работе)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неизвестно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ИВМ, после реализации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Ядерное оружие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отдельная ось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неизвестно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Коалиции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модель с надёжностью, долей сил, задержкой, расстоянием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публично нет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Монитор очагов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AUC 0,962 вне выборки; простой ориентир (граница, история, прошлый год) даёт 0,958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MERIDIAN, без проверки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 по честности проверки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Честность прогноза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признано: исход войн не предсказывается лучше равновероятного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маркетинг без проверок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 по доверию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Данные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открытые + временная оценка ИИ (класс D), без IISS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вероятно, платные и закрытые OSINT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Экспертиза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панель Дельфи не проведена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штат бывших военных и разведчиков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Обновление и продукт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прототип, ручное обновление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SaaS-платформа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Рынок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нет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клиенты оборонки, советники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TENET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Стоимость</w:t>
            </w:r>
          </w:p>
        </w:tc>
        <w:tc>
          <w:tcPr>
            <w:tcW w:type="dxa" w:w="327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бесплатные данные</w:t>
            </w:r>
          </w:p>
        </w:tc>
        <w:tc>
          <w:tcPr>
            <w:tcW w:type="dxa" w:w="269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платный</w:t>
            </w:r>
          </w:p>
        </w:tc>
        <w:tc>
          <w:tcPr>
            <w:tcW w:type="dxa" w:w="17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ИВМ</w:t>
            </w:r>
          </w:p>
        </w:tc>
      </w:tr>
    </w:tbl>
    <w:p>
      <w:pPr>
        <w:spacing w:after="120"/>
      </w:pP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</w:pPr>
      <w:r>
        <w:rPr>
          <w:b/>
          <w:bCs/>
          <w:color w:val="9F2F27"/>
        </w:rPr>
        <w:t xml:space="preserve">Итог. </w:t>
      </w:r>
      <w:r>
        <w:t xml:space="preserve">Научная часть — проверяемость, измеренные законы, честная неопределённость — сильнее у ИВМ; данные, охват, экспертиза, продукт и рынок — у TENET. Закрывать: экспертная панель, 150+ стран, платные данные при появлении бюджета, платформа (FastAPI, React).</w:t>
      </w:r>
    </w:p>
    <w:p>
      <w:pPr>
        <w:pStyle w:val="Heading1"/>
        <w:pageBreakBefore/>
      </w:pPr>
      <w:bookmarkStart w:name="_Toc213" w:id="213"/>
      <w:r>
        <w:t xml:space="preserve">8. План</w:t>
      </w:r>
      <w:bookmarkEnd w:id="213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Модель истощения с дронами с лучшими входами, чем заявленный выпуск (расход средств поражения, стоимостной обмен, деградация от РЭБ): простая связь «выпуск → отношение потерь» проверена и не подтвердилась (раздел 2.3); новый протокол до расчёта.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Модель залпов для флота и ПВО (глубина боекомплекта перехватчиков, стоимость перехвата).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Множитель эффективности E по факторам CDB90 — в ветку теории «потенциал × эффективность»; источники значений факторов для современных армий — экспертная панель (модули М5, М6).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Обзор литературы для подтверждения приоритета пунктов 6.2 (Hartley, Helmbold, Lucas и Turkes, Dupuy).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Проверка заменителей эффективности на базе с большим числом сопоставимых столкновений государств (например, ACLED) — отдельный протокол до расчёта.</w:t>
      </w:r>
    </w:p>
    <w:p>
      <w:pPr>
        <w:pStyle w:val="Heading1"/>
        <w:pageBreakBefore/>
      </w:pPr>
      <w:bookmarkStart w:name="_Toc214" w:id="214"/>
      <w:r>
        <w:t xml:space="preserve">Литература</w:t>
      </w:r>
      <w:bookmarkEnd w:id="214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Lanchester F. W. Aircraft in Warfare: The Dawn of the Fourth Arm. London, 1916. Осипов М. Влияние численности сражающихся сторон на их потери // Военный сборник, 1915, № 6–10.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Atkinson M. P., Kress M., MacKay N. J. Targeting, Deployment, and Loss-Tolerance in Lanchester Engagements // Operations Research, 2021. doi 10.1287/opre.2020.2022.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Kress M., Caulkins J. P., Feichtinger G., Grass D., Seidl A. Lanchester model for three-way combat // European Journal of Operational Research, 2018, 264(1), 46–54.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Rubio-Campillo X. Model Selection in Historical Research Using Approximate Bayesian Computation // PLoS ONE, 2016, 11(1): e0146491.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Chung D., Jeong B. Analyzing Russia–Ukraine War Patterns Based on Lanchester Model Using SINDy Algorithm // Mathematics, 2024, 12(6), 851.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Gogerty N. From Square Law to Swarm Law: A Drone-extended Lanchester Model and the New Mathematics of Attrition across Eight Conflicts. SSRN 6881358, 2026.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Шумов В. В. Учёт психологических факторов в моделях боя (конфликта) // Компьютерные исследования и моделирование, 2016, 8(6), 951–964.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Coulson S. Lanchester modelling of intelligence in combat // IMA Journal of Management Mathematics, 2019, 30(2), 149.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Hughes W. P. A Salvo Model of Warships in Missile Combat Used to Evaluate Their Staying Power // Naval Research Logistics, 1995.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Deitchman S. J. A Lanchester Model of Guerrilla Warfare // Operations Research, 1962. Schaffer M. B. Lanchester Models of Guerrilla Engagements. RAND RM-5053-ARPA, 1967.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CDB90: Concepts Analysis Agency. Database of Battles, 1990 (версия jrnold/cdb90, ODC-By; факторы — src-data/M000121).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TENET Intelligence. Force Size vs. Force Quality: A Lanchesterian Analysis; A Quantitative Framework for Modern Military Power: The TENET MCI (tenetintel.com, 2025–2026; к 13.10.2026 часть страниц недоступна, копии — Wayback Machine).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Современные модели боя и научная новизна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Современные модели боя и научная новизна</dc:title>
  <dc:creator>ИВМ «Ланчестер–Осипов»</dc:creator>
  <cp:lastModifiedBy>Un-named</cp:lastModifiedBy>
  <cp:revision>1</cp:revision>
  <dcterms:created xsi:type="dcterms:W3CDTF">2026-10-21T17:50:26.081Z</dcterms:created>
  <dcterms:modified xsi:type="dcterms:W3CDTF">2026-10-21T17:50:26.081Z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