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Методика оценки военной мощи: критика моделей и обоснование улучшений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Глубокий разбор модели Ланчестера–Осипова, анализ 13 существующих подходов и 13 улучшений, заложенных в программу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1 из 5 · Методика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Резюме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Что такое военная мощь и как её измерять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Модель Ланчестера–Осипова: глубокий разбор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2.1. Происхождение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2.2. Семейство законов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2.3. Математические следствия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2.4. Эмпирическая проверка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2.5. Ограничения при переносе на уровень государств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3. Критика существующих моделей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3.1. Global Firepower PowerIndex (GFP)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3.2. CINC (Correlates of War, National Material Capabilities)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3.3. Lowy Institute Asia Power Index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3.4. BICC Global Militarization Index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3.5. Heritage Index of U.S. Military Strength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3.6. Material Military Power (Souva, 2023)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3.7. DOE score (Carroll, Kenkel, 2019)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3.8. «Чистые ресурсы» (Beckley, 2018)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3.9. Credit Suisse (2015)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3.10. QJM и TNDM (Т. Дюпюи)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3.11. WEI/WUV и метод «потенциал–антипотенциал»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3.12. Отечественный метод боевых потенциалов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3.13. Сама модель Ланчестера как индекс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3.14. Сводная оценка подходов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4. Уроки войн 2022–2026 годов для методики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4.1. Россия — Украина: господство обороны и экономика дронов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4.2. Израиль — Иран (2025–2026): качество и «слабое звено»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4.3. Операция США в Венесуэле (январь 2026): проекция и C4ISR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4.4. Хуситы и Красное море (2023–2025): экономика обмена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4.5. Индия — Пакистан (май 2025) и ядерный порог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4.6. Локальные войны 2025–2026 годов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5. Улучшения, заложенные в программу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У1. Роли показателей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У2. Закон Ланчестера внутри столпов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У3. Эталонные боевые единицы (ЕБП)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У4. Нелинейная свёртка CES и «слабое звено»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У5. Ядерная ось и три режима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У6. Проекция силы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У7. Время и устойчивость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У8. Союзы как явные коалиции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У9. Неопределённость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У10. Калибровка весов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У11. Сценарный движок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У12. Прозрачность и воспроизводимость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У13. Показатели эпохи дронов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5">
            <w:r>
              <w:t xml:space="preserve">6. Сводка формул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6">
            <w:r>
              <w:t xml:space="preserve">7. Валидация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7">
            <w:r>
              <w:t xml:space="preserve">8. Ограничения и корректное использование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1" w:id="1"/>
      <w:r>
        <w:t xml:space="preserve">Резюме</w:t>
      </w:r>
      <w:bookmarkEnd w:id="1"/>
    </w:p>
    <w:p>
      <w:pPr>
        <w:spacing w:after="120" w:line="288"/>
        <w:jc w:val="both"/>
      </w:pPr>
      <w:r>
        <w:t xml:space="preserve">Документ обосновывает методику программы «ИВМ Ланчестер–Осипов» — индекса военной мощи (ИВМ) государств по 253 показателям в 12 столпах с динамической моделью боя. Он отвечает на три вопроса: что даёт классическая модель Ланчестера–Осипова, почему существующие рейтинги военной мощи систематически ошибаются и какие конкретные улучшения устраняют эти ошибки.</w:t>
      </w:r>
    </w:p>
    <w:p>
      <w:pPr>
        <w:pStyle w:val="Heading3"/>
      </w:pPr>
      <w:r>
        <w:t xml:space="preserve">Главные выводы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Модель Ланчестера не прогнозирует войну, но задаёт правильную математическую форму индекса.</w:t>
      </w:r>
      <w:r>
        <w:t xml:space="preserve"> Боевая мощь растёт как «качество × численность в степени α». В логарифмах это правило весов `ln F = ln Q + α·ln N`, и именно его мы встраиваем в расчёт боевых столпов.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Показатель α нужно калибровать.</w:t>
      </w:r>
      <w:r>
        <w:t xml:space="preserve"> Подгонка к Арденнам, Курску и базам исторических сражений не подтверждает чистый квадратичный закон (α = 2). Результат зависит от уровня боя, типа оружия и способа подсчёта сил. По 404 сражениям 1900–1973 гг. (база CDB90) при равной боевой эффективности сторон α ≈ 1,0 [0,8; 1,2]: с 13.10.2026 по умолчанию α = 1,0, в расчёте неопределённости — 0,8–1,2 (документ 6, раздел 7.5).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Существующие рейтинги считают «штуки».</w:t>
      </w:r>
      <w:r>
        <w:t xml:space="preserve"> Global Firepower, CINC и большинство индексов линейно складывают количество техники и ресурсы с непрозрачными или произвольными весами. Они не учитывают качество, исправность, синергию родов войск, географию, время, союзников и неопределённость. Войны 2022–2026 годов показали, к каким ошибкам это ведёт.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Предлагаемая методика устраняет ошибки системно.</w:t>
      </w:r>
      <w:r>
        <w:t xml:space="preserve"> Каждому показателю назначена роль в модели. Боевые столпы считаются по закону Ланчестера. Столпы сворачиваются нелинейно (CES), ядерное сдерживание вынесено на отдельную ось, учтены проекция силы и устойчивость к затяжной войне, союзники задаются явными коалициями с надёжностью. Метод Монте-Карло даёт интервал индекса и диапазон мест, а веса калибруются по историческим исходам.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Индекс и модель боя связаны.</w:t>
      </w:r>
      <w:r>
        <w:t xml:space="preserve"> Структурный индекс автоматически даёт входы уравнений боя: начальный потенциал, эффективность, резерв, темп восполнения и радиус проекции. Поэтому один набор данных отвечает и на вопрос «кто сильнее вообще», и на вопрос «что будет на конкретном театре».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Ограничение. </w:t>
      </w:r>
      <w:r>
        <w:t xml:space="preserve">методика оценивает военный потенциал, а не намерения сторон и не исход конкретной войны. Все выводы публикуются с интервалами неопределённости и версией методики.</w:t>
      </w:r>
    </w:p>
    <w:p>
      <w:pPr>
        <w:pStyle w:val="Heading1"/>
        <w:pageBreakBefore/>
      </w:pPr>
      <w:bookmarkStart w:name="_Toc2" w:id="2"/>
      <w:r>
        <w:t xml:space="preserve">1. Что такое военная мощь и как её измерять</w:t>
      </w:r>
      <w:bookmarkEnd w:id="2"/>
    </w:p>
    <w:p>
      <w:pPr>
        <w:spacing w:after="120" w:line="288"/>
        <w:jc w:val="both"/>
      </w:pPr>
      <w:r>
        <w:t xml:space="preserve">Военная мощь — это способность государства применять организованное насилие для достижения политических целей против конкретного противника, на конкретном театре и в течение определённого времени. Из определения следуют четыре требования к любой методике.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Относительность.</w:t>
      </w:r>
      <w:r>
        <w:t xml:space="preserve"> Мощь не существует в вакууме: она всегда направлена «против кого» и «где». Поэтому нужны сравнение пар (диады) и учёт удалённости театра.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Многомерность.</w:t>
      </w:r>
      <w:r>
        <w:t xml:space="preserve"> Готовые силы (ёмкость, возможности, готовность) и способность их восполнять (экономика, промышленность, мобилизация) — разные измерения. Их нельзя свести к одной «сумме танков».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Время.</w:t>
      </w:r>
      <w:r>
        <w:t xml:space="preserve"> В короткой войне решают готовые силы, в затяжной — производство и резервы. Методика должна позволять менять горизонт.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Неопределённость.</w:t>
      </w:r>
      <w:r>
        <w:t xml:space="preserve"> Данные о качестве, исправности и запасах закрыты. Честный индекс показывает диапазон, а не точку.</w:t>
      </w:r>
    </w:p>
    <w:p>
      <w:pPr>
        <w:spacing w:after="120" w:line="288"/>
        <w:jc w:val="both"/>
      </w:pPr>
      <w:r>
        <w:t xml:space="preserve">Отсюда триада, заимствованная у Heritage Foundation, но доведённая до чисел: </w:t>
      </w:r>
      <w:r>
        <w:rPr>
          <w:b/>
          <w:bCs/>
        </w:rPr>
        <w:t xml:space="preserve">ёмкость</w:t>
      </w:r>
      <w:r>
        <w:t xml:space="preserve"> (сколько сил), </w:t>
      </w:r>
      <w:r>
        <w:rPr>
          <w:b/>
          <w:bCs/>
        </w:rPr>
        <w:t xml:space="preserve">возможности</w:t>
      </w:r>
      <w:r>
        <w:t xml:space="preserve"> (насколько они современны и эффективны), </w:t>
      </w:r>
      <w:r>
        <w:rPr>
          <w:b/>
          <w:bCs/>
        </w:rPr>
        <w:t xml:space="preserve">готовность</w:t>
      </w:r>
      <w:r>
        <w:t xml:space="preserve"> (какая доля боеспособна сейчас). К ней мы добавляем </w:t>
      </w:r>
      <w:r>
        <w:rPr>
          <w:b/>
          <w:bCs/>
        </w:rPr>
        <w:t xml:space="preserve">устойчивость</w:t>
      </w:r>
      <w:r>
        <w:t xml:space="preserve"> (как быстро восполняются потери) и </w:t>
      </w:r>
      <w:r>
        <w:rPr>
          <w:b/>
          <w:bCs/>
        </w:rPr>
        <w:t xml:space="preserve">сдерживание</w:t>
      </w:r>
      <w:r>
        <w:t xml:space="preserve"> (ядерный порог).</w:t>
      </w:r>
    </w:p>
    <w:p>
      <w:pPr>
        <w:pStyle w:val="Heading1"/>
        <w:pageBreakBefore/>
      </w:pPr>
      <w:bookmarkStart w:name="_Toc3" w:id="3"/>
      <w:r>
        <w:t xml:space="preserve">2. Модель Ланчестера–Осипова: глубокий разбор</w:t>
      </w:r>
      <w:bookmarkEnd w:id="3"/>
    </w:p>
    <w:p>
      <w:pPr>
        <w:pStyle w:val="Heading2"/>
      </w:pPr>
      <w:bookmarkStart w:name="_Toc4" w:id="4"/>
      <w:r>
        <w:t xml:space="preserve">2.1. Происхождение</w:t>
      </w:r>
      <w:bookmarkEnd w:id="4"/>
    </w:p>
    <w:p>
      <w:pPr>
        <w:spacing w:after="120" w:line="288"/>
        <w:jc w:val="both"/>
      </w:pPr>
      <w:r>
        <w:t xml:space="preserve">Модель независимо предложили два автора. </w:t>
      </w:r>
      <w:r>
        <w:rPr>
          <w:b/>
          <w:bCs/>
        </w:rPr>
        <w:t xml:space="preserve">М. П. Осипов</w:t>
      </w:r>
      <w:r>
        <w:t xml:space="preserve"> опубликовал в 1915 году в «Военном сборнике» статью «Влияние численности сражающихся сторон на их потери». В ней уже есть и линейная, и квадратичная зависимости, а также сопоставление с данными сражений XIX века. </w:t>
      </w:r>
      <w:r>
        <w:rPr>
          <w:b/>
          <w:bCs/>
        </w:rPr>
        <w:t xml:space="preserve">Ф. У. Ланчестер</w:t>
      </w:r>
      <w:r>
        <w:t xml:space="preserve"> изложил ту же идею в статьях 1914 года и книге «Aircraft in Warfare: The Dawn of the Fourth Arm» (1916). В отечественной традиции принято название «модель Ланчестера–Осипова», и программа носит это имя.</w:t>
      </w:r>
    </w:p>
    <w:p>
      <w:pPr>
        <w:pStyle w:val="Heading2"/>
      </w:pPr>
      <w:bookmarkStart w:name="_Toc5" w:id="5"/>
      <w:r>
        <w:t xml:space="preserve">2.2. Семейство законов</w:t>
      </w:r>
      <w:bookmarkEnd w:id="5"/>
    </w:p>
    <w:p>
      <w:pPr>
        <w:spacing w:after="120" w:line="288"/>
        <w:jc w:val="both"/>
      </w:pPr>
      <w:r>
        <w:t xml:space="preserve">Обозначения: x, y — численность сторон; a — темп, с которым одна единица y выводит из строя единицы x; b — то же для 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120"/>
        <w:gridCol w:w="2891"/>
        <w:gridCol w:w="2700"/>
      </w:tblGrid>
      <w:tr>
        <w:trPr>
          <w:tblHeader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Закон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Уравнения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Инвариант и вывод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Где применим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Линейный, огонь по площадям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dx/dt = −a·x·y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dy/dt = −b·x·y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b·x₀ против a·y₀: сила ∝ e·N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неприцельный огонь, артиллерия по площадям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Квадратичный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dx/dt = −a·y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dy/dt = −b·x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b·x² − a·y² = const: сила ∝ e·N²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прицельный огонь, высокоточное оружие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Логарифмический (Петерсон)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dx/dt = −a·x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потери ∝ собственной численности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небоевые потери, насыщение целями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Смешанный (Дейчман, 1962)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dx/dt = −a·y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dy/dt = −b·x·y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параболический закон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повстанцы против регулярной армии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Обобщённый (Хельмболд, 1965)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dx/dt = −a·x^(1−W)·y^W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b·x^(2W) − a·y^(2W) = const; α = 2W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калибровка по истории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 подкреплениями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dx/dt = −a·y + P(t)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мобилизация, ротация, выход из боя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Гетерогенный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dxᵢ/dt = −Σⱼ aᵢⱼ·φⱼᵢ·yⱼ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веса образцов — собственный вектор матрицы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смешанные группировки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Стохастический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марковская цепь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вероятность победы вместо точки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малые численности, неопределённость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Залповый (Хьюз, 1995)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ΔB = (α·A − b₃·B) / b₁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дискретные залпы, перехват, живучесть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морской бой, ракетные удары, ПВО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Решение квадратичного закона: x(t) = x₀·ch(√(ab)·t) − y₀·√(a/b)·sh(√(ab)·t). Победитель определяется знаком инварианта b·x₀² − a·y₀². Если побеждает x, у него остаётся x_кон = √(x₀² − (a/b)·y₀²).</w:t>
      </w:r>
    </w:p>
    <w:p>
      <w:pPr>
        <w:spacing w:after="120" w:line="288"/>
        <w:jc w:val="both"/>
      </w:pPr>
      <w:r>
        <w:t xml:space="preserve">В программе используется обобщённая форма с параметром α ∈ [0,5; 2]. Она плавно переходит от логарифмического закона к линейному и квадратичному: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dA/dt = −a · A^(1−α/2) · B^(α/2) + r_A(t)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dB/dt = −b · B^(1−α/2) · A^(α/2) + r_B(t)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инвариант без подкреплений:  b·A^α − a·B^α = const</w:t>
      </w:r>
    </w:p>
    <w:p>
      <w:pPr>
        <w:pStyle w:val="Heading2"/>
      </w:pPr>
      <w:bookmarkStart w:name="_Toc6" w:id="6"/>
      <w:r>
        <w:t xml:space="preserve">2.3. Математические следствия</w:t>
      </w:r>
      <w:bookmarkEnd w:id="6"/>
    </w:p>
    <w:p>
      <w:pPr>
        <w:pStyle w:val="Heading3"/>
      </w:pPr>
      <w:r>
        <w:t xml:space="preserve">Цена численности</w:t>
      </w:r>
    </w:p>
    <w:p>
      <w:pPr>
        <w:spacing w:after="120" w:line="288"/>
        <w:jc w:val="both"/>
      </w:pPr>
      <w:r>
        <w:t xml:space="preserve">По квадратичному закону сторона, уступающая вдвое по численности, должна превосходить противника по качеству (произведению поражающей способности и живучести) в четыре раза. В общем виде k-кратное численное отставание требует качества в k^α раз. Это опровергает интуицию «одна современная машина стоит двух старых»: при α = 2 она должна стоить четырёх.</w:t>
      </w:r>
    </w:p>
    <w:p>
      <w:pPr>
        <w:pStyle w:val="Heading3"/>
      </w:pPr>
      <w:r>
        <w:t xml:space="preserve">Принцип сосредоточения</w:t>
      </w:r>
    </w:p>
    <w:p>
      <w:pPr>
        <w:spacing w:after="120" w:line="288"/>
        <w:jc w:val="both"/>
      </w:pPr>
      <w:r>
        <w:t xml:space="preserve">Сила N, разделённая на две равные части, при α = 2 даёт 2·(N/2)² = N²/2, то есть вдвое меньше. Отсюда ценность разведки, связи и манёвра: они позволяют сосредоточить силы и бить противника по частям. В индексе эти средства отнесены к роли «множитель» (C4ISR, РЭБ, ДРЛО).</w:t>
      </w:r>
    </w:p>
    <w:p>
      <w:pPr>
        <w:pStyle w:val="Heading3"/>
      </w:pPr>
      <w:r>
        <w:t xml:space="preserve">Правило «3 : 1» как следствие модели</w:t>
      </w:r>
    </w:p>
    <w:p>
      <w:pPr>
        <w:spacing w:after="120" w:line="288"/>
        <w:jc w:val="both"/>
      </w:pPr>
      <w:r>
        <w:t xml:space="preserve">Наступающему для успеха нужно соотношение сил R = (e</w:t>
      </w:r>
      <w:r>
        <w:rPr>
          <w:i/>
          <w:iCs/>
        </w:rPr>
        <w:t xml:space="preserve">обороны / e</w:t>
      </w:r>
      <w:r>
        <w:t xml:space="preserve">наступления · d)^(1/α), где d — коэффициент преимущества обороны (местность, укрепления, подготовка). При равном качестве сторон: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2313"/>
        <w:gridCol w:w="2314"/>
      </w:tblGrid>
      <w:tr>
        <w:trPr>
          <w:tblHeader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Показатель закона α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 = 1,5 (поспешная оборона)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 = 2,5 (подготовленная)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 = 3,0 (укрепрайон, город)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= 1 (линейный; по умолчанию с 13.10.2026)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1,50 : 1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2,50 : 1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3,00 : 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= 1,5 (прежнее значение методики)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1,31 : 1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1,84 : 1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2,08 : 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= 2 (квадратичный)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1,22 : 1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1,58 : 1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1,73 : 1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Классическое правило «3 : 1» соответствует линейному закону при d = 3 и не является универсальной константой. Если высокоточное оружие и дроны делают огонь прицельным (α растёт), преимущество обороны в пересчёте на численность сокращается. Если же оборона закапывается и рассредоточивается (растёт d), а поле боя насыщено средствами поражения, требуемое превосходство растёт. Именно этот механизм объясняет позиционный характер войны 2022–2026 годов на Украине (раздел 4.1).</w:t>
      </w:r>
    </w:p>
    <w:p>
      <w:pPr>
        <w:spacing w:after="120" w:line="288"/>
        <w:jc w:val="both"/>
      </w:pPr>
      <w:r>
        <w:rPr>
          <w:b/>
          <w:bCs/>
        </w:rPr>
        <w:t xml:space="preserve">Что показали данные (13.10.2026).</w:t>
      </w:r>
      <w:r>
        <w:t xml:space="preserve"> По базе CDB90 при равной боевой эффективности сторон преимущество обороны в обмене потерями близко к 1 (d ≈ 1,0–1,1 для поспешной, подготовленной и укреплённой обороны), а одна ступень превосходства в эффективности весит больше двукратного численного перевеса. Поэтому в методике d = 1,3 для поспешной обороны и ударов и 1,0 для подготовленной и укреплённой; d конкретной войны можно измерить по отношению её потерь — для войны России и Украины в 2024–2025 гг. по Oryx d = 1,7 (документ 6, разделы 7.5–7.7). Таблица выше остаётся иллюстрацией формулы.</w:t>
      </w:r>
    </w:p>
    <w:p>
      <w:pPr>
        <w:pStyle w:val="Heading2"/>
      </w:pPr>
      <w:bookmarkStart w:name="_Toc7" w:id="7"/>
      <w:r>
        <w:t xml:space="preserve">2.4. Эмпирическая проверка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Сражение и исследование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Иводзима (Engel, 1954)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квадратичный закон с подкреплениями хорошо описывает потери американских войск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Арденны (Bracken, 1995)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лучший по сумме квадратов остатков — линейный закон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Арденны (Fricker, 1998)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ни линейный, ни квадратичный не подходят; на исправленных данных лучше «сверхлогарифмический»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Курск (Clemens, 1997)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логарифмический закон лучше линейного и квадратичного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Курск (Lucas, Turkes, 2004)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ни один базовый закон не подходит хорошо и устойчиво; разные законы дают сопоставимую подгонку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Курск (Lucas, Dinges), по реально воюющим силам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линейный R² = 0,62; логарифмический 0,54; квадратичный 0,29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Базы сражений (Хельмболд, Хартли)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«отношение Хельмболда» связано с исходным соотношением сил; данные поддерживают промежуточные законы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Бои муравьёв Solenopsis invicta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показатель ≈ 1 вместо 2: даже в природе квадратичный закон не выполняется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CDB90, 404 сражения 1900–1973 гг. (пилот ИВМ, 13.10.2026)</w:t>
            </w:r>
          </w:p>
        </w:tc>
        <w:tc>
          <w:tcPr>
            <w:tcW w:type="dxa" w:w="59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= 0,65 [0,46; 0,84]; с поправкой на боевую эффективность 0,98 [0,80; 1,18], d ≈ 1; численность почти не предсказывает победу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Вывод.</w:t>
      </w:r>
      <w:r>
        <w:t xml:space="preserve"> Коэффициенты нестационарны, а «правильный» закон зависит от уровня боя, типа оружия, способа подсчёта сил и метода подгонки. Поэтому α — </w:t>
      </w:r>
      <w:r>
        <w:rPr>
          <w:b/>
          <w:bCs/>
        </w:rPr>
        <w:t xml:space="preserve">параметр калибровки</w:t>
      </w:r>
      <w:r>
        <w:t xml:space="preserve">: с 13.10.2026 по умолчанию 1,0 (линейный закон, оценка по сражениям CDB90 и проверка на 10 войнах 2018–2025 гг.), в расчёте неопределённости — от 0,8 до 1,2; прежнее значение — 1,5. Модель полезна для структурных выводов и сравнения сценариев, но не для точного прогноза потерь. Проверка на 10 войнах 2018–2025 гг. по данным года до войны показала, что соотношение сил по индексу почти не несёт прогностической информации: ошибка модели σ = 2,0 в логарифме соотношения, поэтому программа показывает вероятность того, что перевеса хватает, а исходы модели боя — как условные (документ 6, раздел 7.8).</w:t>
      </w:r>
    </w:p>
    <w:p>
      <w:pPr>
        <w:pStyle w:val="Heading2"/>
      </w:pPr>
      <w:bookmarkStart w:name="_Toc8" w:id="8"/>
      <w:r>
        <w:t xml:space="preserve">2.5. Ограничения при переносе на уровень государств</w:t>
      </w:r>
      <w:bookmarkEnd w:id="8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Однородность.</w:t>
      </w:r>
      <w:r>
        <w:t xml:space="preserve"> Реальные силы разнородны, и их надо приводить к общей единице (эталонным боевым единицам).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Постоянство коэффициентов.</w:t>
      </w:r>
      <w:r>
        <w:t xml:space="preserve"> В реальности они меняются с темпом боя, усталостью, боезапасом и адаптацией противника.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пространства и логистики.</w:t>
      </w:r>
      <w:r>
        <w:t xml:space="preserve"> Модель «перемешивает» силы в одной точке, без фронта, глубины и снабжения.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 учтены управление, разведка, РЭБ и мораль.</w:t>
      </w:r>
      <w:r>
        <w:t xml:space="preserve"> Это мультипликаторы, а не слагаемые.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Ядерное сдерживание не складывается с обычными силами.</w:t>
      </w:r>
      <w:r>
        <w:t xml:space="preserve"> Это порог, ограничивающий цели войны.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экономики и времени.</w:t>
      </w:r>
      <w:r>
        <w:t xml:space="preserve"> Исход затяжной войны решают ОПК, мобилизация и финансы.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союзов</w:t>
      </w:r>
      <w:r>
        <w:t xml:space="preserve"> и их надёжности.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географии.</w:t>
      </w:r>
      <w:r>
        <w:t xml:space="preserve"> Сила теряется с удалённостью театра (градиент Боулдинга).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Плохо описываются асимметричные и гибридные конфликты.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Закрытость данных</w:t>
      </w:r>
      <w:r>
        <w:t xml:space="preserve"> о качестве и готовности требует экспертных оценок с явной неопределённостью.</w:t>
      </w:r>
    </w:p>
    <w:p>
      <w:pPr>
        <w:pStyle w:val="Heading1"/>
        <w:pageBreakBefore/>
      </w:pPr>
      <w:bookmarkStart w:name="_Toc9" w:id="9"/>
      <w:r>
        <w:t xml:space="preserve">3. Критика существующих моделей</w:t>
      </w:r>
      <w:bookmarkEnd w:id="9"/>
    </w:p>
    <w:p>
      <w:pPr>
        <w:spacing w:after="120" w:line="288"/>
        <w:jc w:val="both"/>
      </w:pPr>
      <w:r>
        <w:t xml:space="preserve">Ниже разобраны 13 подходов. Для каждого указаны суть, сильные стороны, недостатки с обоснованием и то, что мы заимствуем. Критерии оценки: прозрачность и воспроизводимость, учёт качества и готовности, синергия родов войск, ядерный фактор, география, время и устойчивость, союзники, неопределённость, проверка на реальных исходах.</w:t>
      </w:r>
    </w:p>
    <w:p>
      <w:pPr>
        <w:pStyle w:val="Heading2"/>
      </w:pPr>
      <w:bookmarkStart w:name="_Toc10" w:id="10"/>
      <w:r>
        <w:t xml:space="preserve">3.1. Global Firepower PowerIndex (GFP)</w:t>
      </w:r>
      <w:bookmarkEnd w:id="10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Ежегодный рейтинг 145 стран по «более чем 60 факторам» (по описаниям 2026 года). Итоговое значение PwrIndx тем лучше, чем ближе к нулю (0,0000 — недостижимый идеал). После базового расчёта применяются бонусы и штрафы. Ядерное оружие напрямую не учитывается.</w:t>
      </w:r>
    </w:p>
    <w:p>
      <w:pPr>
        <w:spacing w:after="120" w:line="288"/>
        <w:jc w:val="both"/>
      </w:pPr>
      <w:r>
        <w:rPr>
          <w:b/>
          <w:bCs/>
        </w:rPr>
        <w:t xml:space="preserve">Сильные стороны.</w:t>
      </w:r>
      <w:r>
        <w:t xml:space="preserve"> Широкий охват, ежегодное обновление, понятная подача. Это самый цитируемый рейтинг в СМИ.</w:t>
      </w:r>
    </w:p>
    <w:p>
      <w:pPr>
        <w:spacing w:after="120" w:line="288"/>
        <w:jc w:val="both"/>
      </w:pPr>
      <w:r>
        <w:rPr>
          <w:b/>
          <w:bCs/>
        </w:rPr>
        <w:t xml:space="preserve">Критика и обоснование.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Непрозрачность и невоспроизводимость.</w:t>
      </w:r>
      <w:r>
        <w:t xml:space="preserve"> Формула, веса и состав бонусов и штрафов полностью не опубликованы. Независимый исследователь не может повторить расчёт, а значит, не может проверить ни ошибку, ни чувствительность результата к допущениям. Методика, которую нельзя проверить, не может служить основой решений.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Количество без качества.</w:t>
      </w:r>
      <w:r>
        <w:t xml:space="preserve"> Счётные показатели («танки», «самолёты», «корабли») входят без поправки на поколение, исправность и боезапас. Пример: 1 000 танков устаревших поколений против 300 современных. Линейный подсчёт даёт 3,3 : 1. Если же современная машина в 10 раз превосходит старую по произведению поражающей способности и живучести, то по квадратичному закону силы равны: 10·300² = 900 000 против 1·1 000² = 1 000 000. При α = 1,5 перевес у современной стороны: 10·300^1,5 ≈ 52 000 против 1 000^1,5 ≈ 31 600, а при α = 1, принятом в методике, — 3 000 против 1 000.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готовности.</w:t>
      </w:r>
      <w:r>
        <w:t xml:space="preserve"> В счёт попадает техника на хранении и неисправная. Война 2022–2026 годов показала, что у разных армий доля боеспособной техники различается в разы.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Поощрение разнообразия.</w:t>
      </w:r>
      <w:r>
        <w:t xml:space="preserve"> Акцент на «разнообразии вооружений» ведёт к парадоксу: страна получает баллы за наличие класса техники, даже если её боевая ценность мала.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Исключение ядерного оружия</w:t>
      </w:r>
      <w:r>
        <w:t xml:space="preserve"> устраняет главный фактор, ограничивающий цели войны против ядерной державы. Для индекса это ошибка спецификации: исключать фактор нельзя, его надо вводить правильно — порогом, а не суммой (раздел 5, У5).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неопределённости.</w:t>
      </w:r>
      <w:r>
        <w:t xml:space="preserve"> Публикуется точный ранг («4-е место»), хотя различия между соседними странами часто меньше погрешности данных.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Проверка реальностью.</w:t>
      </w:r>
      <w:r>
        <w:t xml:space="preserve"> В рейтинге GFP 2022 года Россия стояла на 2-м месте, Украина — на 22-м. Счётный разрыв предполагал быстрый исход, но война стала затяжной позиционной: решающими оказались преимущество обороны, мотивация, разведка, дроны и внешняя поддержка, которых нет в формуле. В 2025 году Израиль и Иран стояли в GFP рядом (около 15-го и 16-го мест). Однако в июне 2025 года и в кампании 2026 года израильская авиация в первые дни добилась господства в воздухе над Ираном. Качественный разрыв в ВВС, ПВО и разведке счётный индекс не увидел.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Охват и подачу. Формулу не заимствуем.</w:t>
      </w:r>
    </w:p>
    <w:p>
      <w:pPr>
        <w:pStyle w:val="Heading2"/>
      </w:pPr>
      <w:bookmarkStart w:name="_Toc11" w:id="11"/>
      <w:r>
        <w:t xml:space="preserve">3.2. CINC (Correlates of War, National Material Capabilities)</w:t>
      </w:r>
      <w:bookmarkEnd w:id="11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Шесть компонентов — военные расходы, численность ВС, производство чугуна и стали, потребление первичной энергии, общее и городское население. Каждый выражается как доля от мировой суммы, а индекс — их среднее с равными весами. Ряды доступны с 1816 года.</w:t>
      </w:r>
    </w:p>
    <w:p>
      <w:pPr>
        <w:spacing w:after="120" w:line="288"/>
        <w:jc w:val="both"/>
      </w:pPr>
      <w:r>
        <w:rPr>
          <w:b/>
          <w:bCs/>
        </w:rPr>
        <w:t xml:space="preserve">Сильные стороны.</w:t>
      </w:r>
      <w:r>
        <w:t xml:space="preserve"> Полная прозрачность, длинные ряды, стандарт академических исследований.</w:t>
      </w:r>
    </w:p>
    <w:p>
      <w:pPr>
        <w:spacing w:after="120" w:line="288"/>
        <w:jc w:val="both"/>
      </w:pPr>
      <w:r>
        <w:rPr>
          <w:b/>
          <w:bCs/>
        </w:rPr>
        <w:t xml:space="preserve">Критика и обоснование.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Устаревшие прокси.</w:t>
      </w:r>
      <w:r>
        <w:t xml:space="preserve"> Сталь и энергия были мерой промышленной мощи эпохи мировых войн. Сегодня они плохо отражают способность производить ракеты, электронику и дроны.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Двойной вес населения.</w:t>
      </w:r>
      <w:r>
        <w:t xml:space="preserve"> Общее и городское население — два из шести компонентов, то есть треть индекса. Поэтому индекс систематически завышает бедные многолюдные страны. В последних выпусках CINC Китая заметно выше, чем у США, вопреки большинству экспертных оценок военного баланса.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Равные веса</w:t>
      </w:r>
      <w:r>
        <w:t xml:space="preserve"> — произвол, не проверенный по исходам.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Доли от мировой суммы</w:t>
      </w:r>
      <w:r>
        <w:t xml:space="preserve"> превращают индекс в игру с нулевой суммой: рост одной страны механически снижает показатели остальных.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Слабая предсказательная сила.</w:t>
      </w:r>
      <w:r>
        <w:t xml:space="preserve"> Carroll и Kenkel (2019) показали, что отношение CINC сторон предсказывает исходы межгосударственных споров лишь немного лучше случайного угадывания.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Нет качества, готовности, географии, союзов и ядерного фактора.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Исторический ряд для валидации и компоненты как отдельные показатели (I21 — сталь, L13 — энергия, D12 — городское население) с небольшими весами.</w:t>
      </w:r>
    </w:p>
    <w:p>
      <w:pPr>
        <w:pStyle w:val="Heading2"/>
      </w:pPr>
      <w:bookmarkStart w:name="_Toc12" w:id="12"/>
      <w:r>
        <w:t xml:space="preserve">3.3. Lowy Institute Asia Power Index</w:t>
      </w:r>
      <w:bookmarkEnd w:id="12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131 показатель в 8 мерах: экономическая и военная мощь, устойчивость, будущие ресурсы, экономические связи, оборонные сети, дипломатическое и культурное влияние. Охват — 27 стран Азии. Военная мера включает вооружённые силы, вооружения и платформы, «знаковые» возможности и военное присутствие в регионе.</w:t>
      </w:r>
    </w:p>
    <w:p>
      <w:pPr>
        <w:spacing w:after="120" w:line="288"/>
        <w:jc w:val="both"/>
      </w:pPr>
      <w:r>
        <w:rPr>
          <w:b/>
          <w:bCs/>
        </w:rPr>
        <w:t xml:space="preserve">Сильные стороны.</w:t>
      </w:r>
      <w:r>
        <w:t xml:space="preserve"> Прозрачная иерархия с весами подмер, публикация данных, сильный интерактивный интерфейс. Это лучший образец подачи среди аналогов.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(1) Смешение жёсткой и мягкой силы: культурное влияние в одном индексе с вооружёнными силами затрудняет военную интерпретацию. (2) Значительная доля экспертных опросов. (3) Региональный охват. (4) Нет динамики и сценариев. (5) Веса мер экспертные и не калибруются по исходам.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Иерархию «мера → подмера → показатель», понятие «знаковых возможностей» (гиперзвук, авианосцы, ПЛАРБ), подачу результата.</w:t>
      </w:r>
    </w:p>
    <w:p>
      <w:pPr>
        <w:pStyle w:val="Heading2"/>
      </w:pPr>
      <w:bookmarkStart w:name="_Toc13" w:id="13"/>
      <w:r>
        <w:t xml:space="preserve">3.4. BICC Global Militarization Index</w:t>
      </w:r>
      <w:bookmarkEnd w:id="13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Измеряет милитаризацию относительно общества: военные расходы к ВВП и к расходам на здравоохранение, военнослужащих к населению и к числу врачей, тяжёлое вооружение на душу. Показатели логарифмируются, нормируются по мин–макс, взвешиваются субъективными весами (5, 3, 4, 2, 2, 4) и приводятся к шкале 0–1000.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Индекс отвечает на вопрос «насколько государство мобилизовано», а не «насколько оно сильно». Высокое место Израиля, Украины или России отражает нагрузку войны на общество, а не мощь. Веса экспертные.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Технику нормировки (логарифм → мин–макс) и относительные показатели нагрузки (E03, P04) — как индикаторы устойчивости, а не мощи.</w:t>
      </w:r>
    </w:p>
    <w:p>
      <w:pPr>
        <w:pStyle w:val="Heading2"/>
      </w:pPr>
      <w:bookmarkStart w:name="_Toc14" w:id="14"/>
      <w:r>
        <w:t xml:space="preserve">3.5. Heritage Index of U.S. Military Strength</w:t>
      </w:r>
      <w:bookmarkEnd w:id="14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Ежегодная оценка ВС США по трём измерениям — ёмкость, возможности, готовность — по пятиуровневой шкале от «очень слабо» до «очень сильно». Ёмкость сравнивается с нормативом. Например, в выпусках 2022–2023 годов армия получила оценку «слабо», так как составляла около 62% от необходимой численности.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Оценивается одна страна. Шкала качественная. Результат зависит от принятого норматива (стандарт «двух войн»), поэтому оценка нормативная («сколько должно быть»), а не сравнительная («кто сильнее»).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Триаду «ёмкость — возможности — готовность» как структуру подгрупп внутри боевых столпов.</w:t>
      </w:r>
    </w:p>
    <w:p>
      <w:pPr>
        <w:pStyle w:val="Heading2"/>
      </w:pPr>
      <w:bookmarkStart w:name="_Toc15" w:id="15"/>
      <w:r>
        <w:t xml:space="preserve">3.6. Material Military Power (Souva, 2023)</w:t>
      </w:r>
      <w:bookmarkEnd w:id="15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Страна-год с 1865 по 2019 год. Учитываются крупные морские, авиационные и сухопутные вооружения, а также ядерное оружие и баллистические ракеты. По оценке Modern War Institute, мера верно предсказывает исход около 80% из 36 войн каталога COW.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Малая выборка войн. Учёт платформ без исправности и боезапаса. Нет экономики восполнения и союзов. Это шаг в правильном направлении (вооружения важнее «стали»), но не полная модель.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Фокус на вооружениях и обязательную проверку на исходах войн.</w:t>
      </w:r>
    </w:p>
    <w:p>
      <w:pPr>
        <w:pStyle w:val="Heading2"/>
      </w:pPr>
      <w:bookmarkStart w:name="_Toc16" w:id="16"/>
      <w:r>
        <w:t xml:space="preserve">3.7. DOE score (Carroll, Kenkel, 2019)</w:t>
      </w:r>
      <w:bookmarkEnd w:id="16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Ансамбль методов машинного обучения, обученный на исходах межгосударственных споров (MID) по компонентам CINC. Он на порядок точнее простого отношения возможностей.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(1) «Чёрный ящик»: модель не объясняет, почему одна сторона сильнее. (2) Входы ограничены компонентами CINC. (3) Обучение на спорах низкой интенсивности, а не на войнах. (4) Смена технологической эпохи (дроны, высокоточное оружие) — сдвиг распределения, при котором обученная на прошлом модель теряет точность.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Калибровку весов по историческим исходам и контрольную ML-модель для проверки нашего индекса.</w:t>
      </w:r>
    </w:p>
    <w:p>
      <w:pPr>
        <w:pStyle w:val="Heading2"/>
      </w:pPr>
      <w:bookmarkStart w:name="_Toc17" w:id="17"/>
      <w:r>
        <w:t xml:space="preserve">3.8. «Чистые ресурсы» (Beckley, 2018)</w:t>
      </w:r>
      <w:bookmarkEnd w:id="17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Мощь измеряется за вычетом затрат на содержание населения. Грубый прокси — ВВП × ВВП на душу. Подход исправляет завышение бедных многолюдных стран.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Богатство — это потенциал, а не мобилизованная мощь. Россия в 2025 году тратила на оборону 7,5% ВВП и 20% госрасходов (SIPRI), а многие богатые страны — 1–2% ВВП. Прокси не учитывает волю и способность переводить экономику на военные рельсы.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Показатель E13 и поправку на «издержки содержания» в столпе «Экономика».</w:t>
      </w:r>
    </w:p>
    <w:p>
      <w:pPr>
        <w:pStyle w:val="Heading2"/>
      </w:pPr>
      <w:bookmarkStart w:name="_Toc18" w:id="18"/>
      <w:r>
        <w:t xml:space="preserve">3.9. Credit Suisse (2015)</w:t>
      </w:r>
      <w:bookmarkEnd w:id="18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Взвешенная сумма шести категорий: личный состав, танки, ударные вертолёты, самолёты, авианосцы и подводные лодки. Веса растут к морской компоненте.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Произвольные веса, нет качества и готовности, всего шесть показателей. Результат крайне чувствителен к весу авианосцев.</w:t>
      </w:r>
    </w:p>
    <w:p>
      <w:pPr>
        <w:pStyle w:val="Heading2"/>
      </w:pPr>
      <w:bookmarkStart w:name="_Toc19" w:id="19"/>
      <w:r>
        <w:t xml:space="preserve">3.10. QJM и TNDM (Т. Дюпюи)</w:t>
      </w:r>
      <w:bookmarkEnd w:id="19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Боевая мощь P = S × V × CEV. Здесь S — сила по индексам смертоносности вооружений (OLI), V — ситуационные факторы (местность, погода, позиция, господство в воздухе), CEV — коэффициент боевой эффективности войск. Модель калибровалась на сражениях Второй мировой и арабо-израильских войн.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Тактический уровень, частично закрытая методика, трудоёмкость. CEV исторически выводился по итогам, что создаёт риск подгонки. Калибровка XX века не учитывает дроны и высокоточное оружие.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Явные ситуационные множители (коэффициент обороны d, местность) и коэффициент эффективности как часть роли «качество».</w:t>
      </w:r>
    </w:p>
    <w:p>
      <w:pPr>
        <w:pStyle w:val="Heading2"/>
      </w:pPr>
      <w:bookmarkStart w:name="_Toc20" w:id="20"/>
      <w:r>
        <w:t xml:space="preserve">3.11. WEI/WUV и метод «потенциал–антипотенциал»</w:t>
      </w:r>
      <w:bookmarkEnd w:id="20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Американские методы получения единой шкалы разнородных вооружений. WEI/WUV — линейная сумма образцов с экспертными весами. В методе «потенциал–антипотенциал» (TACWAR) веса находятся как собственный вектор матрицы интенсивностей поражения по теореме Перрона–Фробениуса.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Линейность не учитывает синергию и конкуренцию элементов группировки. Экспертные коэффициенты субъективны. Собственный вектор зависит от принятого распределения огня. Оценки нельзя смешивать с зависимостями потерь, выведенными по другой шкале.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Эталонные коэффициенты образцов (справочник ВВТ) и расчёт весов через собственный вектор. Синергию добавляем нелинейной свёрткой CES.</w:t>
      </w:r>
    </w:p>
    <w:p>
      <w:pPr>
        <w:pStyle w:val="Heading2"/>
      </w:pPr>
      <w:bookmarkStart w:name="_Toc21" w:id="21"/>
      <w:r>
        <w:t xml:space="preserve">3.12. Отечественный метод боевых потенциалов</w:t>
      </w:r>
      <w:bookmarkEnd w:id="21"/>
    </w:p>
    <w:p>
      <w:pPr>
        <w:spacing w:after="120" w:line="288"/>
        <w:jc w:val="both"/>
      </w:pPr>
      <w:r>
        <w:rPr>
          <w:b/>
          <w:bCs/>
        </w:rPr>
        <w:t xml:space="preserve">Суть.</w:t>
      </w:r>
      <w:r>
        <w:t xml:space="preserve"> Разнородные средства приводятся к эталону через коэффициенты соизмеримости. Соотношение сил считается по сумме боевых потенциалов соединений, а потенциалы эшелонов выводятся из модели дуэльного боя Осипова–Ланчестера и методов линейного программирования.</w:t>
      </w:r>
    </w:p>
    <w:p>
      <w:pPr>
        <w:spacing w:after="120" w:line="288"/>
        <w:jc w:val="both"/>
      </w:pPr>
      <w:r>
        <w:rPr>
          <w:b/>
          <w:bCs/>
        </w:rPr>
        <w:t xml:space="preserve">Критика.</w:t>
      </w:r>
      <w:r>
        <w:t xml:space="preserve"> Коэффициенты закрыты и быстро устаревают со сменой поколений ВВТ, что особенно заметно в эпоху массовых дронов. Метод относится к тактико-оперативному уровню и не учитывает экономику и устойчивость государства. Потенциалы суммируются линейно.</w:t>
      </w:r>
    </w:p>
    <w:p>
      <w:pPr>
        <w:spacing w:after="120" w:line="288"/>
        <w:jc w:val="both"/>
      </w:pPr>
      <w:r>
        <w:rPr>
          <w:b/>
          <w:bCs/>
        </w:rPr>
        <w:t xml:space="preserve">Что заимствуем.</w:t>
      </w:r>
      <w:r>
        <w:t xml:space="preserve"> Эталонные боевые единицы (ЕБП) и коэффициенты соизмеримости. Мы дополняем их ежегодным пересмотром справочника и нелинейной свёрткой.</w:t>
      </w:r>
    </w:p>
    <w:p>
      <w:pPr>
        <w:pStyle w:val="Heading2"/>
      </w:pPr>
      <w:bookmarkStart w:name="_Toc22" w:id="22"/>
      <w:r>
        <w:t xml:space="preserve">3.13. Сама модель Ланчестера как индекс</w:t>
      </w:r>
      <w:bookmarkEnd w:id="22"/>
    </w:p>
    <w:p>
      <w:pPr>
        <w:spacing w:after="120" w:line="288"/>
        <w:jc w:val="both"/>
      </w:pPr>
      <w:r>
        <w:t xml:space="preserve">Использовать уравнения Ланчестера напрямую как рейтинг тоже ошибочно. Модель детерминирована, однородна, не знает пространства, логистики, экономики и союзов, а её законы плохо подтверждаются историей (раздел 2.4). Поэтому в программе Ланчестер — это </w:t>
      </w:r>
      <w:r>
        <w:rPr>
          <w:b/>
          <w:bCs/>
        </w:rPr>
        <w:t xml:space="preserve">форма</w:t>
      </w:r>
      <w:r>
        <w:t xml:space="preserve"> (правило весов, связь качества и численности) и </w:t>
      </w:r>
      <w:r>
        <w:rPr>
          <w:b/>
          <w:bCs/>
        </w:rPr>
        <w:t xml:space="preserve">сценарный движок</w:t>
      </w:r>
      <w:r>
        <w:t xml:space="preserve">, но не единственная мера мощи.</w:t>
      </w:r>
    </w:p>
    <w:p>
      <w:pPr>
        <w:pStyle w:val="Heading2"/>
      </w:pPr>
      <w:bookmarkStart w:name="_Toc23" w:id="23"/>
      <w:r>
        <w:t xml:space="preserve">3.14. Сводная оценка подходов</w:t>
      </w:r>
      <w:bookmarkEnd w:id="23"/>
    </w:p>
    <w:p>
      <w:pPr>
        <w:spacing w:after="120" w:line="288"/>
        <w:jc w:val="both"/>
      </w:pPr>
      <w:r>
        <w:t xml:space="preserve">Обозначения: «+» — учтено, «±» — частично, «−» — не учтено.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811"/>
        <w:gridCol w:w="811"/>
        <w:gridCol w:w="811"/>
        <w:gridCol w:w="811"/>
        <w:gridCol w:w="608"/>
        <w:gridCol w:w="811"/>
        <w:gridCol w:w="710"/>
        <w:gridCol w:w="811"/>
        <w:gridCol w:w="811"/>
        <w:gridCol w:w="817"/>
      </w:tblGrid>
      <w:tr>
        <w:trPr>
          <w:tblHeader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Модель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Прозр.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Качество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Готовн.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Синергия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ЯО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Геогр.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Время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Союзы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Неопр.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Валид.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GFP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CINC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Lowy API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BICC GMI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Heritage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Souva MMP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DOE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Beckley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QJM/TNDM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WEI/WUV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Боевые потенциалы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±</w:t>
            </w:r>
          </w:p>
        </w:tc>
      </w:tr>
      <w:tr>
        <w:trPr>
          <w:cantSplit/>
        </w:trPr>
        <w:tc>
          <w:tcPr>
            <w:tcW w:type="dxa" w:w="18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ИВМ-ЛО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6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7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  <w:tc>
          <w:tcPr>
            <w:tcW w:type="dxa" w:w="8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4" w:id="24"/>
      <w:r>
        <w:t xml:space="preserve">4. Уроки войн 2022–2026 годов для методики</w:t>
      </w:r>
      <w:bookmarkEnd w:id="24"/>
    </w:p>
    <w:p>
      <w:pPr>
        <w:spacing w:after="120" w:line="288"/>
        <w:jc w:val="both"/>
      </w:pPr>
      <w:r>
        <w:t xml:space="preserve">Последние войны дали редкий массив данных для проверки методик. Каждый урок ниже напрямую превращён в элемент программы.</w:t>
      </w:r>
    </w:p>
    <w:p>
      <w:pPr>
        <w:pStyle w:val="Heading2"/>
      </w:pPr>
      <w:bookmarkStart w:name="_Toc25" w:id="25"/>
      <w:r>
        <w:t xml:space="preserve">4.1. Россия — Украина: господство обороны и экономика дронов</w:t>
      </w:r>
      <w:bookmarkEnd w:id="25"/>
    </w:p>
    <w:p>
      <w:pPr>
        <w:spacing w:after="120" w:line="288"/>
        <w:jc w:val="both"/>
      </w:pPr>
      <w:r>
        <w:t xml:space="preserve">К октябрю 2026 года война идёт пятый год. По оценкам открытых источников, линия фронта годами сдвигается медленно, а стороны ведут интенсивную войну дальними ударами по инфраструктуре. 11 октября 2026 года было объявлено «энергетическое перемирие», но удары продолжались.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Уровень d вырос.</w:t>
      </w:r>
      <w:r>
        <w:t xml:space="preserve"> Насыщение поля боя разведывательными и ударными дронами сделало любое сосредоточение заметным и уязвимым. По формуле раздела 2.3 рост d при α ≈ 1,2–1,5 поднимает требуемое для наступления соотношение до 2–3 : 1. Такое соотношение на широком фронте недостижимо, и модель предсказывает позиционную войну на истощение, что и наблюдается.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Производство важнее запасов.</w:t>
      </w:r>
      <w:r>
        <w:t xml:space="preserve"> Украина в 2025 году произвела, по сообщениям, более 4 млн дронов и планирует 7–10 млн в 2026 году. Россия наращивает выпуск снарядов, планирующих бомб и ударных дронов. Поэтому в каталог включены показатели выпуска в год (G22, I06–I10) и роль «устойчивость».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Людские ресурсы — ограничение.</w:t>
      </w:r>
      <w:r>
        <w:t xml:space="preserve"> Россия в 2026 году, по оценкам, вербует около 30 тыс. человек в месяц с тенденцией к снижению. Украина испытывает трудности мобилизации. Поэтому в модель введены резерв R и темп восполнения r(t).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Внешняя поддержка — отдельный канал.</w:t>
      </w:r>
      <w:r>
        <w:t xml:space="preserve"> Помощь союзников (ЕС, коалиция желающих, закупки) влияет прежде всего на устойчивость, а не на численность. Поэтому в коалиционном модуле различаются типы вклада.</w:t>
      </w:r>
    </w:p>
    <w:p>
      <w:pPr>
        <w:pStyle w:val="Heading2"/>
      </w:pPr>
      <w:bookmarkStart w:name="_Toc26" w:id="26"/>
      <w:r>
        <w:t xml:space="preserve">4.2. Израиль — Иран (2025–2026): качество и «слабое звено»</w:t>
      </w:r>
      <w:bookmarkEnd w:id="26"/>
    </w:p>
    <w:p>
      <w:pPr>
        <w:spacing w:after="120" w:line="288"/>
        <w:jc w:val="both"/>
      </w:pPr>
      <w:r>
        <w:t xml:space="preserve">В июне 2025 года и в кампании США и Израиля с 28 февраля 2026 года (перемирие 8 апреля, возобновление боёв с 8 июля, морская блокада США) израильская и американская авиация быстро подавила иранскую ПВО. Был убит верховный лидер Ирана Али Хаменеи; его преемником назначен Моджтаба Хаменеи.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Слабое звено решает.</w:t>
      </w:r>
      <w:r>
        <w:t xml:space="preserve"> У Ирана большие сухопутные силы и мощный ракетный арсенал, но слабые ВВС и ПВО открыли страну для ударов по всей глубине. Линейная сумма столпов «закрыла» бы эту слабость силой других компонентов. Свёртка CES с ρ &lt; 1 этого не допускает (У4).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Живучесть — часть качества.</w:t>
      </w:r>
      <w:r>
        <w:t xml:space="preserve"> По данным американской разведки (май 2026 года, оценка оспаривается), Иран сохранил около 70% довоенного ракетного запаса и пусковых установок благодаря подземной инфраструктуре. Поэтому в роль «качество» включены защищённость и укрытия, а в модель боя — живучесть.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Асимметричный морской отказ.</w:t>
      </w:r>
      <w:r>
        <w:t xml:space="preserve"> Угроза в Ормузском проливе (мины, катера, противокорабельные ракеты) влияет на мировую экономику непропорционально размеру ВМС Ирана. Это учитывается показателями D09 и N09 и залповой моделью.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Множители важнее массы.</w:t>
      </w:r>
      <w:r>
        <w:t xml:space="preserve"> Решающими были разведка, РЭБ, ДРЛО, заправщики и высокоточные средства. Это роли M и P.</w:t>
      </w:r>
    </w:p>
    <w:p>
      <w:pPr>
        <w:pStyle w:val="Heading2"/>
      </w:pPr>
      <w:bookmarkStart w:name="_Toc27" w:id="27"/>
      <w:r>
        <w:t xml:space="preserve">4.3. Операция США в Венесуэле (январь 2026): проекция и C4ISR</w:t>
      </w:r>
      <w:bookmarkEnd w:id="27"/>
    </w:p>
    <w:p>
      <w:pPr>
        <w:spacing w:after="120" w:line="288"/>
        <w:jc w:val="both"/>
      </w:pPr>
      <w:r>
        <w:t xml:space="preserve">3 января 2026 года США провели операцию «Absolute Resolve» с ударами по ПВО и захватом Николаса Мадуро. При огромном разрыве в проекции силы, разведке и управлении исход оказался мгновенным. Отсюда вывод: при большом отношении сил и наличии множителей важны не численность ВС жертвы, а радиус проекции λ и роль M нападающего.</w:t>
      </w:r>
    </w:p>
    <w:p>
      <w:pPr>
        <w:pStyle w:val="Heading2"/>
      </w:pPr>
      <w:bookmarkStart w:name="_Toc28" w:id="28"/>
      <w:r>
        <w:t xml:space="preserve">4.4. Хуситы и Красное море (2023–2025): экономика обмена</w:t>
      </w:r>
      <w:bookmarkEnd w:id="28"/>
    </w:p>
    <w:p>
      <w:pPr>
        <w:spacing w:after="120" w:line="288"/>
        <w:jc w:val="both"/>
      </w:pPr>
      <w:r>
        <w:t xml:space="preserve">Дешёвые дроны и ракеты против дорогих перехватчиков создали асимметрию стоимости: защитник тратит больше, чем нападающий. Поэтому в программе есть залповая модель Хьюза и показатель стоимостного обмена (стоимость перехвата к стоимости атаки).</w:t>
      </w:r>
    </w:p>
    <w:p>
      <w:pPr>
        <w:pStyle w:val="Heading2"/>
      </w:pPr>
      <w:bookmarkStart w:name="_Toc29" w:id="29"/>
      <w:r>
        <w:t xml:space="preserve">4.5. Индия — Пакистан (май 2025) и ядерный порог</w:t>
      </w:r>
      <w:bookmarkEnd w:id="29"/>
    </w:p>
    <w:p>
      <w:pPr>
        <w:spacing w:after="120" w:line="288"/>
        <w:jc w:val="both"/>
      </w:pPr>
      <w:r>
        <w:t xml:space="preserve">Короткий конфликт двух ядерных держав прошёл под ядерным порогом. Ядерное оружие ограничивает масштаб и цели войны, но не исключает конфликт: это «парадокс стабильности–нестабильности» (Snyder, 1965). Поэтому ось сдерживания в ИВМ ограничивает достижимые цели сценария, а не просто добавляет баллы (У5).</w:t>
      </w:r>
    </w:p>
    <w:p>
      <w:pPr>
        <w:pStyle w:val="Heading2"/>
      </w:pPr>
      <w:bookmarkStart w:name="_Toc30" w:id="30"/>
      <w:r>
        <w:t xml:space="preserve">4.6. Локальные войны 2025–2026 годов</w:t>
      </w:r>
      <w:bookmarkEnd w:id="30"/>
    </w:p>
    <w:p>
      <w:pPr>
        <w:spacing w:after="120" w:line="288"/>
        <w:jc w:val="both"/>
      </w:pPr>
      <w:r>
        <w:t xml:space="preserve">Пакистан и Афганистан с февраля 2026 года ведут открытый вооружённый конфликт, Таиланд и Камбоджа — пограничные бои в 2025 году. В обоих случаях локальное превосходство одной стороны ограничено политическими целями, местностью и внешним посредничеством. Методика учитывает это через коэффициент местности, порог слома и ограничения целей сценария.</w:t>
      </w:r>
    </w:p>
    <w:p>
      <w:pPr>
        <w:pStyle w:val="Heading1"/>
        <w:pageBreakBefore/>
      </w:pPr>
      <w:bookmarkStart w:name="_Toc31" w:id="31"/>
      <w:r>
        <w:t xml:space="preserve">5. Улучшения, заложенные в программу</w:t>
      </w:r>
      <w:bookmarkEnd w:id="31"/>
    </w:p>
    <w:p>
      <w:pPr>
        <w:spacing w:after="120" w:line="288"/>
        <w:jc w:val="both"/>
      </w:pPr>
      <w:r>
        <w:t xml:space="preserve">Каждое улучшение описано по схеме «проблема → решение → обоснование → формула».</w:t>
      </w:r>
    </w:p>
    <w:p>
      <w:pPr>
        <w:pStyle w:val="Heading2"/>
      </w:pPr>
      <w:bookmarkStart w:name="_Toc32" w:id="32"/>
      <w:r>
        <w:t xml:space="preserve">У1. Роли показателей</w:t>
      </w:r>
      <w:bookmarkEnd w:id="32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В аналогах все показатели одинаково «складываются», хотя численность, качество, множители и ресурсы действуют на исход по-разному.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Каждый из 253 показателей получил роль: N — численность (41), Q — качество (57), M — множитель (35), S — устойчивость (81), P — проекция (13), G — сдерживание (11), C — контекст (15).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В уравнениях боя численность стоит в степени α, качество и множители — в коэффициенте эффективности, устойчивость — в члене подкреплений, проекция — в затухании с расстоянием. Роль определяет, в какое место формулы попадает показатель, и тем самым устраняет смешение разнородных величин.</w:t>
      </w:r>
    </w:p>
    <w:p>
      <w:pPr>
        <w:pStyle w:val="Heading2"/>
      </w:pPr>
      <w:bookmarkStart w:name="_Toc33" w:id="33"/>
      <w:r>
        <w:t xml:space="preserve">У2. Закон Ланчестера внутри столпов</w:t>
      </w:r>
      <w:bookmarkEnd w:id="33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Взвешенное среднее не отражает того, что численность и качество взаимодействуют мультипликативно.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В боевых столпах (сухопутные войска, ВВС и ПВО, ВМС) вес группы «численность» умножается на α: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P_d = (α·Σw·x̃[N] + Σw·x̃[Q,M] + Σw·x̃[прочие]) / (α·Σw[N] + Σw[Q,M] + Σw[прочие])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Счётные величины нормируются в логарифмической шкале. Тогда ln F = ln Q + α·ln N переходит в линейную комбинацию нормированных логарифмов с коэффициентом α при численности. При α = 1 формула сводится к обычному среднему, а при α = 2 численность весит вдвое больше, как того требует квадратичный закон.</w:t>
      </w:r>
    </w:p>
    <w:p>
      <w:pPr>
        <w:pStyle w:val="Heading2"/>
      </w:pPr>
      <w:bookmarkStart w:name="_Toc34" w:id="34"/>
      <w:r>
        <w:t xml:space="preserve">У3. Эталонные боевые единицы (ЕБП)</w:t>
      </w:r>
      <w:bookmarkEnd w:id="34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«Танк есть танк» — в аналогах нет поправки на поколение и исправность.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N</w:t>
      </w:r>
      <w:r>
        <w:rPr>
          <w:i/>
          <w:iCs/>
        </w:rPr>
        <w:t xml:space="preserve">эфф = Σₖ nₖ·qₖ·rₖ, где q — коэффициент качества относительно эталона (= 1,0), r — доля исправных. Коэффициенты q задаются экспертно по методу анализа иерархий (AHP) по группам ТТХ и уточняются методом «потенциал–антипотенциал»: v = (1/λ</w:t>
      </w:r>
      <w:r>
        <w:t xml:space="preserve">max)·K·v.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Совмещение отечественной практики эталонирования и американского метода собственного вектора даёт и экспертную осмысленность, и внутреннюю согласованность (вес образца отражает, кого и с какой интенсивностью он поражает).</w:t>
      </w:r>
    </w:p>
    <w:p>
      <w:pPr>
        <w:pStyle w:val="Heading2"/>
      </w:pPr>
      <w:bookmarkStart w:name="_Toc35" w:id="35"/>
      <w:r>
        <w:t xml:space="preserve">У4. Нелинейная свёртка CES и «слабое звено»</w:t>
      </w:r>
      <w:bookmarkEnd w:id="35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При линейной сумме дефицит ПВО компенсируется избытком танков. Иран 2026 года показал, что такая компенсация в реальности не работает.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ИВМ = ( Σₚ ωₚ · Pₚ^ρ )^(1/ρ)        ρ = 1 — сумма;  ρ → 0 — геометрическое среднее;  ρ &lt; 0 — «слабое звено»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Функция CES — стандарт экономики для описания взаимодополняемых факторов производства. Роды войск — именно такие факторы: без ПВО гибнет авиация на аэродромах, без авиации и ПВО — сухопутные силы. По умолчанию ρ = 0,5 (частичная взаимозаменяемость), при калибровке — 0,3–0,7. Чувствительность к ρ показывается в интерфейсе.</w:t>
      </w:r>
    </w:p>
    <w:p>
      <w:pPr>
        <w:pStyle w:val="Heading2"/>
      </w:pPr>
      <w:bookmarkStart w:name="_Toc36" w:id="36"/>
      <w:r>
        <w:t xml:space="preserve">У5. Ядерная ось и три режима</w:t>
      </w:r>
      <w:bookmarkEnd w:id="36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Аналоги либо суммируют боезаряды с танками (бессмысленная компенсация), либо исключают ЯО (ошибка спецификации).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Отдельная ось сдерживания: класс 0–4 (нет ЯО / пороговый / ограниченный / два компонента / триада с гарантированным ответным ударом) и балл столпа STR. Пользователь выбирает режим интеграции: «отдельная ось» (по умолчанию), «как столп» или «множитель» (1 + κ·P_STR)/(1 + κ).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Предельная ценность тысячного боезаряда для сдерживания близка к нулю, а наличие гарантированного ответного удара меняет допустимые цели противника. Поэтому сдерживание задаёт </w:t>
      </w:r>
      <w:r>
        <w:rPr>
          <w:b/>
          <w:bCs/>
        </w:rPr>
        <w:t xml:space="preserve">ограничения сценария</w:t>
      </w:r>
      <w:r>
        <w:t xml:space="preserve"> (нельзя ставить цель уничтожения государства с триадой), а не баллы.</w:t>
      </w:r>
    </w:p>
    <w:p>
      <w:pPr>
        <w:pStyle w:val="Heading2"/>
      </w:pPr>
      <w:bookmarkStart w:name="_Toc37" w:id="37"/>
      <w:r>
        <w:t xml:space="preserve">У6. Проекция силы</w:t>
      </w:r>
      <w:bookmarkEnd w:id="37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В рейтингах страна на другом континенте «угрожает» так же, как сосед.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ИВМ(D) = ИВМ·e^(−D/λ), где λ = λ₀ + λ₁·P̄[роль P]. Расстояние D отсчитывается от ближайших крупных баз, включая передовые.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Это градиент потери силы Боулдинга (1962). Заправщики, военно-транспортная авиация, авианосцы и зарубежные базы увеличивают λ, то есть расстояние, на котором сила теряет 63% эффективности.</w:t>
      </w:r>
    </w:p>
    <w:p>
      <w:pPr>
        <w:pStyle w:val="Heading2"/>
      </w:pPr>
      <w:bookmarkStart w:name="_Toc38" w:id="38"/>
      <w:r>
        <w:t xml:space="preserve">У7. Время и устойчивость</w:t>
      </w:r>
      <w:bookmarkEnd w:id="38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Статичный индекс не показывает, кто выдержит долгую войну.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Показатели роли S дают резерв R, темп восполнения r(t) и задержку мобилизации. Пресет «Затяжная война» повышает веса экономики, ОПК и тыла. Горизонт сценария выбирается от 30 до 720 суток.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Война 2022–2026 годов — война производства: выпуск снарядов, дронов, ракет и перехватчиков в месяц оказался важнее довоенных запасов.</w:t>
      </w:r>
    </w:p>
    <w:p>
      <w:pPr>
        <w:pStyle w:val="Heading2"/>
      </w:pPr>
      <w:bookmarkStart w:name="_Toc39" w:id="39"/>
      <w:r>
        <w:t xml:space="preserve">У8. Союзы как явные коалиции</w:t>
      </w:r>
      <w:bookmarkEnd w:id="39"/>
    </w:p>
    <w:p>
      <w:pPr>
        <w:spacing w:after="120" w:line="288"/>
        <w:jc w:val="both"/>
      </w:pPr>
      <w:r>
        <w:rPr>
          <w:b/>
          <w:bCs/>
        </w:rPr>
        <w:t xml:space="preserve">Проблема.</w:t>
      </w:r>
      <w:r>
        <w:t xml:space="preserve"> В аналогах союзы либо отсутствуют, либо дают «баллы за членство» независимо от того, вступит ли союзник в войну.</w:t>
      </w:r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Коалиционный модуль: F</w:t>
      </w:r>
      <w:r>
        <w:rPr>
          <w:i/>
          <w:iCs/>
        </w:rPr>
        <w:t xml:space="preserve">коал = F</w:t>
      </w:r>
      <w:r>
        <w:t xml:space="preserve">свои + Σⱼ ρⱼ·sⱼ·F_j·e^(−Dⱼ/λⱼ)·g(t − τⱼ). Здесь ρ — надёжность (вероятность вступления), s — доля сил, выделяемых на театр, τ — задержка вступления, g — функция включения. Типы вклада различаются: силы, снабжение, разведка, территория, финансы. В коалиционном сценарии столп «Союзы» исключается, чтобы не учитывать союзников дважды.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Надёжность союзников проверена войнами 2022–2026 годов: КНДР направила войска в Россию, тогда как Россия не вмешалась в войну Израиля и США с Ираном, несмотря на договор о стратегическом партнёрстве 2025 года. Подробно — в документе 3.</w:t>
      </w:r>
    </w:p>
    <w:p>
      <w:pPr>
        <w:pStyle w:val="Heading2"/>
      </w:pPr>
      <w:bookmarkStart w:name="_Toc40" w:id="40"/>
      <w:r>
        <w:t xml:space="preserve">У9. Неопределённость</w:t>
      </w:r>
      <w:bookmarkEnd w:id="40"/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Каждое значение получает адмиралтейский код (надёжность источника A–F × достоверность 1–6), который переводится в σ. Пропуски восстанавливаются с флагом и увеличенной σ. Метод Монте-Карло варьирует значения, веса (±15%), α и ρ и выдаёт интервал ИВМ (5–95%) и диапазон мест.</w:t>
      </w:r>
    </w:p>
    <w:p>
      <w:pPr>
        <w:spacing w:after="120" w:line="288"/>
        <w:jc w:val="both"/>
      </w:pPr>
      <w:r>
        <w:rPr>
          <w:b/>
          <w:bCs/>
        </w:rPr>
        <w:t xml:space="preserve">Обоснование.</w:t>
      </w:r>
      <w:r>
        <w:t xml:space="preserve"> Публикация точного ранга при погрешности, сравнимой с разрывом между странами, вводит в заблуждение. В оценке восьми стран (документ 2) места со 2-го по 6-е статистически неразличимы, и честная методика обязана это показывать.</w:t>
      </w:r>
    </w:p>
    <w:p>
      <w:pPr>
        <w:pStyle w:val="Heading2"/>
      </w:pPr>
      <w:bookmarkStart w:name="_Toc41" w:id="41"/>
      <w:r>
        <w:t xml:space="preserve">У10. Калибровка весов</w:t>
      </w:r>
      <w:bookmarkEnd w:id="41"/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Три источника весов: экспертный (AHP с проверкой согласованности CR &lt; 0,1 и Дельфи), статистический (энтропийный метод, PCA для выявления дублей) и калибровочный (подбор ω, α, ρ по исходам войн и споров COW, MID и Souva с минимизацией оценки Брайера). Итоговые веса — их компромисс. Чувствительность проверяется индексами Соболя.</w:t>
      </w:r>
    </w:p>
    <w:p>
      <w:pPr>
        <w:pStyle w:val="Heading2"/>
      </w:pPr>
      <w:bookmarkStart w:name="_Toc42" w:id="42"/>
      <w:r>
        <w:t xml:space="preserve">У11. Сценарный движок</w:t>
      </w:r>
      <w:bookmarkEnd w:id="42"/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Обобщённая модель Ланчестера–Хельмболда с подкреплениями — основная. Дополнительно: гетерогенная модель по доменам «суша–воздух–море», залповая модель для ракетных и морских ударов, стохастика (Монте-Карло по входам и шум потерь), коалиции. Выход — вероятности трёх исходов (успех наступления, затяжные бои, успех обороны), время до слома, потери, требуемое и фактическое соотношение сил, чувствительность к α.</w:t>
      </w:r>
    </w:p>
    <w:p>
      <w:pPr>
        <w:pStyle w:val="Heading2"/>
      </w:pPr>
      <w:bookmarkStart w:name="_Toc43" w:id="43"/>
      <w:r>
        <w:t xml:space="preserve">У12. Прозрачность и воспроизводимость</w:t>
      </w:r>
      <w:bookmarkEnd w:id="43"/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Открытый каталог показателей, формулы в интерфейсе с подставленными числами, хранение версии методики и хэша снимка данных для каждого расчёта, журнал изменений экспертных оценок с обоснованием.</w:t>
      </w:r>
    </w:p>
    <w:p>
      <w:pPr>
        <w:pStyle w:val="Heading2"/>
      </w:pPr>
      <w:bookmarkStart w:name="_Toc44" w:id="44"/>
      <w:r>
        <w:t xml:space="preserve">У13. Показатели эпохи дронов</w:t>
      </w:r>
      <w:bookmarkEnd w:id="44"/>
    </w:p>
    <w:p>
      <w:pPr>
        <w:spacing w:after="120" w:line="288"/>
        <w:jc w:val="both"/>
      </w:pPr>
      <w:r>
        <w:rPr>
          <w:b/>
          <w:bCs/>
        </w:rPr>
        <w:t xml:space="preserve">Решение.</w:t>
      </w:r>
      <w:r>
        <w:t xml:space="preserve"> В каталог добавлены показатели, которых нет у аналогов: выпуск FPV-дронов и барражирующих боеприпасов в год (G22), дальних ударных дронов (A13), средства противодействия БПЛА (G18), безэкипажные катера (N17), выпуск БПЛА (I10), а также показатели стоимостного обмена в сценарном модуле.</w:t>
      </w:r>
    </w:p>
    <w:p>
      <w:pPr>
        <w:pStyle w:val="Heading1"/>
        <w:pageBreakBefore/>
      </w:pPr>
      <w:bookmarkStart w:name="_Toc45" w:id="45"/>
      <w:r>
        <w:t xml:space="preserve">6. Сводка формул</w:t>
      </w:r>
      <w:bookmarkEnd w:id="45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1. Преобразование:   x̃ = log(1+x) для счётных и денежных; доля; балл 0–10; инверсия для «↓»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2. Нормировка:       глобальная шкала с якорями эталонного года (основная) или мин–макс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3. ЕБП:              N_эфф = Σ nₖ·qₖ·rₖ;   q — AHP + потенциал–антипотенциал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4. Боевой столп:     P = (α·Σw·x̃[N] + Σw·x̃[Q,M] + Σw·x̃[O]) / (α·Σw[N] + Σw[Q,M] + Σw[O])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5. Свёртка:          ИВМ = (Σ ω·P^ρ)^(1/ρ),  ρ = 0,5 (0,3–0,7)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6. Сдерживание:      класс 0–4; режимы: ось | столп | множитель (1+0,3·P_STR)/1,3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7. Проекция:         ИВМ(D) = ИВМ·e^(−D/λ),  λ = λ₀ + λ₁·P̄[P]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8. Коалиция:         F = F_свои + Σ ρⱼ·sⱼ·Fⱼ·e^(−Dⱼ/λⱼ)·g(t−τⱼ)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9. Модель боя:       dA/dt = −a·A^(1−α/2)·B^(α/2) + r_A(t);  a = k·e_B,  b = k·e_A/d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10. Требуемое соотношение:  R = (e_B·d/e_A)^(1/α)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11. Неопределённость: Монте-Карло по x ~ N(x̃, σ²), ω·LogN(0; 0,15²), α ~ U[1,2; 1,8], ρ ~ U[0,3; 0,7]</w:t>
      </w:r>
    </w:p>
    <w:p>
      <w:pPr>
        <w:pStyle w:val="Heading1"/>
        <w:pageBreakBefore/>
      </w:pPr>
      <w:bookmarkStart w:name="_Toc46" w:id="46"/>
      <w:r>
        <w:t xml:space="preserve">7. Валидация</w:t>
      </w:r>
      <w:bookmarkEnd w:id="46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Ретроспектива на войнах.</w:t>
      </w:r>
      <w:r>
        <w:t xml:space="preserve"> Прогноз исходов межгосударственных войн и споров 1946–2024 годов по данным года начала конфликта; метрики AUC и оценка Брайера; сравнение с CINC, GFP, DOE и MMP. Цель — не хуже DOE и MMP.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Модель боя на сражениях.</w:t>
      </w:r>
      <w:r>
        <w:t xml:space="preserve"> Подгонка α и коэффициентов на исторических рядах (Иводзима, Арденны, Курск, базы сражений) с проверкой на отложенной выборке.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Проверка на войнах 2022–2026 годов.</w:t>
      </w:r>
      <w:r>
        <w:t xml:space="preserve"> Модель должна воспроизводить позиционный характер войны на Украине, быстрый исход операций с большим отношением сил (Венесуэла) и подавление ПВО при «слабом звене» (Иран).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Экспертная проверка.</w:t>
      </w:r>
      <w:r>
        <w:t xml:space="preserve"> Попарные сравнения стран экспертами → модель Брэдли–Терри → согласие с рейтингом (τ Кендалла ≥ 0,7).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Стабильность во времени.</w:t>
      </w:r>
      <w:r>
        <w:t xml:space="preserve"> Каждое изменение места за год должно объясняться конкретными показателями.</w:t>
      </w:r>
    </w:p>
    <w:p>
      <w:pPr>
        <w:pStyle w:val="Heading1"/>
        <w:pageBreakBefore/>
      </w:pPr>
      <w:bookmarkStart w:name="_Toc47" w:id="47"/>
      <w:r>
        <w:t xml:space="preserve">8. Ограничения и корректное использование</w:t>
      </w:r>
      <w:bookmarkEnd w:id="47"/>
    </w:p>
    <w:p>
      <w:pPr>
        <w:spacing w:after="120" w:line="288"/>
        <w:jc w:val="both"/>
      </w:pPr>
      <w:r>
        <w:t xml:space="preserve">ИВМ оценивает потенциал, а не намерения, решимость и исход конкретной войны. Политическая воля, стратегия, внезапность, качество руководства в кризис и внешняя помощь формализуются лишь частично. Результаты предназначены для аналитики, обучения и сравнения сценариев. Их нельзя использовать как единственное основание для решений, а выводы всегда сопровождаются интервалами, версией методики и датой среза данных.</w:t>
      </w:r>
    </w:p>
    <w:p>
      <w:pPr>
        <w:pStyle w:val="Heading1"/>
        <w:pageBreakBefore/>
      </w:pPr>
      <w:bookmarkStart w:name="_Toc48" w:id="48"/>
      <w:r>
        <w:t xml:space="preserve">Источники</w:t>
      </w:r>
      <w:bookmarkEnd w:id="48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Lanchester's laws — обзор и библиография: en.wikipedia.org/wiki/Lanchester's_laws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Lucas T., Turkes T. (2004). Fitting Lanchester equations to the battles of Kursk and Ardennes. Naval Research Logistics. doi.org/10.1002/nav.10101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Fitting Lanchester and Other Equations to the Battle of Kursk (DTIC ADA378391)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Fricker R. Attrition Models of the Ardennes Campaign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Historical support for a mixed law Lanchestrian attrition model: Helmbold's ratio (OSTI 5087936)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An empirical test of Lanchester's square law: fire ant battles (PMC1559866)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Метод «потенциал–антипотенциал» и оценки вооружений (DTIC ADA295844)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Dupuy Institute. Scoring Weapons and Aggregation in Trevor Dupuy's Combat Models (2018)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Ben-Haim Y. WEI-WUV и info-gap (Technion)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Мицкевич. Методические материалы: модель Осипова–Ланчестера (БГУИР); Шлейко. Метод оценки эффективности огневого поражения (Вестник КазНУ); БРЭ «Боевые возможности»; Юсупов, Иванов (2023), «Информатика и автоматизация»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Global Firepower 2026 (описания методики во вторичных источниках); Vox Ukraine: критика методики GFP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Lowy Institute Asia Power Index 2025 — Key Findings; BICC Global Militarization Index 2025; Heritage Foundation 2026 Index of U.S. Military Strength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Souva M. (2023). Material Military Power. Journal of Peace Research 60(6); MWI: In Defense of Bean Counting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Carroll R., Kenkel B. (2019). Prediction, Proxies, and Power. American Journal of Political Science 63(3)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Beckley M. (2018). The Power of Nations: Measuring What Matters. International Security 43(2)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SIPRI Fact Sheet «Trends in World Military Expenditure, 2025» (апрель 2026); SIPRI Yearbook 2026, гл. 8 «World nuclear forces»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Britannica «2026 Iran war»; CFR Global Conflict Tracker; ISW; Reuters/AP/Al Jazeera — хроника событий 2025–2026 гг.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Методика и критика моделей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ИВМ «Ланчестер–Осипов» · Методика и критика моделей</dc:title>
  <dc:creator>ИВМ «Ланчестер–Осипов»</dc:creator>
  <cp:lastModifiedBy>Un-named</cp:lastModifiedBy>
  <cp:revision>1</cp:revision>
  <dcterms:created xsi:type="dcterms:W3CDTF">2026-10-23T17:28:39.407Z</dcterms:created>
  <dcterms:modified xsi:type="dcterms:W3CDTF">2026-10-23T17:28:39.408Z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