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9F2F27"/>
          <w:spacing w:val="40"/>
          <w:sz w:val="22"/>
          <w:szCs w:val="22"/>
        </w:rPr>
        <w:t xml:space="preserve">MPI LANCHESTER–OSIPOV</w:t>
      </w:r>
    </w:p>
    <w:p>
      <w:pPr>
        <w:pBdr>
          <w:bottom w:val="single" w:color="9F2F27" w:sz="12" w:space="6"/>
        </w:pBdr>
        <w:spacing w:after="300" w:before="200"/>
      </w:pPr>
      <w:r>
        <w:rPr>
          <w:b/>
          <w:bCs/>
          <w:color w:val="1A1F1B"/>
          <w:sz w:val="52"/>
          <w:szCs w:val="52"/>
        </w:rPr>
        <w:t xml:space="preserve">Alliances and coalitions: ally selection module</w:t>
      </w:r>
    </w:p>
    <w:p>
      <w:pPr>
        <w:spacing w:after="400"/>
      </w:pPr>
      <w:r>
        <w:rPr>
          <w:color w:val="5F6761"/>
          <w:sz w:val="28"/>
          <w:szCs w:val="28"/>
        </w:rPr>
        <w:t xml:space="preserve">The programme's key function — assembling coalitions with allowance for reliability, force share, distance and entry delay</w:t>
      </w:r>
    </w:p>
    <w:p>
      <w:pPr>
        <w:spacing w:after="80"/>
      </w:pPr>
      <w:r>
        <w:rPr>
          <w:color w:val="1A1F1B"/>
          <w:sz w:val="22"/>
          <w:szCs w:val="22"/>
        </w:rPr>
        <w:t xml:space="preserve">Document 3 of 5 · Alliances and coalitions</w:t>
      </w:r>
    </w:p>
    <w:p>
      <w:pPr>
        <w:spacing w:before="1800"/>
      </w:pPr>
      <w:r>
        <w:rPr>
          <w:color w:val="5F6761"/>
          <w:sz w:val="20"/>
          <w:szCs w:val="20"/>
        </w:rPr>
        <w:t xml:space="preserve">Data cut-off: October 2026 · Open sources</w:t>
      </w:r>
    </w:p>
    <w:p>
      <w:r>
        <w:rPr>
          <w:color w:val="5F6761"/>
          <w:sz w:val="20"/>
          <w:szCs w:val="20"/>
        </w:rPr>
        <w:t xml:space="preserve">Military power assessment programme for states · project documentation</w:t>
      </w:r>
    </w:p>
    <w:p>
      <w:pPr>
        <w:pageBreakBefore/>
        <w:spacing w:after="200"/>
      </w:pPr>
      <w:r>
        <w:rPr>
          <w:b/>
          <w:bCs/>
          <w:color w:val="1A1F1B"/>
          <w:sz w:val="34"/>
          <w:szCs w:val="34"/>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67">
            <w:r>
              <w:t xml:space="preserve">Summary</w:t>
            </w:r>
            <w:r>
              <w:tab/>
            </w:r>
            <w:r>
              <w:fldChar w:fldCharType="begin" w:dirty="true"/>
              <w:instrText xml:space="preserve">PAGEREF _Toc67 \h</w:instrText>
              <w:fldChar w:fldCharType="separate"/>
              <w:fldChar w:fldCharType="end"/>
            </w:r>
          </w:hyperlink>
        </w:p>
        <w:p>
          <w:pPr>
            <w:pStyle w:val="TOC1"/>
            <w:tabs>
              <w:tab w:val="right" w:pos="9638" w:leader="dot"/>
            </w:tabs>
          </w:pPr>
          <w:hyperlink w:history="1" w:anchor="_Toc68">
            <w:r>
              <w:t xml:space="preserve">1. Coalition model</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1.1. Formula</w:t>
            </w:r>
            <w:r>
              <w:tab/>
            </w:r>
            <w:r>
              <w:fldChar w:fldCharType="begin" w:dirty="true"/>
              <w:instrText xml:space="preserve">PAGEREF _Toc69 \h</w:instrText>
              <w:fldChar w:fldCharType="separate"/>
              <w:fldChar w:fldCharType="end"/>
            </w:r>
          </w:hyperlink>
        </w:p>
        <w:p>
          <w:pPr>
            <w:pStyle w:val="TOC2"/>
            <w:tabs>
              <w:tab w:val="right" w:pos="9638" w:leader="dot"/>
            </w:tabs>
            <w:ind w:left="220"/>
          </w:pPr>
          <w:hyperlink w:history="1" w:anchor="_Toc70">
            <w:r>
              <w:t xml:space="preserve">1.2. Contribution types</w:t>
            </w:r>
            <w:r>
              <w:tab/>
            </w:r>
            <w:r>
              <w:fldChar w:fldCharType="begin" w:dirty="true"/>
              <w:instrText xml:space="preserve">PAGEREF _Toc70 \h</w:instrText>
              <w:fldChar w:fldCharType="separate"/>
              <w:fldChar w:fldCharType="end"/>
            </w:r>
          </w:hyperlink>
        </w:p>
        <w:p>
          <w:pPr>
            <w:pStyle w:val="TOC2"/>
            <w:tabs>
              <w:tab w:val="right" w:pos="9638" w:leader="dot"/>
            </w:tabs>
            <w:ind w:left="220"/>
          </w:pPr>
          <w:hyperlink w:history="1" w:anchor="_Toc71">
            <w:r>
              <w:t xml:space="preserve">1.3. How to avoid double counting</w:t>
            </w:r>
            <w:r>
              <w:tab/>
            </w:r>
            <w:r>
              <w:fldChar w:fldCharType="begin" w:dirty="true"/>
              <w:instrText xml:space="preserve">PAGEREF _Toc71 \h</w:instrText>
              <w:fldChar w:fldCharType="separate"/>
              <w:fldChar w:fldCharType="end"/>
            </w:r>
          </w:hyperlink>
        </w:p>
        <w:p>
          <w:pPr>
            <w:pStyle w:val="TOC1"/>
            <w:tabs>
              <w:tab w:val="right" w:pos="9638" w:leader="dot"/>
            </w:tabs>
          </w:pPr>
          <w:hyperlink w:history="1" w:anchor="_Toc72">
            <w:r>
              <w:t xml:space="preserve">2. Commitment classes and reliability</w:t>
            </w:r>
            <w:r>
              <w:tab/>
            </w:r>
            <w:r>
              <w:fldChar w:fldCharType="begin" w:dirty="true"/>
              <w:instrText xml:space="preserve">PAGEREF _Toc72 \h</w:instrText>
              <w:fldChar w:fldCharType="separate"/>
              <w:fldChar w:fldCharType="end"/>
            </w:r>
          </w:hyperlink>
        </w:p>
        <w:p>
          <w:pPr>
            <w:pStyle w:val="TOC1"/>
            <w:tabs>
              <w:tab w:val="right" w:pos="9638" w:leader="dot"/>
            </w:tabs>
          </w:pPr>
          <w:hyperlink w:history="1" w:anchor="_Toc73">
            <w:r>
              <w:t xml:space="preserve">3. Catalogue of alliances and coalitions</w:t>
            </w:r>
            <w:r>
              <w:tab/>
            </w:r>
            <w:r>
              <w:fldChar w:fldCharType="begin" w:dirty="true"/>
              <w:instrText xml:space="preserve">PAGEREF _Toc73 \h</w:instrText>
              <w:fldChar w:fldCharType="separate"/>
              <w:fldChar w:fldCharType="end"/>
            </w:r>
          </w:hyperlink>
        </w:p>
        <w:p>
          <w:pPr>
            <w:pStyle w:val="TOC1"/>
            <w:tabs>
              <w:tab w:val="right" w:pos="9638" w:leader="dot"/>
            </w:tabs>
          </w:pPr>
          <w:hyperlink w:history="1" w:anchor="_Toc74">
            <w:r>
              <w:t xml:space="preserve">4. Ready-made coalitions for the eight countries</w:t>
            </w:r>
            <w:r>
              <w:tab/>
            </w:r>
            <w:r>
              <w:fldChar w:fldCharType="begin" w:dirty="true"/>
              <w:instrText xml:space="preserve">PAGEREF _Toc74 \h</w:instrText>
              <w:fldChar w:fldCharType="separate"/>
              <w:fldChar w:fldCharType="end"/>
            </w:r>
          </w:hyperlink>
        </w:p>
        <w:p>
          <w:pPr>
            <w:pStyle w:val="TOC1"/>
            <w:tabs>
              <w:tab w:val="right" w:pos="9638" w:leader="dot"/>
            </w:tabs>
          </w:pPr>
          <w:hyperlink w:history="1" w:anchor="_Toc75">
            <w:r>
              <w:t xml:space="preserve">5. Worked examples</w:t>
            </w:r>
            <w:r>
              <w:tab/>
            </w:r>
            <w:r>
              <w:fldChar w:fldCharType="begin" w:dirty="true"/>
              <w:instrText xml:space="preserve">PAGEREF _Toc75 \h</w:instrText>
              <w:fldChar w:fldCharType="separate"/>
              <w:fldChar w:fldCharType="end"/>
            </w:r>
          </w:hyperlink>
        </w:p>
        <w:p>
          <w:pPr>
            <w:pStyle w:val="TOC2"/>
            <w:tabs>
              <w:tab w:val="right" w:pos="9638" w:leader="dot"/>
            </w:tabs>
            <w:ind w:left="220"/>
          </w:pPr>
          <w:hyperlink w:history="1" w:anchor="_Toc76">
            <w:r>
              <w:t xml:space="preserve">5.1. Israel and the United States against Iran (theatre — Iran)</w:t>
            </w:r>
            <w:r>
              <w:tab/>
            </w:r>
            <w:r>
              <w:fldChar w:fldCharType="begin" w:dirty="true"/>
              <w:instrText xml:space="preserve">PAGEREF _Toc76 \h</w:instrText>
              <w:fldChar w:fldCharType="separate"/>
              <w:fldChar w:fldCharType="end"/>
            </w:r>
          </w:hyperlink>
        </w:p>
        <w:p>
          <w:pPr>
            <w:pStyle w:val="TOC2"/>
            <w:tabs>
              <w:tab w:val="right" w:pos="9638" w:leader="dot"/>
            </w:tabs>
            <w:ind w:left="220"/>
          </w:pPr>
          <w:hyperlink w:history="1" w:anchor="_Toc77">
            <w:r>
              <w:t xml:space="preserve">5.2. Russia against Ukraine (theatre — Ukraine)</w:t>
            </w:r>
            <w:r>
              <w:tab/>
            </w:r>
            <w:r>
              <w:fldChar w:fldCharType="begin" w:dirty="true"/>
              <w:instrText xml:space="preserve">PAGEREF _Toc77 \h</w:instrText>
              <w:fldChar w:fldCharType="separate"/>
              <w:fldChar w:fldCharType="end"/>
            </w:r>
          </w:hyperlink>
        </w:p>
        <w:p>
          <w:pPr>
            <w:pStyle w:val="TOC2"/>
            <w:tabs>
              <w:tab w:val="right" w:pos="9638" w:leader="dot"/>
            </w:tabs>
            <w:ind w:left="220"/>
          </w:pPr>
          <w:hyperlink w:history="1" w:anchor="_Toc78">
            <w:r>
              <w:t xml:space="preserve">5.3. Russia and Belarus against European NATO members (theatre — the Baltics)</w:t>
            </w:r>
            <w:r>
              <w:tab/>
            </w:r>
            <w:r>
              <w:fldChar w:fldCharType="begin" w:dirty="true"/>
              <w:instrText xml:space="preserve">PAGEREF _Toc78 \h</w:instrText>
              <w:fldChar w:fldCharType="separate"/>
              <w:fldChar w:fldCharType="end"/>
            </w:r>
          </w:hyperlink>
        </w:p>
        <w:p>
          <w:pPr>
            <w:pStyle w:val="TOC1"/>
            <w:tabs>
              <w:tab w:val="right" w:pos="9638" w:leader="dot"/>
            </w:tabs>
          </w:pPr>
          <w:hyperlink w:history="1" w:anchor="_Toc79">
            <w:r>
              <w:t xml:space="preserve">6. Function in the programme interface</w:t>
            </w:r>
            <w:r>
              <w:tab/>
            </w:r>
            <w:r>
              <w:fldChar w:fldCharType="begin" w:dirty="true"/>
              <w:instrText xml:space="preserve">PAGEREF _Toc79 \h</w:instrText>
              <w:fldChar w:fldCharType="separate"/>
              <w:fldChar w:fldCharType="end"/>
            </w:r>
          </w:hyperlink>
        </w:p>
        <w:p>
          <w:pPr>
            <w:pStyle w:val="TOC2"/>
            <w:tabs>
              <w:tab w:val="right" w:pos="9638" w:leader="dot"/>
            </w:tabs>
            <w:ind w:left="220"/>
          </w:pPr>
          <w:hyperlink w:history="1" w:anchor="_Toc80">
            <w:r>
              <w:t xml:space="preserve">6.1. Coalition builder</w:t>
            </w:r>
            <w:r>
              <w:tab/>
            </w:r>
            <w:r>
              <w:fldChar w:fldCharType="begin" w:dirty="true"/>
              <w:instrText xml:space="preserve">PAGEREF _Toc80 \h</w:instrText>
              <w:fldChar w:fldCharType="separate"/>
              <w:fldChar w:fldCharType="end"/>
            </w:r>
          </w:hyperlink>
        </w:p>
        <w:p>
          <w:pPr>
            <w:pStyle w:val="TOC2"/>
            <w:tabs>
              <w:tab w:val="right" w:pos="9638" w:leader="dot"/>
            </w:tabs>
            <w:ind w:left="220"/>
          </w:pPr>
          <w:hyperlink w:history="1" w:anchor="_Toc81">
            <w:r>
              <w:t xml:space="preserve">6.2. Visualisation</w:t>
            </w:r>
            <w:r>
              <w:tab/>
            </w:r>
            <w:r>
              <w:fldChar w:fldCharType="begin" w:dirty="true"/>
              <w:instrText xml:space="preserve">PAGEREF _Toc81 \h</w:instrText>
              <w:fldChar w:fldCharType="separate"/>
              <w:fldChar w:fldCharType="end"/>
            </w:r>
          </w:hyperlink>
        </w:p>
        <w:p>
          <w:pPr>
            <w:pStyle w:val="TOC2"/>
            <w:tabs>
              <w:tab w:val="right" w:pos="9638" w:leader="dot"/>
            </w:tabs>
            <w:ind w:left="220"/>
          </w:pPr>
          <w:hyperlink w:history="1" w:anchor="_Toc82">
            <w:r>
              <w:t xml:space="preserve">6.3. Data and updates</w:t>
            </w:r>
            <w:r>
              <w:tab/>
            </w:r>
            <w:r>
              <w:fldChar w:fldCharType="begin" w:dirty="true"/>
              <w:instrText xml:space="preserve">PAGEREF _Toc82 \h</w:instrText>
              <w:fldChar w:fldCharType="separate"/>
              <w:fldChar w:fldCharType="end"/>
            </w:r>
          </w:hyperlink>
        </w:p>
        <w:p>
          <w:pPr>
            <w:pStyle w:val="TOC1"/>
            <w:tabs>
              <w:tab w:val="right" w:pos="9638" w:leader="dot"/>
            </w:tabs>
          </w:pPr>
          <w:hyperlink w:history="1" w:anchor="_Toc83">
            <w:r>
              <w:t xml:space="preserve">Sources</w:t>
            </w:r>
            <w:r>
              <w:tab/>
            </w:r>
            <w:r>
              <w:fldChar w:fldCharType="begin" w:dirty="true"/>
              <w:instrText xml:space="preserve">PAGEREF _Toc83 \h</w:instrText>
              <w:fldChar w:fldCharType="separate"/>
              <w:fldChar w:fldCharType="end"/>
            </w:r>
          </w:hyperlink>
        </w:p>
        <w:p>
          <w:r>
            <w:fldChar w:fldCharType="end"/>
          </w:r>
        </w:p>
      </w:sdtContent>
    </w:sdt>
    <w:p>
      <w:pPr>
        <w:spacing w:after="100"/>
      </w:pPr>
      <w:r>
        <w:rPr>
          <w:color w:val="5F6761"/>
          <w:sz w:val="18"/>
          <w:szCs w:val="18"/>
        </w:rPr>
        <w:t xml:space="preserve">If page numbers are not visible, press F9 in Word (update field) or right-click the table of contents → “Update field”.</w:t>
      </w:r>
    </w:p>
    <w:p>
      <w:pPr>
        <w:pStyle w:val="Heading1"/>
        <w:pageBreakBefore/>
      </w:pPr>
      <w:bookmarkStart w:name="_Toc67" w:id="67"/>
      <w:r>
        <w:t xml:space="preserve">Summary</w:t>
      </w:r>
      <w:bookmarkEnd w:id="67"/>
    </w:p>
    <w:p>
      <w:pPr>
        <w:spacing w:after="120" w:line="288"/>
        <w:jc w:val="both"/>
      </w:pPr>
      <w:r>
        <w:t xml:space="preserve">Military power is relative: the outcome of a war is decided not by the strength of an individual state but by the balance of coalitions in a specific theatre. Existing ratings either ignore alliances or give “points for membership”, without distinguishing a commitment on paper from a real willingness to fight. The wars of 2022–2026 showed how different these things are: North Korea sent troops to Russia, while Russia, despite having a strategic partnership treaty with Iran, did not intervene in the 2026 war.</w:t>
      </w:r>
    </w:p>
    <w:p>
      <w:pPr>
        <w:spacing w:after="120" w:line="288"/>
        <w:jc w:val="both"/>
      </w:pPr>
      <w:r>
        <w:t xml:space="preserve">So in the programme alliances are not an index pillar but a </w:t>
      </w:r>
      <w:r>
        <w:rPr>
          <w:b/>
          <w:bCs/>
        </w:rPr>
        <w:t xml:space="preserve">coalition builder</w:t>
      </w:r>
      <w:r>
        <w:t xml:space="preserve">. The user selects a ready-made coalition (NATO, the “coalition of the willing”, the Union State, etc.) or assembles their own and sets reliability, force share, distance and entry time for each member. The programme recalculates the balance of forces and runs the battle model.</w:t>
      </w:r>
    </w:p>
    <w:p>
      <w:pPr>
        <w:pStyle w:val="ListParagraph"/>
        <w:numPr>
          <w:ilvl w:val="0"/>
          <w:numId w:val="2"/>
        </w:numPr>
        <w:spacing w:after="60" w:line="276"/>
      </w:pPr>
      <w:r>
        <w:rPr>
          <w:b/>
          <w:bCs/>
        </w:rPr>
        <w:t xml:space="preserve">Explicit model of an ally's contribution:</w:t>
      </w:r>
      <w:r>
        <w:t xml:space="preserve"> reliability ρ × force share s × distance decay e^(−D/λ) × entry function g(t − τ).</w:t>
      </w:r>
    </w:p>
    <w:p>
      <w:pPr>
        <w:pStyle w:val="ListParagraph"/>
        <w:numPr>
          <w:ilvl w:val="0"/>
          <w:numId w:val="2"/>
        </w:numPr>
        <w:spacing w:after="60" w:line="276"/>
      </w:pPr>
      <w:r>
        <w:rPr>
          <w:b/>
          <w:bCs/>
        </w:rPr>
        <w:t xml:space="preserve">Commitment classes</w:t>
      </w:r>
      <w:r>
        <w:t xml:space="preserve">, from a collective defence treaty to an informal “axis”, with initial ρ values grounded in the practice of 2022–2026.</w:t>
      </w:r>
    </w:p>
    <w:p>
      <w:pPr>
        <w:pStyle w:val="ListParagraph"/>
        <w:numPr>
          <w:ilvl w:val="0"/>
          <w:numId w:val="2"/>
        </w:numPr>
        <w:spacing w:after="60" w:line="276"/>
      </w:pPr>
      <w:r>
        <w:rPr>
          <w:b/>
          <w:bCs/>
        </w:rPr>
        <w:t xml:space="preserve">Contribution types:</w:t>
      </w:r>
      <w:r>
        <w:t xml:space="preserve"> troops, supply, intelligence, territory and bases, finances. Each type affects its own part of the model.</w:t>
      </w:r>
    </w:p>
    <w:p>
      <w:pPr>
        <w:pStyle w:val="ListParagraph"/>
        <w:numPr>
          <w:ilvl w:val="0"/>
          <w:numId w:val="2"/>
        </w:numPr>
        <w:spacing w:after="60" w:line="276"/>
      </w:pPr>
      <w:r>
        <w:rPr>
          <w:b/>
          <w:bCs/>
        </w:rPr>
        <w:t xml:space="preserve">No double counting:</w:t>
      </w:r>
      <w:r>
        <w:t xml:space="preserve"> a coalition scenario uses the country's “autonomous power” without the “Alliances” pillar.</w:t>
      </w:r>
    </w:p>
    <w:p>
      <w:pPr>
        <w:pStyle w:val="ListParagraph"/>
        <w:numPr>
          <w:ilvl w:val="0"/>
          <w:numId w:val="2"/>
        </w:numPr>
        <w:spacing w:after="60" w:line="276"/>
      </w:pPr>
      <w:r>
        <w:rPr>
          <w:b/>
          <w:bCs/>
        </w:rPr>
        <w:t xml:space="preserve">Ready-made coalitions</w:t>
      </w:r>
      <w:r>
        <w:t xml:space="preserve"> for the eight assessed countries and for all potential conflict flashpoints (document 4).</w:t>
      </w:r>
    </w:p>
    <w:p>
      <w:pPr>
        <w:pStyle w:val="Heading1"/>
        <w:pageBreakBefore/>
      </w:pPr>
      <w:bookmarkStart w:name="_Toc68" w:id="68"/>
      <w:r>
        <w:t xml:space="preserve">1. Coalition model</w:t>
      </w:r>
      <w:bookmarkEnd w:id="68"/>
    </w:p>
    <w:p>
      <w:pPr>
        <w:pStyle w:val="Heading2"/>
      </w:pPr>
      <w:bookmarkStart w:name="_Toc69" w:id="69"/>
      <w:r>
        <w:t xml:space="preserve">1.1. Formula</w:t>
      </w:r>
      <w:bookmarkEnd w:id="69"/>
    </w:p>
    <w:p>
      <w:pPr>
        <w:shd w:fill="F2F4F0" w:color="auto" w:val="clear"/>
        <w:spacing w:after="0" w:before="60"/>
        <w:ind w:left="200" w:right="200"/>
        <w:jc w:val="left"/>
      </w:pPr>
      <w:r>
        <w:rPr>
          <w:rFonts w:ascii="Consolas" w:cs="Consolas" w:eastAsia="Consolas" w:hAnsi="Consolas"/>
          <w:color w:val="1A1F1B"/>
          <w:sz w:val="19"/>
          <w:szCs w:val="19"/>
        </w:rPr>
        <w:t xml:space="preserve">F_coal(t) = F_own·e^(−D₀/λ₀) + Σⱼ ρⱼ · sⱼ · Fⱼ · e^(−Dⱼ/λⱼ) · g(t − τⱼ)</w:t>
      </w:r>
    </w:p>
    <w:p>
      <w:pPr>
        <w:shd w:fill="F2F4F0" w:color="auto" w:val="clear"/>
        <w:spacing w:after="0" w:before="0"/>
        <w:ind w:left="200" w:right="200"/>
        <w:jc w:val="left"/>
      </w:pPr>
      <w:r>
        <w:rPr>
          <w:rFonts w:ascii="Consolas" w:cs="Consolas" w:eastAsia="Consolas" w:hAnsi="Consolas"/>
          <w:color w:val="1A1F1B"/>
          <w:sz w:val="19"/>
          <w:szCs w:val="19"/>
        </w:rPr>
        <w:t xml:space="preserve"> </w:t>
      </w:r>
    </w:p>
    <w:p>
      <w:pPr>
        <w:shd w:fill="F2F4F0" w:color="auto" w:val="clear"/>
        <w:spacing w:after="0" w:before="0"/>
        <w:ind w:left="200" w:right="200"/>
        <w:jc w:val="left"/>
      </w:pPr>
      <w:r>
        <w:rPr>
          <w:rFonts w:ascii="Consolas" w:cs="Consolas" w:eastAsia="Consolas" w:hAnsi="Consolas"/>
          <w:color w:val="1A1F1B"/>
          <w:sz w:val="19"/>
          <w:szCs w:val="19"/>
        </w:rPr>
        <w:t xml:space="preserve">ρⱼ  — reliability: the probability that the ally will enter the war in this theatre (0…1)</w:t>
      </w:r>
    </w:p>
    <w:p>
      <w:pPr>
        <w:shd w:fill="F2F4F0" w:color="auto" w:val="clear"/>
        <w:spacing w:after="0" w:before="0"/>
        <w:ind w:left="200" w:right="200"/>
        <w:jc w:val="left"/>
      </w:pPr>
      <w:r>
        <w:rPr>
          <w:rFonts w:ascii="Consolas" w:cs="Consolas" w:eastAsia="Consolas" w:hAnsi="Consolas"/>
          <w:color w:val="1A1F1B"/>
          <w:sz w:val="19"/>
          <w:szCs w:val="19"/>
        </w:rPr>
        <w:t xml:space="preserve">sⱼ  — the share of its forces allocated to the theatre (0…1)</w:t>
      </w:r>
    </w:p>
    <w:p>
      <w:pPr>
        <w:shd w:fill="F2F4F0" w:color="auto" w:val="clear"/>
        <w:spacing w:after="0" w:before="0"/>
        <w:ind w:left="200" w:right="200"/>
        <w:jc w:val="left"/>
      </w:pPr>
      <w:r>
        <w:rPr>
          <w:rFonts w:ascii="Consolas" w:cs="Consolas" w:eastAsia="Consolas" w:hAnsi="Consolas"/>
          <w:color w:val="1A1F1B"/>
          <w:sz w:val="19"/>
          <w:szCs w:val="19"/>
        </w:rPr>
        <w:t xml:space="preserve">Dⱼ  — theatre distance from its main and forward bases, thousand km;  λⱼ — projection radius</w:t>
      </w:r>
    </w:p>
    <w:p>
      <w:pPr>
        <w:shd w:fill="F2F4F0" w:color="auto" w:val="clear"/>
        <w:spacing w:after="0" w:before="0"/>
        <w:ind w:left="200" w:right="200"/>
        <w:jc w:val="left"/>
      </w:pPr>
      <w:r>
        <w:rPr>
          <w:rFonts w:ascii="Consolas" w:cs="Consolas" w:eastAsia="Consolas" w:hAnsi="Consolas"/>
          <w:color w:val="1A1F1B"/>
          <w:sz w:val="19"/>
          <w:szCs w:val="19"/>
        </w:rPr>
        <w:t xml:space="preserve">τⱼ  — entry delay, days;  g — switch-on function (0 until τ, then a smooth rise to 1)</w:t>
      </w:r>
    </w:p>
    <w:p>
      <w:pPr>
        <w:shd w:fill="F2F4F0" w:color="auto" w:val="clear"/>
        <w:spacing w:after="160" w:before="0"/>
        <w:ind w:left="200" w:right="200"/>
        <w:jc w:val="left"/>
      </w:pPr>
      <w:r>
        <w:rPr>
          <w:rFonts w:ascii="Consolas" w:cs="Consolas" w:eastAsia="Consolas" w:hAnsi="Consolas"/>
          <w:color w:val="1A1F1B"/>
          <w:sz w:val="19"/>
          <w:szCs w:val="19"/>
        </w:rPr>
        <w:t xml:space="preserve">Fⱼ  — the ally's autonomous power (MPI without the “Alliances” pillar), converted into conventional units</w:t>
      </w:r>
    </w:p>
    <w:p>
      <w:pPr>
        <w:spacing w:after="120" w:line="288"/>
        <w:jc w:val="both"/>
      </w:pPr>
      <w:r>
        <w:t xml:space="preserve">Converting the index into conventional units of power: M = exp(κ·MPI/100), κ = 2.6·ln 10 ≈ 6.0. This is the same span of the logarithmic scale as in the programme prototype (N₀ = 10^(1 + 2.6·N̄)): the index is built on logarithms of count variables, so only exponentials can be added, not the scores themselves.</w:t>
      </w:r>
    </w:p>
    <w:p>
      <w:pPr>
        <w:pStyle w:val="Heading2"/>
      </w:pPr>
      <w:bookmarkStart w:name="_Toc70" w:id="70"/>
      <w:r>
        <w:t xml:space="preserve">1.2. Contribution types</w:t>
      </w:r>
      <w:bookmarkEnd w:id="7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tblHeader/>
        </w:trPr>
        <w:tc>
          <w:tcPr>
            <w:tcW w:type="dxa" w:w="212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Contribution type</w:t>
            </w:r>
          </w:p>
        </w:tc>
        <w:tc>
          <w:tcPr>
            <w:tcW w:type="dxa" w:w="366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Where it enters the model</w:t>
            </w:r>
          </w:p>
        </w:tc>
        <w:tc>
          <w:tcPr>
            <w:tcW w:type="dxa" w:w="38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Example 2022–2026</w:t>
            </w:r>
          </w:p>
        </w:tc>
      </w:tr>
      <w:tr>
        <w:trPr>
          <w:cantSplit/>
        </w:trPr>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Troops</w:t>
            </w:r>
          </w:p>
        </w:tc>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Coalition N₀ (with ρ, s, D, τ)</w:t>
            </w:r>
          </w:p>
        </w:tc>
        <w:tc>
          <w:tcPr>
            <w:tcW w:type="dxa" w:w="38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the North Korean contingent in Russia; joint US and Israeli strikes on Iran</w:t>
            </w:r>
          </w:p>
        </w:tc>
      </w:tr>
      <w:tr>
        <w:trPr>
          <w:cantSplit/>
        </w:trPr>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Supply and armaments</w:t>
            </w:r>
          </w:p>
        </w:tc>
        <w:tc>
          <w:tcPr>
            <w:tcW w:type="dxa" w:w="36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sustainment: reserve R and replacement rate r(t), but not N₀</w:t>
            </w:r>
          </w:p>
        </w:tc>
        <w:tc>
          <w:tcPr>
            <w:tcW w:type="dxa" w:w="38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supplies of weapons and equipment to Ukraine (Ramstein, purchases through allies); supplies of shells from North Korea to Russia</w:t>
            </w:r>
          </w:p>
        </w:tc>
      </w:tr>
      <w:tr>
        <w:trPr>
          <w:cantSplit/>
        </w:trPr>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Intelligence and targeting</w:t>
            </w:r>
          </w:p>
        </w:tc>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effectiveness e (multiplier)</w:t>
            </w:r>
          </w:p>
        </w:tc>
        <w:tc>
          <w:tcPr>
            <w:tcW w:type="dxa" w:w="38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allied satellite intelligence for Ukraine and Israel</w:t>
            </w:r>
          </w:p>
        </w:tc>
      </w:tr>
      <w:tr>
        <w:trPr>
          <w:cantSplit/>
        </w:trPr>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Territory and bases</w:t>
            </w:r>
          </w:p>
        </w:tc>
        <w:tc>
          <w:tcPr>
            <w:tcW w:type="dxa" w:w="36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reduces D for the side's other members: D</w:t>
            </w:r>
            <w:r>
              <w:rPr>
                <w:b w:val="false"/>
                <w:bCs w:val="false"/>
                <w:i/>
                <w:iCs/>
                <w:color w:val="1A1F1B"/>
                <w:sz w:val="18"/>
                <w:szCs w:val="18"/>
              </w:rPr>
              <w:t xml:space="preserve">eff = D − ρ·max(0; D − D</w:t>
            </w:r>
            <w:r>
              <w:rPr>
                <w:b w:val="false"/>
                <w:bCs w:val="false"/>
                <w:color w:val="1A1F1B"/>
                <w:sz w:val="18"/>
                <w:szCs w:val="18"/>
              </w:rPr>
              <w:t xml:space="preserve">B), D_B — distance of the provider's territory from the theatre</w:t>
            </w:r>
          </w:p>
        </w:tc>
        <w:tc>
          <w:tcPr>
            <w:tcW w:type="dxa" w:w="38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US bases in the Persian Gulf; Belarusian territory in 2022; Poland and the Baltic states for NATO forces</w:t>
            </w:r>
          </w:p>
        </w:tc>
      </w:tr>
      <w:tr>
        <w:trPr>
          <w:cantSplit/>
        </w:trPr>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Finances</w:t>
            </w:r>
          </w:p>
        </w:tc>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reserve and replacement: R += η·Ffin, r += η·Ffin / τF, Ffin = 10·ρ·s·M, η = 0.15, τF = 90 days; not part of F</w:t>
            </w:r>
          </w:p>
        </w:tc>
        <w:tc>
          <w:tcPr>
            <w:tcW w:type="dxa" w:w="38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EU loans to Ukraine, US military aid to Israel</w:t>
            </w:r>
          </w:p>
        </w:tc>
      </w:tr>
      <w:tr>
        <w:trPr>
          <w:cantSplit/>
        </w:trPr>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Air-defence coalition</w:t>
            </w:r>
          </w:p>
        </w:tc>
        <w:tc>
          <w:tcPr>
            <w:tcW w:type="dxa" w:w="36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defence effectiveness (interception in the salvo model)</w:t>
            </w:r>
          </w:p>
        </w:tc>
        <w:tc>
          <w:tcPr>
            <w:tcW w:type="dxa" w:w="38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the repulse of Iran's strike on Israel in April 2024 by the forces of several countries</w:t>
            </w:r>
          </w:p>
        </w:tc>
      </w:tr>
    </w:tbl>
    <w:p>
      <w:pPr>
        <w:spacing w:after="120"/>
      </w:pPr>
    </w:p>
    <w:p>
      <w:pPr>
        <w:spacing w:after="120" w:line="288"/>
        <w:jc w:val="both"/>
      </w:pPr>
      <w:r>
        <w:rPr>
          <w:b/>
          <w:bCs/>
        </w:rPr>
        <w:t xml:space="preserve">The “Territory” and “Finance” types are implemented</w:t>
      </w:r>
      <w:r>
        <w:t xml:space="preserve"> (19.10.2026, core `core/lanmil/coalition.py`, prototype). The coefficients η = 0.15 and τF = 90 days are prototype assumptions, like g(t − τ), intelligence and supply, rather than data: they can be changed, but consistently with the core. Two new scenarios show the effect: “Baltic with basing” (Poland, the Baltic states, Finland and Sweden provide territory) — on day 30 the A : B force ratio falls from 0.46 to 0.42, because Germany, the UK, France and the US deploy from bases near the theatre rather than from depth; “Russia vs. Ukraine with financing” — the ratio in F does not change, but Ukraine's reserve and replacement grow, and in the battle model the probability of a successful offensive falls noticeably while protracted fighting becomes more likely. The scale of the finance shares s is a scenario assumption.</w:t>
      </w:r>
    </w:p>
    <w:p>
      <w:pPr>
        <w:pStyle w:val="Heading2"/>
      </w:pPr>
      <w:bookmarkStart w:name="_Toc71" w:id="71"/>
      <w:r>
        <w:t xml:space="preserve">1.3. How to avoid double counting</w:t>
      </w:r>
      <w:bookmarkEnd w:id="71"/>
    </w:p>
    <w:p>
      <w:pPr>
        <w:spacing w:after="120" w:line="288"/>
        <w:jc w:val="both"/>
      </w:pPr>
      <w:r>
        <w:t xml:space="preserve">In the ordinary rating, the “Alliances” pillar (14 indicators) raises the MPI of members of strong alliances. If allies are added explicitly in a scenario, this pillar must be switched off, otherwise an ally will be counted twice. The programme therefore stores two values for each country: </w:t>
      </w:r>
      <w:r>
        <w:rPr>
          <w:b/>
          <w:bCs/>
        </w:rPr>
        <w:t xml:space="preserve">MPI</w:t>
      </w:r>
      <w:r>
        <w:t xml:space="preserve"> (for the rating) and </w:t>
      </w:r>
      <w:r>
        <w:rPr>
          <w:b/>
          <w:bCs/>
        </w:rPr>
        <w:t xml:space="preserve">autonomous power</w:t>
      </w:r>
      <w:r>
        <w:t xml:space="preserve"> (for coalitions). For the eight countries they are given in document 2.</w:t>
      </w:r>
    </w:p>
    <w:p>
      <w:pPr>
        <w:pStyle w:val="Heading1"/>
        <w:pageBreakBefore/>
      </w:pPr>
      <w:bookmarkStart w:name="_Toc72" w:id="72"/>
      <w:r>
        <w:t xml:space="preserve">2. Commitment classes and reliability</w:t>
      </w:r>
      <w:bookmarkEnd w:id="7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3180"/>
        <w:gridCol w:w="1156"/>
        <w:gridCol w:w="4628"/>
      </w:tblGrid>
      <w:tr>
        <w:trPr>
          <w:tblHeader/>
        </w:trPr>
        <w:tc>
          <w:tcPr>
            <w:tcW w:type="dxa" w:w="67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Class</w:t>
            </w:r>
          </w:p>
        </w:tc>
        <w:tc>
          <w:tcPr>
            <w:tcW w:type="dxa" w:w="318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Commitment type</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Initial ρ</w:t>
            </w:r>
          </w:p>
        </w:tc>
        <w:tc>
          <w:tcPr>
            <w:tcW w:type="dxa" w:w="462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Examples</w:t>
            </w:r>
          </w:p>
        </w:tc>
      </w:tr>
      <w:tr>
        <w:trPr>
          <w:cantSplit/>
        </w:trPr>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w:t>
            </w:r>
          </w:p>
        </w:tc>
        <w:tc>
          <w:tcPr>
            <w:tcW w:type="dxa" w:w="318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 multilateral collective defence treaty with integrated command</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0.7–0.9</w:t>
            </w:r>
          </w:p>
        </w:tc>
        <w:tc>
          <w:tcPr>
            <w:tcW w:type="dxa" w:w="462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NATO (Art. 5)</w:t>
            </w:r>
          </w:p>
        </w:tc>
      </w:tr>
      <w:tr>
        <w:trPr>
          <w:cantSplit/>
        </w:trPr>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B</w:t>
            </w:r>
          </w:p>
        </w:tc>
        <w:tc>
          <w:tcPr>
            <w:tcW w:type="dxa" w:w="318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Bilateral mutual assistance treaty</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0.4–0.8</w:t>
            </w:r>
          </w:p>
        </w:tc>
        <w:tc>
          <w:tcPr>
            <w:tcW w:type="dxa" w:w="462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Russia–North Korea (2024), Pakistan–Saudi Arabia (2025), Türkiye–Azerbaijan (Shusha Declaration, 2021), US–Japan, US–Republic of Korea, US–Philippines, France–Greece (2021)</w:t>
            </w:r>
          </w:p>
        </w:tc>
      </w:tr>
      <w:tr>
        <w:trPr>
          <w:cantSplit/>
        </w:trPr>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w:t>
            </w:r>
          </w:p>
        </w:tc>
        <w:tc>
          <w:tcPr>
            <w:tcW w:type="dxa" w:w="318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Strategic partnership without military commitments</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0.02–0.15</w:t>
            </w:r>
          </w:p>
        </w:tc>
        <w:tc>
          <w:tcPr>
            <w:tcW w:type="dxa" w:w="462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Russia–Iran (2025 treaty), Russia–China, “Abraham Accords”</w:t>
            </w:r>
          </w:p>
        </w:tc>
      </w:tr>
      <w:tr>
        <w:trPr>
          <w:cantSplit/>
        </w:trPr>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D</w:t>
            </w:r>
          </w:p>
        </w:tc>
        <w:tc>
          <w:tcPr>
            <w:tcW w:type="dxa" w:w="318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Ad hoc coalition</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0.2–0.6</w:t>
            </w:r>
          </w:p>
        </w:tc>
        <w:tc>
          <w:tcPr>
            <w:tcW w:type="dxa" w:w="462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“Coalition of the willing” for Ukraine, Ramstein, naval coalitions in the Red Sea</w:t>
            </w:r>
          </w:p>
        </w:tc>
      </w:tr>
      <w:tr>
        <w:trPr>
          <w:cantSplit/>
        </w:trPr>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E</w:t>
            </w:r>
          </w:p>
        </w:tc>
        <w:tc>
          <w:tcPr>
            <w:tcW w:type="dxa" w:w="318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Informal axis or network</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0.1–0.5</w:t>
            </w:r>
          </w:p>
        </w:tc>
        <w:tc>
          <w:tcPr>
            <w:tcW w:type="dxa" w:w="462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“Axis of Resistance”, notional China–Russia–Iran–North Korea axis</w:t>
            </w:r>
          </w:p>
        </w:tc>
      </w:tr>
      <w:tr>
        <w:trPr>
          <w:cantSplit/>
        </w:trPr>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F</w:t>
            </w:r>
          </w:p>
        </w:tc>
        <w:tc>
          <w:tcPr>
            <w:tcW w:type="dxa" w:w="318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Alliances without a military component</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 0</w:t>
            </w:r>
          </w:p>
        </w:tc>
        <w:tc>
          <w:tcPr>
            <w:tcW w:type="dxa" w:w="462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SCO, BRICS</w:t>
            </w:r>
          </w:p>
        </w:tc>
      </w:tr>
    </w:tbl>
    <w:p>
      <w:pPr>
        <w:spacing w:after="120"/>
      </w:pPr>
    </w:p>
    <w:p>
      <w:pPr>
        <w:spacing w:after="120" w:line="288"/>
        <w:jc w:val="both"/>
      </w:pPr>
      <w:r>
        <w:rPr>
          <w:b/>
          <w:bCs/>
        </w:rPr>
        <w:t xml:space="preserve">Why ρ is not equal to 1 even for NATO.</w:t>
      </w:r>
      <w:r>
        <w:t xml:space="preserve"> Article 5 obliges allies to take “such action as they deem necessary”, not to go to war automatically. In 2025–2026, trust within the alliance was affected by disputes over spending, tariffs and the crisis over Greenland. At the summit in Ankara (July 2026) the allies confirmed their commitments, but analysts noted limited unity. The initial ρ for the United States with respect to the European theatre is therefore 0.7, and for the European allies on the eastern flank — 0.8–0.95.</w:t>
      </w:r>
    </w:p>
    <w:p>
      <w:pPr>
        <w:pStyle w:val="Heading1"/>
        <w:pageBreakBefore/>
      </w:pPr>
      <w:bookmarkStart w:name="_Toc73" w:id="73"/>
      <w:r>
        <w:t xml:space="preserve">3. Catalogue of alliances and coalitions</w:t>
      </w:r>
      <w:bookmarkEnd w:id="7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927"/>
        <w:gridCol w:w="674"/>
        <w:gridCol w:w="1060"/>
        <w:gridCol w:w="1252"/>
        <w:gridCol w:w="3087"/>
      </w:tblGrid>
      <w:tr>
        <w:trPr>
          <w:tblHeader/>
        </w:trPr>
        <w:tc>
          <w:tcPr>
            <w:tcW w:type="dxa" w:w="163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Alliance or coalition</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Members</w:t>
            </w:r>
          </w:p>
        </w:tc>
        <w:tc>
          <w:tcPr>
            <w:tcW w:type="dxa" w:w="67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Class</w:t>
            </w:r>
          </w:p>
        </w:tc>
        <w:tc>
          <w:tcPr>
            <w:tcW w:type="dxa" w:w="106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ρ</w:t>
            </w:r>
          </w:p>
        </w:tc>
        <w:tc>
          <w:tcPr>
            <w:tcW w:type="dxa" w:w="125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Contribution</w:t>
            </w:r>
          </w:p>
        </w:tc>
        <w:tc>
          <w:tcPr>
            <w:tcW w:type="dxa" w:w="308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Status as of October 2026</w:t>
            </w:r>
          </w:p>
        </w:tc>
      </w:tr>
      <w:tr>
        <w:trPr>
          <w:cantSplit/>
        </w:trPr>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NATO</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32 states</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A</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0.7–0.95</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all types</w:t>
            </w:r>
          </w:p>
        </w:tc>
        <w:tc>
          <w:tcPr>
            <w:tcW w:type="dxa" w:w="3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Target of 5% of GDP by 2035 (The Hague, 2025); the Ankara summit (July 2026) called Russia a long-term threat</w:t>
            </w:r>
          </w:p>
        </w:tc>
      </w:tr>
      <w:tr>
        <w:trPr>
          <w:cantSplit/>
        </w:trPr>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EU, Art. 42.7 TEU</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27 states</w:t>
            </w:r>
          </w:p>
        </w:tc>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B/D</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0.4–0.6</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finances, supply, troops</w:t>
            </w:r>
          </w:p>
        </w:tc>
        <w:tc>
          <w:tcPr>
            <w:tcW w:type="dxa" w:w="3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Financing of Ukraine's defence, joint procurement programmes</w:t>
            </w:r>
          </w:p>
        </w:tc>
      </w:tr>
      <w:tr>
        <w:trPr>
          <w:cantSplit/>
        </w:trPr>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“Coalition of the willing”</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about 30 states led by the United Kingdom and France</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D</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0.2 (before the truce) / 0.6 (after)</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post-truce forces, supply</w:t>
            </w:r>
          </w:p>
        </w:tc>
        <w:tc>
          <w:tcPr>
            <w:tcW w:type="dxa" w:w="3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Paris Declaration (6 January 2026): deployment of multinational forces after a ceasefire</w:t>
            </w:r>
          </w:p>
        </w:tc>
      </w:tr>
      <w:tr>
        <w:trPr>
          <w:cantSplit/>
        </w:trPr>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Ramstein (UDCG)</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about 50 states</w:t>
            </w:r>
          </w:p>
        </w:tc>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D</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supply</w:t>
            </w:r>
          </w:p>
        </w:tc>
        <w:tc>
          <w:tcPr>
            <w:tcW w:type="dxa" w:w="3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Supplies and procurement of arms for Ukraine</w:t>
            </w:r>
          </w:p>
        </w:tc>
      </w:tr>
      <w:tr>
        <w:trPr>
          <w:cantSplit/>
        </w:trPr>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Joint Expeditionary Force (JEF)</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the United Kingdom and 9 Nordic countries</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D</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0.6–0.8</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troops</w:t>
            </w:r>
          </w:p>
        </w:tc>
        <w:tc>
          <w:tcPr>
            <w:tcW w:type="dxa" w:w="3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Rapid response in Northern Europe</w:t>
            </w:r>
          </w:p>
        </w:tc>
      </w:tr>
      <w:tr>
        <w:trPr>
          <w:cantSplit/>
        </w:trPr>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Union State</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Russia, Belarus</w:t>
            </w:r>
          </w:p>
        </w:tc>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A/B</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0.7 (territory), 0.3 (troops)</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territory, troops</w:t>
            </w:r>
          </w:p>
        </w:tc>
        <w:tc>
          <w:tcPr>
            <w:tcW w:type="dxa" w:w="3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Exercises near the Suwałki Gap (September 2026); nuclear weapons on the territory of Belarus</w:t>
            </w:r>
          </w:p>
        </w:tc>
      </w:tr>
      <w:tr>
        <w:trPr>
          <w:cantSplit/>
        </w:trPr>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CSTO</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Russia, Belarus, Kazakhstan, Kyrgyzstan, Tajikistan (Armenia has frozen its participation)</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A</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0.1–0.2</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minimal</w:t>
            </w:r>
          </w:p>
        </w:tc>
        <w:tc>
          <w:tcPr>
            <w:tcW w:type="dxa" w:w="3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The organisation did not support any war of its members</w:t>
            </w:r>
          </w:p>
        </w:tc>
      </w:tr>
      <w:tr>
        <w:trPr>
          <w:cantSplit/>
        </w:trPr>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Russia–North Korea treaty (2024)</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Russia, North Korea</w:t>
            </w:r>
          </w:p>
        </w:tc>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B</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0.6</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troops, shells, missiles</w:t>
            </w:r>
          </w:p>
        </w:tc>
        <w:tc>
          <w:tcPr>
            <w:tcW w:type="dxa" w:w="3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According to Seoul's estimate — about 15 thousand combat service members and more than 6 thousand engineers; an expansion is under discussion</w:t>
            </w:r>
          </w:p>
        </w:tc>
      </w:tr>
      <w:tr>
        <w:trPr>
          <w:cantSplit/>
        </w:trPr>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Russia–Iran partnership (2025)</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Russia, Iran</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C</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0.05</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minimal</w:t>
            </w:r>
          </w:p>
        </w:tc>
        <w:tc>
          <w:tcPr>
            <w:tcW w:type="dxa" w:w="3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Russia did not intervene in the 2026 war</w:t>
            </w:r>
          </w:p>
        </w:tc>
      </w:tr>
      <w:tr>
        <w:trPr>
          <w:cantSplit/>
        </w:trPr>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China–Russia</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China, Russia</w:t>
            </w:r>
          </w:p>
        </w:tc>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C</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0.05 (troops)</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economy, components</w:t>
            </w:r>
          </w:p>
        </w:tc>
        <w:tc>
          <w:tcPr>
            <w:tcW w:type="dxa" w:w="3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Economic support without military commitments</w:t>
            </w:r>
          </w:p>
        </w:tc>
      </w:tr>
      <w:tr>
        <w:trPr>
          <w:cantSplit/>
        </w:trPr>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US–Israel</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United States, Israel</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B (de facto)</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0.9</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troops, supply, intelligence, missile defence</w:t>
            </w:r>
          </w:p>
        </w:tc>
        <w:tc>
          <w:tcPr>
            <w:tcW w:type="dxa" w:w="3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Joint campaigns against Iran in 2025 and 2026</w:t>
            </w:r>
          </w:p>
        </w:tc>
      </w:tr>
      <w:tr>
        <w:trPr>
          <w:cantSplit/>
        </w:trPr>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"Axis of Resistance"</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Iran, Hezbollah, the Houthis, Iraqi militias, Hamas</w:t>
            </w:r>
          </w:p>
        </w:tc>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E</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0.3–0.5</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strikes, second front</w:t>
            </w:r>
          </w:p>
        </w:tc>
        <w:tc>
          <w:tcPr>
            <w:tcW w:type="dxa" w:w="3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Weakened; Hezbollah re-entered combat in March 2026.</w:t>
            </w:r>
          </w:p>
        </w:tc>
      </w:tr>
      <w:tr>
        <w:trPr>
          <w:cantSplit/>
        </w:trPr>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US–Japan, US–Republic of Korea, US–Philippines</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bilateral treaties</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B</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0.6–0.8</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troops, bases</w:t>
            </w:r>
          </w:p>
        </w:tc>
        <w:tc>
          <w:tcPr>
            <w:tcW w:type="dxa" w:w="3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Tension in the South China Sea and around Taiwan</w:t>
            </w:r>
          </w:p>
        </w:tc>
      </w:tr>
      <w:tr>
        <w:trPr>
          <w:cantSplit/>
        </w:trPr>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AUKUS</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Australia, United Kingdom, United States</w:t>
            </w:r>
          </w:p>
        </w:tc>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D</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0.5</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technology, submarines</w:t>
            </w:r>
          </w:p>
        </w:tc>
        <w:tc>
          <w:tcPr>
            <w:tcW w:type="dxa" w:w="3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Long-term submarine programme</w:t>
            </w:r>
          </w:p>
        </w:tc>
      </w:tr>
      <w:tr>
        <w:trPr>
          <w:cantSplit/>
        </w:trPr>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Pakistan–Saudi Arabia (2025)</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Pakistan, Saudi Arabia</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B</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0.4</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troops, finances</w:t>
            </w:r>
          </w:p>
        </w:tc>
        <w:tc>
          <w:tcPr>
            <w:tcW w:type="dxa" w:w="3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Strategic mutual defence treaty, September 2025</w:t>
            </w:r>
          </w:p>
        </w:tc>
      </w:tr>
      <w:tr>
        <w:trPr>
          <w:cantSplit/>
        </w:trPr>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Türkiye–Azerbaijan</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Türkiye, Azerbaijan</w:t>
            </w:r>
          </w:p>
        </w:tc>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B</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0.6</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troops, armaments</w:t>
            </w:r>
          </w:p>
        </w:tc>
        <w:tc>
          <w:tcPr>
            <w:tcW w:type="dxa" w:w="3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Shusha Declaration (2021)</w:t>
            </w:r>
          </w:p>
        </w:tc>
      </w:tr>
      <w:tr>
        <w:trPr>
          <w:cantSplit/>
        </w:trPr>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France–Greece</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France, Greece</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B</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0.5</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troops</w:t>
            </w:r>
          </w:p>
        </w:tc>
        <w:tc>
          <w:tcPr>
            <w:tcW w:type="dxa" w:w="3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Strategic partnership of 2021 with a mutual assistance article</w:t>
            </w:r>
          </w:p>
        </w:tc>
      </w:tr>
      <w:tr>
        <w:trPr>
          <w:cantSplit/>
        </w:trPr>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SCO, BRICS</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F</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 0</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3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Non-military alliances</w:t>
            </w:r>
          </w:p>
        </w:tc>
      </w:tr>
    </w:tbl>
    <w:p>
      <w:pPr>
        <w:spacing w:after="120"/>
      </w:pPr>
    </w:p>
    <w:p>
      <w:pPr>
        <w:spacing w:after="100"/>
      </w:pPr>
      <w:r>
        <w:rPr>
          <w:color w:val="5F6761"/>
          <w:sz w:val="18"/>
          <w:szCs w:val="18"/>
        </w:rPr>
        <w:t xml:space="preserve">ρ — the programme's initial values; the user changes them with a slider. The values are grounded in the behaviour of the participants in the wars of 2022–2026 and in the legal force of the commitments.</w:t>
      </w:r>
    </w:p>
    <w:p>
      <w:pPr>
        <w:pStyle w:val="Heading1"/>
        <w:pageBreakBefore/>
      </w:pPr>
      <w:bookmarkStart w:name="_Toc74" w:id="74"/>
      <w:r>
        <w:t xml:space="preserve">4. Ready-made coalitions for the eight countries</w:t>
      </w:r>
      <w:bookmarkEnd w:id="7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tblHeader/>
        </w:trPr>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Country</w:t>
            </w:r>
          </w:p>
        </w:tc>
        <w:tc>
          <w:tcPr>
            <w:tcW w:type="dxa" w:w="790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Coalitions in the programme menu</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United States</w:t>
            </w:r>
          </w:p>
        </w:tc>
        <w:tc>
          <w:tcPr>
            <w:tcW w:type="dxa" w:w="790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NATO · US + Israel · Indo-Pacific (Japan, Republic of Korea, Australia, the Philippines) · AUKUS · Gulf partners</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Russia</w:t>
            </w:r>
          </w:p>
        </w:tc>
        <w:tc>
          <w:tcPr>
            <w:tcW w:type="dxa" w:w="790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Union State (Belarus) · Russia + North Korea · CSTO · Russia + Iran (partnership) · Notional China–Russia–Iran–North Korea axis</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Ukraine</w:t>
            </w:r>
          </w:p>
        </w:tc>
        <w:tc>
          <w:tcPr>
            <w:tcW w:type="dxa" w:w="790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“Coalition of the willing” · Ramstein (supply) · EU (finances) · Poland + the Baltics + Northern Europe</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Israel</w:t>
            </w:r>
          </w:p>
        </w:tc>
        <w:tc>
          <w:tcPr>
            <w:tcW w:type="dxa" w:w="790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US + Israel · Regional air-defence coalition (example — April 2024) · “Abraham Accords”</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Iran</w:t>
            </w:r>
          </w:p>
        </w:tc>
        <w:tc>
          <w:tcPr>
            <w:tcW w:type="dxa" w:w="790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“Axis of Resistance” · Iran + Russia + China (no commitments)</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Germany</w:t>
            </w:r>
          </w:p>
        </w:tc>
        <w:tc>
          <w:tcPr>
            <w:tcW w:type="dxa" w:w="790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NATO · EU (Art. 42.7) · Weimar Triangle · “Coalition of the willing”</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France</w:t>
            </w:r>
          </w:p>
        </w:tc>
        <w:tc>
          <w:tcPr>
            <w:tcW w:type="dxa" w:w="790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NATO · EU (Art. 42.7) · France–Greece · “Coalition of the willing” · Weimar Triangle</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United Kingdom</w:t>
            </w:r>
          </w:p>
        </w:tc>
        <w:tc>
          <w:tcPr>
            <w:tcW w:type="dxa" w:w="790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NATO · JEF · AUKUS · “Five Eyes” (intelligence) · “Coalition of the willing”</w:t>
            </w:r>
          </w:p>
        </w:tc>
      </w:tr>
    </w:tbl>
    <w:p>
      <w:pPr>
        <w:spacing w:after="120"/>
      </w:pPr>
    </w:p>
    <w:p>
      <w:pPr>
        <w:pStyle w:val="Heading1"/>
        <w:pageBreakBefore/>
      </w:pPr>
      <w:bookmarkStart w:name="_Toc75" w:id="75"/>
      <w:r>
        <w:t xml:space="preserve">5. Worked examples</w:t>
      </w:r>
      <w:bookmarkEnd w:id="75"/>
    </w:p>
    <w:p>
      <w:pPr>
        <w:pBdr>
          <w:left w:val="single" w:color="9F2F27" w:sz="18" w:space="8"/>
        </w:pBdr>
        <w:shd w:fill="F4EEE9" w:color="auto" w:val="clear"/>
        <w:spacing w:after="160" w:before="120" w:line="276"/>
        <w:ind w:left="200" w:right="120"/>
      </w:pPr>
      <w:r>
        <w:rPr>
          <w:b/>
          <w:bCs/>
          <w:color w:val="9F2F27"/>
        </w:rPr>
        <w:t xml:space="preserve">Status of examples. </w:t>
      </w:r>
      <w:r>
        <w:t xml:space="preserve">the examples show how the algorithm works. Values for countries outside the eight (Poland, the Baltic and Nordic countries, Belarus, North Korea, the “Axis of Resistance”) are indicative and will be replaced by the full calculation. The force shares s and distances D are scenario assumptions and can be changed.</w:t>
      </w:r>
    </w:p>
    <w:p>
      <w:pPr>
        <w:pStyle w:val="Heading2"/>
      </w:pPr>
      <w:bookmarkStart w:name="_Toc76" w:id="76"/>
      <w:r>
        <w:t xml:space="preserve">5.1. Israel and the United States against Iran (theatre — Iran)</w:t>
      </w:r>
      <w:bookmarkEnd w:id="7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156"/>
        <w:gridCol w:w="771"/>
        <w:gridCol w:w="771"/>
        <w:gridCol w:w="1156"/>
        <w:gridCol w:w="771"/>
        <w:gridCol w:w="1544"/>
      </w:tblGrid>
      <w:tr>
        <w:trPr>
          <w:tblHeader/>
        </w:trPr>
        <w:tc>
          <w:tcPr>
            <w:tcW w:type="dxa" w:w="346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Member</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MPI without alliances</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ρ</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 thousand km</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λ</w:t>
            </w:r>
          </w:p>
        </w:tc>
        <w:tc>
          <w:tcPr>
            <w:tcW w:type="dxa" w:w="154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Contribution, c.u.</w:t>
            </w:r>
          </w:p>
        </w:tc>
      </w:tr>
      <w:tr>
        <w:trPr>
          <w:cantSplit/>
        </w:trPr>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Israel</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63.7</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1.00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0.70</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1.6</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4.0</w:t>
            </w:r>
          </w:p>
        </w:tc>
        <w:tc>
          <w:tcPr>
            <w:tcW w:type="dxa" w:w="154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21.3</w:t>
            </w:r>
          </w:p>
        </w:tc>
      </w:tr>
      <w:tr>
        <w:trPr>
          <w:cantSplit/>
        </w:trPr>
        <w:tc>
          <w:tcPr>
            <w:tcW w:type="dxa" w:w="346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United States</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90.6</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0.90</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0.20</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1.0</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12.0</w:t>
            </w:r>
          </w:p>
        </w:tc>
        <w:tc>
          <w:tcPr>
            <w:tcW w:type="dxa" w:w="154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37.6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156"/>
        <w:gridCol w:w="771"/>
        <w:gridCol w:w="771"/>
        <w:gridCol w:w="1156"/>
        <w:gridCol w:w="771"/>
        <w:gridCol w:w="1544"/>
      </w:tblGrid>
      <w:tr>
        <w:trPr>
          <w:tblHeader/>
        </w:trPr>
        <w:tc>
          <w:tcPr>
            <w:tcW w:type="dxa" w:w="346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Member</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MPI without alliances</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ρ</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 thousand km</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λ</w:t>
            </w:r>
          </w:p>
        </w:tc>
        <w:tc>
          <w:tcPr>
            <w:tcW w:type="dxa" w:w="154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Contribution, c.u.</w:t>
            </w:r>
          </w:p>
        </w:tc>
      </w:tr>
      <w:tr>
        <w:trPr>
          <w:cantSplit/>
        </w:trPr>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Iran</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32.4</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1.00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1.00</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3.0</w:t>
            </w:r>
          </w:p>
        </w:tc>
        <w:tc>
          <w:tcPr>
            <w:tcW w:type="dxa" w:w="154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6.9</w:t>
            </w:r>
          </w:p>
        </w:tc>
      </w:tr>
      <w:tr>
        <w:trPr>
          <w:cantSplit/>
        </w:trPr>
        <w:tc>
          <w:tcPr>
            <w:tcW w:type="dxa" w:w="346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“Axis of Resistance” (Hezbollah, the Houthis, militias)</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20.0</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0.50</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1.00</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0.0</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1.5</w:t>
            </w:r>
          </w:p>
        </w:tc>
        <w:tc>
          <w:tcPr>
            <w:tcW w:type="dxa" w:w="154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1.7</w:t>
            </w:r>
          </w:p>
        </w:tc>
      </w:tr>
      <w:tr>
        <w:trPr>
          <w:cantSplit/>
        </w:trPr>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Russia</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65.3</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0.05</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0.02</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5.0</w:t>
            </w:r>
          </w:p>
        </w:tc>
        <w:tc>
          <w:tcPr>
            <w:tcW w:type="dxa" w:w="154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0.0</w:t>
            </w:r>
          </w:p>
        </w:tc>
      </w:tr>
    </w:tbl>
    <w:p>
      <w:pPr>
        <w:spacing w:after="120"/>
      </w:pPr>
    </w:p>
    <w:p>
      <w:pPr>
        <w:spacing w:after="120" w:line="288"/>
        <w:jc w:val="both"/>
      </w:pPr>
      <w:r>
        <w:rPr>
          <w:b/>
          <w:bCs/>
        </w:rPr>
        <w:t xml:space="preserve">Result:</w:t>
      </w:r>
      <w:r>
        <w:t xml:space="preserve"> 58.8 c.u. versus 8.6 c.u., ratio ≈ 6.8 : 1. For an air-and-missile campaign the defence coefficient is low (d = 1.3 — hasty defence and strikes), and the required ratio at α = 1.0 is 1.30 : 1 (α and d as of 13.10.2026 — from 404 CDB90 battles and validation against 10 wars, document 6, sections 7.5–7.7). Allowing for model error (σ = 2.0, section 7.8 of document 6), the probability that the advantage is sufficient is 80%. The model predicts rapid suppression of Iran's air defence and air force, which matches the course of the 2025 and 2026 campaigns. The limitations of the model here are the survivability of the underground missile arsenal and the asymmetric threat to the Strait of Hormuz. These are captured by the salvo model and survivability indicators, not by the balance in c.u..</w:t>
      </w:r>
    </w:p>
    <w:p>
      <w:pPr>
        <w:pStyle w:val="Heading2"/>
      </w:pPr>
      <w:bookmarkStart w:name="_Toc77" w:id="77"/>
      <w:r>
        <w:t xml:space="preserve">5.2. Russia against Ukraine (theatre — Ukraine)</w:t>
      </w:r>
      <w:bookmarkEnd w:id="7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156"/>
        <w:gridCol w:w="771"/>
        <w:gridCol w:w="771"/>
        <w:gridCol w:w="1156"/>
        <w:gridCol w:w="771"/>
        <w:gridCol w:w="1544"/>
      </w:tblGrid>
      <w:tr>
        <w:trPr>
          <w:tblHeader/>
        </w:trPr>
        <w:tc>
          <w:tcPr>
            <w:tcW w:type="dxa" w:w="346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Member</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MPI without alliances</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ρ</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 thousand km</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λ</w:t>
            </w:r>
          </w:p>
        </w:tc>
        <w:tc>
          <w:tcPr>
            <w:tcW w:type="dxa" w:w="154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Contribution, c.u.</w:t>
            </w:r>
          </w:p>
        </w:tc>
      </w:tr>
      <w:tr>
        <w:trPr>
          <w:cantSplit/>
        </w:trPr>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Russia</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65.3</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1.00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0.60</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0.5</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5.0</w:t>
            </w:r>
          </w:p>
        </w:tc>
        <w:tc>
          <w:tcPr>
            <w:tcW w:type="dxa" w:w="154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27.0</w:t>
            </w:r>
          </w:p>
        </w:tc>
      </w:tr>
      <w:tr>
        <w:trPr>
          <w:cantSplit/>
        </w:trPr>
        <w:tc>
          <w:tcPr>
            <w:tcW w:type="dxa" w:w="346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North Korea (contingent in Russia)</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40.0</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0.60</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0.10</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0.5</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2.0</w:t>
            </w:r>
          </w:p>
        </w:tc>
        <w:tc>
          <w:tcPr>
            <w:tcW w:type="dxa" w:w="154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0.5</w:t>
            </w:r>
          </w:p>
        </w:tc>
      </w:tr>
      <w:tr>
        <w:trPr>
          <w:cantSplit/>
        </w:trPr>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Belarus</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25.0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0.30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0.20</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0.3</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1.5</w:t>
            </w:r>
          </w:p>
        </w:tc>
        <w:tc>
          <w:tcPr>
            <w:tcW w:type="dxa" w:w="154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0.2</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156"/>
        <w:gridCol w:w="771"/>
        <w:gridCol w:w="771"/>
        <w:gridCol w:w="1156"/>
        <w:gridCol w:w="771"/>
        <w:gridCol w:w="1544"/>
      </w:tblGrid>
      <w:tr>
        <w:trPr>
          <w:tblHeader/>
        </w:trPr>
        <w:tc>
          <w:tcPr>
            <w:tcW w:type="dxa" w:w="346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Member</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MPI without alliances</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ρ</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 thousand km</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λ</w:t>
            </w:r>
          </w:p>
        </w:tc>
        <w:tc>
          <w:tcPr>
            <w:tcW w:type="dxa" w:w="154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Contribution, c.u.</w:t>
            </w:r>
          </w:p>
        </w:tc>
      </w:tr>
      <w:tr>
        <w:trPr>
          <w:cantSplit/>
        </w:trPr>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Ukraine</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46.8</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1.00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1.00</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2.5</w:t>
            </w:r>
          </w:p>
        </w:tc>
        <w:tc>
          <w:tcPr>
            <w:tcW w:type="dxa" w:w="154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16.5</w:t>
            </w:r>
          </w:p>
        </w:tc>
      </w:tr>
    </w:tbl>
    <w:p>
      <w:pPr>
        <w:spacing w:after="120"/>
      </w:pPr>
    </w:p>
    <w:p>
      <w:pPr>
        <w:spacing w:after="120" w:line="288"/>
        <w:jc w:val="both"/>
      </w:pPr>
      <w:r>
        <w:rPr>
          <w:b/>
          <w:bCs/>
        </w:rPr>
        <w:t xml:space="preserve">Current situation (Ukraine's allies supply weapons but not troops):</w:t>
      </w:r>
      <w:r>
        <w:t xml:space="preserve"> 27.8 versus 16.5 c.u., ratio ≈ 1.68 : 1. Allied supplies enter Ukraine's sustainment (reserve and replacement), not its numbers. The defence coefficient of this war is measured from its own losses (from 13.10.2026; previously it was set by the assumption d ≈ 2.5–3 at α ≈ 1.3): in 2024–2025 Russia lost 10,084 units of equipment, Ukraine — 6,023 (Oryx), d = 1.7, and at α = 1.0 a ratio of 1.70 : 1 is required. The actual ratio falls short of the required one by hundredths, so the model predicts a positional war of attrition with slow progress by the attacker. This matches the course of the war in 2023–2026, but is not an independent validation: d is taken from the same war, and the conclusion rests on a slim margin (at d = 1.67 without rounding it changes) — document 6, section 7.7. Allowing for model error (σ = 2.0), the probability that Russia's advantage is sufficient is 50%: the model does not distinguish a positional war from a breakthrough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156"/>
        <w:gridCol w:w="771"/>
        <w:gridCol w:w="771"/>
        <w:gridCol w:w="1156"/>
        <w:gridCol w:w="771"/>
        <w:gridCol w:w="1544"/>
      </w:tblGrid>
      <w:tr>
        <w:trPr>
          <w:tblHeader/>
        </w:trPr>
        <w:tc>
          <w:tcPr>
            <w:tcW w:type="dxa" w:w="346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Member</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MPI without alliances</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ρ</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 thousand km</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λ</w:t>
            </w:r>
          </w:p>
        </w:tc>
        <w:tc>
          <w:tcPr>
            <w:tcW w:type="dxa" w:w="154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Contribution, c.u.</w:t>
            </w:r>
          </w:p>
        </w:tc>
      </w:tr>
      <w:tr>
        <w:trPr>
          <w:cantSplit/>
        </w:trPr>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Ukraine</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46.8</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1.00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1.00</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2.5</w:t>
            </w:r>
          </w:p>
        </w:tc>
        <w:tc>
          <w:tcPr>
            <w:tcW w:type="dxa" w:w="154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16.5</w:t>
            </w:r>
          </w:p>
        </w:tc>
      </w:tr>
      <w:tr>
        <w:trPr>
          <w:cantSplit/>
        </w:trPr>
        <w:tc>
          <w:tcPr>
            <w:tcW w:type="dxa" w:w="346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United Kingdom (post-ceasefire forces)</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60.2</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0.60</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0.10</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2.0</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7.0</w:t>
            </w:r>
          </w:p>
        </w:tc>
        <w:tc>
          <w:tcPr>
            <w:tcW w:type="dxa" w:w="154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1.7</w:t>
            </w:r>
          </w:p>
        </w:tc>
      </w:tr>
      <w:tr>
        <w:trPr>
          <w:cantSplit/>
        </w:trPr>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France (post-ceasefire forces)</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65.4</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0.60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0.10</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7.0</w:t>
            </w:r>
          </w:p>
        </w:tc>
        <w:tc>
          <w:tcPr>
            <w:tcW w:type="dxa" w:w="154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2.3</w:t>
            </w:r>
          </w:p>
        </w:tc>
      </w:tr>
      <w:tr>
        <w:trPr>
          <w:cantSplit/>
        </w:trPr>
        <w:tc>
          <w:tcPr>
            <w:tcW w:type="dxa" w:w="346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Germany (on adjacent territory)</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56.9</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0.60</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0.05</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1.5</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4.0</w:t>
            </w:r>
          </w:p>
        </w:tc>
        <w:tc>
          <w:tcPr>
            <w:tcW w:type="dxa" w:w="154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0.6</w:t>
            </w:r>
          </w:p>
        </w:tc>
      </w:tr>
    </w:tbl>
    <w:p>
      <w:pPr>
        <w:spacing w:after="120"/>
      </w:pPr>
    </w:p>
    <w:p>
      <w:pPr>
        <w:spacing w:after="120" w:line="288"/>
        <w:jc w:val="both"/>
      </w:pPr>
      <w:r>
        <w:rPr>
          <w:b/>
          <w:bCs/>
        </w:rPr>
        <w:t xml:space="preserve">After a ceasefire with the deployment of “coalition of the willing” forces:</w:t>
      </w:r>
      <w:r>
        <w:t xml:space="preserve"> the ratio falls to ≈ 1.32 : 1. The main effect of the guarantees is not an increase in c.u. but a change in ρ: an attack on territory where British and French troops are stationed becomes an attack on nuclear powers. The programme reflects this through the deterrence axis: the “offensive” scenario objective is blocked while coalition forces with nuclear participants are in the area.</w:t>
      </w:r>
    </w:p>
    <w:p>
      <w:pPr>
        <w:pStyle w:val="Heading2"/>
      </w:pPr>
      <w:bookmarkStart w:name="_Toc78" w:id="78"/>
      <w:r>
        <w:t xml:space="preserve">5.3. Russia and Belarus against European NATO members (theatre — the Baltics)</w:t>
      </w:r>
      <w:bookmarkEnd w:id="7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156"/>
        <w:gridCol w:w="771"/>
        <w:gridCol w:w="771"/>
        <w:gridCol w:w="1156"/>
        <w:gridCol w:w="771"/>
        <w:gridCol w:w="1544"/>
      </w:tblGrid>
      <w:tr>
        <w:trPr>
          <w:tblHeader/>
        </w:trPr>
        <w:tc>
          <w:tcPr>
            <w:tcW w:type="dxa" w:w="346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Member</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MPI without alliances</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ρ</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 thousand km</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λ</w:t>
            </w:r>
          </w:p>
        </w:tc>
        <w:tc>
          <w:tcPr>
            <w:tcW w:type="dxa" w:w="154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Contribution, c.u.</w:t>
            </w:r>
          </w:p>
        </w:tc>
      </w:tr>
      <w:tr>
        <w:trPr>
          <w:cantSplit/>
        </w:trPr>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Russia</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65.3</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1.00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0.40</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0.3</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5.0</w:t>
            </w:r>
          </w:p>
        </w:tc>
        <w:tc>
          <w:tcPr>
            <w:tcW w:type="dxa" w:w="154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18.8</w:t>
            </w:r>
          </w:p>
        </w:tc>
      </w:tr>
      <w:tr>
        <w:trPr>
          <w:cantSplit/>
        </w:trPr>
        <w:tc>
          <w:tcPr>
            <w:tcW w:type="dxa" w:w="346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Belarus</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25.0</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0.70</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0.50</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0.2</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1.5</w:t>
            </w:r>
          </w:p>
        </w:tc>
        <w:tc>
          <w:tcPr>
            <w:tcW w:type="dxa" w:w="154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1.4</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156"/>
        <w:gridCol w:w="771"/>
        <w:gridCol w:w="771"/>
        <w:gridCol w:w="1156"/>
        <w:gridCol w:w="771"/>
        <w:gridCol w:w="1544"/>
      </w:tblGrid>
      <w:tr>
        <w:trPr>
          <w:tblHeader/>
        </w:trPr>
        <w:tc>
          <w:tcPr>
            <w:tcW w:type="dxa" w:w="346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Member</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MPI without alliances</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ρ</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 thousand km</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λ</w:t>
            </w:r>
          </w:p>
        </w:tc>
        <w:tc>
          <w:tcPr>
            <w:tcW w:type="dxa" w:w="154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Contribution, c.u.</w:t>
            </w:r>
          </w:p>
        </w:tc>
      </w:tr>
      <w:tr>
        <w:trPr>
          <w:cantSplit/>
        </w:trPr>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Poland</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55.0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0.95</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0.60</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0.3</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3.0</w:t>
            </w:r>
          </w:p>
        </w:tc>
        <w:tc>
          <w:tcPr>
            <w:tcW w:type="dxa" w:w="154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13.9</w:t>
            </w:r>
          </w:p>
        </w:tc>
      </w:tr>
      <w:tr>
        <w:trPr>
          <w:cantSplit/>
        </w:trPr>
        <w:tc>
          <w:tcPr>
            <w:tcW w:type="dxa" w:w="346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the Baltic states, Finland, Sweden (together)</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50.0</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0.95</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0.60</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0.3</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3.0</w:t>
            </w:r>
          </w:p>
        </w:tc>
        <w:tc>
          <w:tcPr>
            <w:tcW w:type="dxa" w:w="154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10.3</w:t>
            </w:r>
          </w:p>
        </w:tc>
      </w:tr>
      <w:tr>
        <w:trPr>
          <w:cantSplit/>
        </w:trPr>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Germany</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56.9</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0.85</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0.30</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4.0</w:t>
            </w:r>
          </w:p>
        </w:tc>
        <w:tc>
          <w:tcPr>
            <w:tcW w:type="dxa" w:w="154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6.0</w:t>
            </w:r>
          </w:p>
        </w:tc>
      </w:tr>
      <w:tr>
        <w:trPr>
          <w:cantSplit/>
        </w:trPr>
        <w:tc>
          <w:tcPr>
            <w:tcW w:type="dxa" w:w="346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United Kingdom</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60.2</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0.85</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0.25</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1.8</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7.0</w:t>
            </w:r>
          </w:p>
        </w:tc>
        <w:tc>
          <w:tcPr>
            <w:tcW w:type="dxa" w:w="154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6.0</w:t>
            </w:r>
          </w:p>
        </w:tc>
      </w:tr>
      <w:tr>
        <w:trPr>
          <w:cantSplit/>
        </w:trPr>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France</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65.4</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0.80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0.25</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1.8</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7.0</w:t>
            </w:r>
          </w:p>
        </w:tc>
        <w:tc>
          <w:tcPr>
            <w:tcW w:type="dxa" w:w="154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7.8</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156"/>
        <w:gridCol w:w="771"/>
        <w:gridCol w:w="771"/>
        <w:gridCol w:w="1156"/>
        <w:gridCol w:w="771"/>
        <w:gridCol w:w="1544"/>
      </w:tblGrid>
      <w:tr>
        <w:trPr>
          <w:tblHeader/>
        </w:trPr>
        <w:tc>
          <w:tcPr>
            <w:tcW w:type="dxa" w:w="346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Member</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MPI without alliances</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ρ</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 thousand km</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λ</w:t>
            </w:r>
          </w:p>
        </w:tc>
        <w:tc>
          <w:tcPr>
            <w:tcW w:type="dxa" w:w="154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Contribution, c.u.</w:t>
            </w:r>
          </w:p>
        </w:tc>
      </w:tr>
      <w:tr>
        <w:trPr>
          <w:cantSplit/>
        </w:trPr>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United States</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90.6</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0.70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0.15</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7.0</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12.0</w:t>
            </w:r>
          </w:p>
        </w:tc>
        <w:tc>
          <w:tcPr>
            <w:tcW w:type="dxa" w:w="154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13.3</w:t>
            </w:r>
          </w:p>
        </w:tc>
      </w:tr>
    </w:tbl>
    <w:p>
      <w:pPr>
        <w:spacing w:after="120"/>
      </w:pPr>
    </w:p>
    <w:p>
      <w:pPr>
        <w:spacing w:after="120" w:line="288"/>
        <w:jc w:val="both"/>
      </w:pPr>
      <w:r>
        <w:rPr>
          <w:b/>
          <w:bCs/>
        </w:rPr>
        <w:t xml:space="preserve">Result:</w:t>
      </w:r>
      <w:r>
        <w:t xml:space="preserve"> European allies against Russia and Belarus — ≈ 2.18 : 1, with US participation — ≈ 2.84 : 1. The share of Russia's forces available for this theatre is limited by the war with Ukraine (s = 0.4). However, at the outset European forces deploy with a delay τ, and Russia can act suddenly. The programme therefore builds a balance curve over time: in the first 7–14 days the local ratio at the Suwałki Gap may favour the attacker, and by day 30 — favour NATO. This explains the priority of forward presence (Germany's brigade in Lithuania) and air defence of the eastern flank.</w:t>
      </w:r>
    </w:p>
    <w:p>
      <w:pPr>
        <w:pStyle w:val="Heading1"/>
        <w:pageBreakBefore/>
      </w:pPr>
      <w:bookmarkStart w:name="_Toc79" w:id="79"/>
      <w:r>
        <w:t xml:space="preserve">6. Function in the programme interface</w:t>
      </w:r>
      <w:bookmarkEnd w:id="79"/>
    </w:p>
    <w:p>
      <w:pPr>
        <w:pStyle w:val="Heading2"/>
      </w:pPr>
      <w:bookmarkStart w:name="_Toc80" w:id="80"/>
      <w:r>
        <w:t xml:space="preserve">6.1. Coalition builder</w:t>
      </w:r>
      <w:bookmarkEnd w:id="80"/>
    </w:p>
    <w:p>
      <w:pPr>
        <w:pStyle w:val="ListParagraph"/>
        <w:numPr>
          <w:ilvl w:val="0"/>
          <w:numId w:val="3"/>
        </w:numPr>
        <w:spacing w:after="60" w:line="276"/>
      </w:pPr>
      <w:r>
        <w:rPr>
          <w:b/>
          <w:bCs/>
        </w:rPr>
        <w:t xml:space="preserve">Selecting a ready-made coalition</w:t>
      </w:r>
      <w:r>
        <w:t xml:space="preserve"> from the menu (section 4) or assembling your own by dragging countries onto sides A and B.</w:t>
      </w:r>
    </w:p>
    <w:p>
      <w:pPr>
        <w:pStyle w:val="ListParagraph"/>
        <w:numPr>
          <w:ilvl w:val="0"/>
          <w:numId w:val="3"/>
        </w:numPr>
        <w:spacing w:after="60" w:line="276"/>
      </w:pPr>
      <w:r>
        <w:rPr>
          <w:b/>
          <w:bCs/>
        </w:rPr>
        <w:t xml:space="preserve">For each member</w:t>
      </w:r>
      <w:r>
        <w:t xml:space="preserve"> — sliders for ρ (reliability), s (force share), τ (delay, days), a choice of contribution types (troops, supply, intelligence, territory, finances) and automatic calculation of D from the theatre map.</w:t>
      </w:r>
    </w:p>
    <w:p>
      <w:pPr>
        <w:pStyle w:val="ListParagraph"/>
        <w:numPr>
          <w:ilvl w:val="0"/>
          <w:numId w:val="3"/>
        </w:numPr>
        <w:spacing w:after="60" w:line="276"/>
      </w:pPr>
      <w:r>
        <w:rPr>
          <w:b/>
          <w:bCs/>
        </w:rPr>
        <w:t xml:space="preserve">Hints:</w:t>
      </w:r>
      <w:r>
        <w:t xml:space="preserve"> the programme suggests allies under the parties' treaties and warns about a conflict of interest (for example, Greece and Türkiye in the same NATO bloc, Armenia in the CSTO).</w:t>
      </w:r>
    </w:p>
    <w:p>
      <w:pPr>
        <w:pStyle w:val="ListParagraph"/>
        <w:numPr>
          <w:ilvl w:val="0"/>
          <w:numId w:val="3"/>
        </w:numPr>
        <w:spacing w:after="60" w:line="276"/>
      </w:pPr>
      <w:r>
        <w:rPr>
          <w:b/>
          <w:bCs/>
        </w:rPr>
        <w:t xml:space="preserve">“What if the ally does not join” toggle</w:t>
      </w:r>
      <w:r>
        <w:t xml:space="preserve"> — instant recalculation without the member.</w:t>
      </w:r>
    </w:p>
    <w:p>
      <w:pPr>
        <w:pStyle w:val="ListParagraph"/>
        <w:numPr>
          <w:ilvl w:val="0"/>
          <w:numId w:val="3"/>
        </w:numPr>
        <w:spacing w:after="60" w:line="276"/>
      </w:pPr>
      <w:r>
        <w:rPr>
          <w:b/>
          <w:bCs/>
        </w:rPr>
        <w:t xml:space="preserve">Timeline</w:t>
      </w:r>
      <w:r>
        <w:t xml:space="preserve"> shows the entry of allies (τ) and the change in the balance by day.</w:t>
      </w:r>
    </w:p>
    <w:p>
      <w:pPr>
        <w:pStyle w:val="Heading2"/>
      </w:pPr>
      <w:bookmarkStart w:name="_Toc81" w:id="81"/>
      <w:r>
        <w:t xml:space="preserve">6.2. Visualisation</w:t>
      </w:r>
      <w:bookmarkEnd w:id="81"/>
    </w:p>
    <w:p>
      <w:pPr>
        <w:pStyle w:val="ListParagraph"/>
        <w:numPr>
          <w:ilvl w:val="0"/>
          <w:numId w:val="3"/>
        </w:numPr>
        <w:spacing w:after="60" w:line="276"/>
      </w:pPr>
      <w:r>
        <w:t xml:space="preserve">Balance column: the contribution of each member of a side, highlighting own forces and allies.</w:t>
      </w:r>
    </w:p>
    <w:p>
      <w:pPr>
        <w:pStyle w:val="ListParagraph"/>
        <w:numPr>
          <w:ilvl w:val="0"/>
          <w:numId w:val="3"/>
        </w:numPr>
        <w:spacing w:after="60" w:line="276"/>
      </w:pPr>
      <w:r>
        <w:t xml:space="preserve">Alliance graph: countries are nodes, treaties are edges (thickness = ρ, colour = commitment class).</w:t>
      </w:r>
    </w:p>
    <w:p>
      <w:pPr>
        <w:pStyle w:val="ListParagraph"/>
        <w:numPr>
          <w:ilvl w:val="0"/>
          <w:numId w:val="3"/>
        </w:numPr>
        <w:spacing w:after="60" w:line="276"/>
      </w:pPr>
      <w:r>
        <w:t xml:space="preserve">Theatre map with the participants' projection radii λ.</w:t>
      </w:r>
    </w:p>
    <w:p>
      <w:pPr>
        <w:pStyle w:val="ListParagraph"/>
        <w:numPr>
          <w:ilvl w:val="0"/>
          <w:numId w:val="3"/>
        </w:numPr>
        <w:spacing w:after="60" w:line="276"/>
      </w:pPr>
      <w:r>
        <w:t xml:space="preserve">The force ratio curve over time and the outcome probabilities from the battle model.</w:t>
      </w:r>
    </w:p>
    <w:p>
      <w:pPr>
        <w:pStyle w:val="Heading2"/>
      </w:pPr>
      <w:bookmarkStart w:name="_Toc82" w:id="82"/>
      <w:r>
        <w:t xml:space="preserve">6.3. Data and updates</w:t>
      </w:r>
      <w:bookmarkEnd w:id="82"/>
    </w:p>
    <w:p>
      <w:pPr>
        <w:pStyle w:val="ListParagraph"/>
        <w:numPr>
          <w:ilvl w:val="0"/>
          <w:numId w:val="3"/>
        </w:numPr>
        <w:spacing w:after="60" w:line="276"/>
      </w:pPr>
      <w:r>
        <w:t xml:space="preserve">Reference of treaties (parties, date, class, assistance article, link to the text).</w:t>
      </w:r>
    </w:p>
    <w:p>
      <w:pPr>
        <w:pStyle w:val="ListParagraph"/>
        <w:numPr>
          <w:ilvl w:val="0"/>
          <w:numId w:val="3"/>
        </w:numPr>
        <w:spacing w:after="60" w:line="276"/>
      </w:pPr>
      <w:r>
        <w:t xml:space="preserve">An event log of developments confirming or refuting reliability (participation in wars, exercises, deployments), with automatic correction of the initial ρ.</w:t>
      </w:r>
    </w:p>
    <w:p>
      <w:pPr>
        <w:pStyle w:val="ListParagraph"/>
        <w:numPr>
          <w:ilvl w:val="0"/>
          <w:numId w:val="3"/>
        </w:numPr>
        <w:spacing w:after="60" w:line="276"/>
      </w:pPr>
      <w:r>
        <w:t xml:space="preserve">Expert adjustment of ρ with mandatory justification and versioning.</w:t>
      </w:r>
    </w:p>
    <w:p>
      <w:pPr>
        <w:pStyle w:val="Heading1"/>
        <w:pageBreakBefore/>
      </w:pPr>
      <w:bookmarkStart w:name="_Toc83" w:id="83"/>
      <w:r>
        <w:t xml:space="preserve">Sources</w:t>
      </w:r>
      <w:bookmarkEnd w:id="83"/>
    </w:p>
    <w:p>
      <w:pPr>
        <w:pStyle w:val="ListParagraph"/>
        <w:numPr>
          <w:ilvl w:val="0"/>
          <w:numId w:val="3"/>
        </w:numPr>
        <w:spacing w:after="60" w:line="276"/>
      </w:pPr>
      <w:r>
        <w:t xml:space="preserve">Paris Declaration of the “coalition of the willing”, 6 January 2026 (Al Jazeera, Euronews)</w:t>
      </w:r>
    </w:p>
    <w:p>
      <w:pPr>
        <w:pStyle w:val="ListParagraph"/>
        <w:numPr>
          <w:ilvl w:val="0"/>
          <w:numId w:val="3"/>
        </w:numPr>
        <w:spacing w:after="60" w:line="276"/>
      </w:pPr>
      <w:r>
        <w:t xml:space="preserve">NATO summit in Ankara, July 2026 (IDSA, Clifford Chance, War on the Rocks, Steptoe)</w:t>
      </w:r>
    </w:p>
    <w:p>
      <w:pPr>
        <w:pStyle w:val="ListParagraph"/>
        <w:numPr>
          <w:ilvl w:val="0"/>
          <w:numId w:val="3"/>
        </w:numPr>
        <w:spacing w:after="60" w:line="276"/>
      </w:pPr>
      <w:r>
        <w:t xml:space="preserve">Comprehensive Strategic Partnership Treaty between Russia and North Korea (2024); estimates of the North Korean contingent — Ministry of Defence of the Republic of Korea, HUR of Ukraine (2026)</w:t>
      </w:r>
    </w:p>
    <w:p>
      <w:pPr>
        <w:pStyle w:val="ListParagraph"/>
        <w:numPr>
          <w:ilvl w:val="0"/>
          <w:numId w:val="3"/>
        </w:numPr>
        <w:spacing w:after="60" w:line="276"/>
      </w:pPr>
      <w:r>
        <w:t xml:space="preserve">Comprehensive Strategic Partnership Treaty between Russia and Iran (January 2025)</w:t>
      </w:r>
    </w:p>
    <w:p>
      <w:pPr>
        <w:pStyle w:val="ListParagraph"/>
        <w:numPr>
          <w:ilvl w:val="0"/>
          <w:numId w:val="3"/>
        </w:numPr>
        <w:spacing w:after="60" w:line="276"/>
      </w:pPr>
      <w:r>
        <w:t xml:space="preserve">Strategic Mutual Defence Agreement between Pakistan and Saudi Arabia (September 2025)</w:t>
      </w:r>
    </w:p>
    <w:p>
      <w:pPr>
        <w:pStyle w:val="ListParagraph"/>
        <w:numPr>
          <w:ilvl w:val="0"/>
          <w:numId w:val="3"/>
        </w:numPr>
        <w:spacing w:after="60" w:line="276"/>
      </w:pPr>
      <w:r>
        <w:t xml:space="preserve">Euronews: Belarusian exercises near the Suwałki Gap (September 2026); agreement between the United States, Denmark and Greenland (CFR, September 2026)</w:t>
      </w:r>
    </w:p>
    <w:p>
      <w:pPr>
        <w:pStyle w:val="ListParagraph"/>
        <w:numPr>
          <w:ilvl w:val="0"/>
          <w:numId w:val="3"/>
        </w:numPr>
        <w:spacing w:after="60" w:line="276"/>
      </w:pPr>
      <w:r>
        <w:t xml:space="preserve">SIPRI, IISS — data on expenditure and on the participants' forces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761"/>
        <w:sz w:val="16"/>
        <w:szCs w:val="16"/>
      </w:rPr>
      <w:fldChar w:fldCharType="begin"/>
      <w:instrText xml:space="preserve">PAGE</w:instrText>
      <w:fldChar w:fldCharType="separate"/>
      <w:fldChar w:fldCharType="end"/>
    </w:r>
    <w:r>
      <w:rPr>
        <w:color w:val="5F6761"/>
        <w:sz w:val="16"/>
        <w:szCs w:val="16"/>
      </w:rPr>
      <w:t xml:space="preserve"> / </w:t>
    </w:r>
    <w:r>
      <w:rPr>
        <w:color w:val="5F67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761"/>
        <w:sz w:val="16"/>
        <w:szCs w:val="16"/>
      </w:rPr>
      <w:t xml:space="preserve">MPI Lanchester–Osipov · Alliances and coalitions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1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F1B"/>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9F2F27"/>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1A1F1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MPI Lanchester–Osipov · Alliances and coalitions</dc:title>
  <dc:creator>MPI Lanchester–Osipov</dc:creator>
  <cp:lastModifiedBy>Un-named</cp:lastModifiedBy>
  <cp:revision>1</cp:revision>
  <dcterms:created xsi:type="dcterms:W3CDTF">2026-10-23T17:29:08.717Z</dcterms:created>
  <dcterms:modified xsi:type="dcterms:W3CDTF">2026-10-23T17:29:08.717Z</dcterms:modified>
</cp:coreProperties>
</file>

<file path=docProps/custom.xml><?xml version="1.0" encoding="utf-8"?>
<Properties xmlns="http://schemas.openxmlformats.org/officeDocument/2006/custom-properties" xmlns:vt="http://schemas.openxmlformats.org/officeDocument/2006/docPropsVTypes"/>
</file>