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2d3bdc764b64aa6b</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84.0% of “country × indicator” cells (8,497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75.7, Russia 70.4;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64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1207</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3109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2714</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32%</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64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64 indicators × 40 countries (2,622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52.1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73.5–76.8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56.3–59.1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55.9–59.0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54.6–57.6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54.0–56.9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6–10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52.8–56.2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52.5–55.5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50.2–53.9</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48.9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47.1–50.7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46.7–50.1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44.4–47.7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14–20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43.6–47.5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39.7–43.2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38.0–41.5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37.4–41.2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36.5–39.7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35.4–39.4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35.4–39.0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33.8–38.0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29.5–33.4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22.4–26.6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21.5–25.4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21.3–25.7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17.4–21.5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17.0–21.0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13.0–17.1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11.4–15.5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4.5 points, and in 90% of runs their places are shuffled within the range 4–11. Imputed values are noticeable only for countries with poor open data: North Korea, Rwanda, Afghanistan, Taiwan, Eritrea.</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(59% / 2% / 40%)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0.94</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2.13</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(2.13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84.0%</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estimate of unmeasurable indicators (training, command, network-centricity, electronic warfare, production) brought Ukraine's index closer to the expert one (35.7 → 45.2 against 47.3 for the experts) and cut Russia's superiority to 2.52 : 1, but it is still above the required 1.70 : 1, and the model still predicts the success of an offensive. At the same time Pakistan and Iran rose: the case «India against Pakistan» became wrong (0.94 : 1), and Iran (44.7) is rated above the experts' figure (31.5). The judgement of a single model improves agreement with the experts on average (Spearman 0.76 → 0.81) but gives no predictive power. That needs a real panel with independent assessments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0.55</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proximity, history and regime (AUC 0.96), while MPI indicators — closeness of forces and strength of the stronger side — do not improve the out-of-sample forecast (−68.61 versus −66.65), so by the rule they are not included in the monitor. Caveat (21.10.2026): the simple baseline “proximity + history + conflict last year” gives almost the same AUC (0.958 versus 0.962); the full model’s gain of 1.3 is below the threshold of 2 — predictability comes from geography and history, not from the model. This is consistent with the check on wars: the index describes resources, not decisions about war or its outcome. New hot spots are predicted worse (AUC 0.75 over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(64,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2026-10-23T17:29:10.135Z</dcterms:created>
  <dcterms:modified xsi:type="dcterms:W3CDTF">2026-10-23T17:29:10.135Z</dcterms:modified>
</cp:coreProperties>
</file>

<file path=docProps/custom.xml><?xml version="1.0" encoding="utf-8"?>
<Properties xmlns="http://schemas.openxmlformats.org/officeDocument/2006/custom-properties" xmlns:vt="http://schemas.openxmlformats.org/officeDocument/2006/docPropsVTypes"/>
</file>