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4.6. Effectiveness from open country-level features (CDB90 and UCDP GED)</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5. Analysis of common claims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6. Scientific novelty</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6.1. Not new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6.2. Possibly new (priority must be confirmed by a literature review)</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6.3. Where the gap is</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7. Competitor: TENET Intelligence MCI</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8. Plan</w:t>
            </w:r>
            <w:r>
              <w:tab/>
            </w:r>
            <w:r>
              <w:fldChar w:fldCharType="begin" w:dirty="true"/>
              <w:instrText xml:space="preserve">PAGEREF _Toc213 \h</w:instrText>
              <w:fldChar w:fldCharType="separate"/>
              <w:fldChar w:fldCharType="end"/>
            </w:r>
          </w:hyperlink>
        </w:p>
        <w:p>
          <w:pPr>
            <w:pStyle w:val="TOC1"/>
            <w:tabs>
              <w:tab w:val="right" w:pos="9638" w:leader="dot"/>
            </w:tabs>
          </w:pPr>
          <w:hyperlink w:history="1" w:anchor="_Toc214">
            <w:r>
              <w:t xml:space="preserve">References</w:t>
            </w:r>
            <w:r>
              <w:tab/>
            </w:r>
            <w:r>
              <w:fldChar w:fldCharType="begin" w:dirty="true"/>
              <w:instrText xml:space="preserve">PAGEREF _Toc214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Open country-level features capture effectiveness only in part and do not transfer.</w:t>
      </w:r>
      <w:r>
        <w:t xml:space="preserve"> GDP per capita, democracy and mechanisation add +0.022 per battle to the prediction of 1900–1973 battle outcomes on top of numbers (8 times less than the compilers’ factors); on the independent UCDP GED base for 1989–2024 the transfer was not confirmed (Spearman +0.248, n = 24).</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2"/>
      </w:pPr>
      <w:bookmarkStart w:name="_Toc206" w:id="206"/>
      <w:r>
        <w:t xml:space="preserve">4.6. Effectiveness from open country-level features (CDB90 and UCDP GED)</w:t>
      </w:r>
      <w:bookmarkEnd w:id="206"/>
    </w:p>
    <w:p>
      <w:pPr>
        <w:spacing w:after="120" w:line="288"/>
        <w:jc w:val="both"/>
      </w:pPr>
      <w:r>
        <w:t xml:space="preserve">Section 4.4 showed that effectiveness factors explain the outcome, but their codes were assigned by the compilers after the battles. Can they be replaced by features known before the battle? Protocol acd9792 was fixed before the calculation. Side features (attacker minus defender, last value within 5 years before the year of the battle): ln GDP per capita (Maddison), electoral democracy (V-Dem), ln energy consumption per soldier (CoW NMC — a measure of mechanisation), combat experience in the same war. Sample: n = 354 battles of 1900–1973 where both sides are matched to countries; the measure and cross-validation are as in Section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−0.687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−0.679</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+0.008 [+0.004;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GDP per capita, democracy, mechanisation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+0.022 [+0.015; +0.027]</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combat experience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−0.656</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+0.001 [−0.004; +0.004]</w:t>
            </w:r>
          </w:p>
        </w:tc>
      </w:tr>
    </w:tbl>
    <w:p>
      <w:pPr>
        <w:spacing w:after="120"/>
      </w:pPr>
    </w:p>
    <w:p>
      <w:pPr>
        <w:spacing w:after="120" w:line="288"/>
        <w:jc w:val="both"/>
      </w:pPr>
      <w:r>
        <w:t xml:space="preserve">Rule 1 (country features add at least 0.02 on top of numbers) is </w:t>
      </w:r>
      <w:r>
        <w:rPr>
          <w:b/>
          <w:bCs/>
        </w:rPr>
        <w:t xml:space="preserve">met</w:t>
      </w:r>
      <w:r>
        <w:t xml:space="preserve">: +0.022. This is the project’s first positive predictive finding on top of numbers, but it is roughly 8 times smaller than the upper bound from the compilers’ factors (+0.180). Rule 2 (combat experience beyond the country) is not met. The out-of-sample share of variance explained in the loss ratio rose from 0.01 (numbers) to 0.20 (country features) — the country explains a fifth of the spread, as in the literature (Biddle, Reiter and Stam): losses are determined by how forces fight, not by how many there are.</w:t>
      </w:r>
    </w:p>
    <w:p>
      <w:pPr>
        <w:spacing w:after="120" w:line="288"/>
        <w:jc w:val="both"/>
      </w:pPr>
      <w:r>
        <w:rPr>
          <w:b/>
          <w:bCs/>
        </w:rPr>
        <w:t xml:space="preserve">Independent check on UCDP GED v25.1.</w:t>
      </w:r>
      <w:r>
        <w:t xml:space="preserve"> The loss-exchange model (three features, no intercept, trained on CDB90 only, n = 354) was applied to interstate dyad-years of 1989–2024 (losses on both sides, at least 25 deaths): 24 dyad-years in 9 dyads, 12 of them India — Pakistan. The protocol with its rule (rank correlation of at least 0.30 and the lower bound of a dyad bootstrap above zero) was committed before the calculation. Result: Spearman +0.248 [−0.596; +0.627], the sign of the exchange guessed in 50% of cases; on the modern wars of 2018–2025 the models trained on CDB90 gave AUC 0.50 (E1) and 0.38 (E2) against “superiority sufficed”. </w:t>
      </w:r>
      <w:r>
        <w:rPr>
          <w:b/>
          <w:bCs/>
        </w:rPr>
        <w:t xml:space="preserve">The transfer is not confirmed.</w:t>
      </w:r>
    </w:p>
    <w:p>
      <w:pPr>
        <w:spacing w:after="120" w:line="288"/>
        <w:jc w:val="both"/>
      </w:pPr>
      <w:r>
        <w:rPr>
          <w:b/>
          <w:bCs/>
        </w:rPr>
        <w:t xml:space="preserve">A second independent base — Correlates of War wars (Inter-State War Data v4.0).</w:t>
      </w:r>
      <w:r>
        <w:t xml:space="preserve"> ACLED is available only with a key, so the COW interstate wars with participants’ losses were used: the unit is a war, features are taken for the lead states of the sides, the model is the same (trained on CDB90), and the protocol was fixed before the calculation. The main sample is wars since 1974, after CDB90 ends (17 wars): Spearman +0.520 [−0.014; +0.837], the sign guessed in 59% of cases. The direction matches CDB90 (the richer and more democratic side bears relatively smaller losses), the lower bound of the interval is slightly below zero, and the rule (at least 0.30 and the bound above zero) is </w:t>
      </w:r>
      <w:r>
        <w:rPr>
          <w:b/>
          <w:bCs/>
        </w:rPr>
        <w:t xml:space="preserve">not met</w:t>
      </w:r>
      <w:r>
        <w:t xml:space="preserve">. Without the four wars with a coalition of four or more states (the Gulf War, Kosovo, Afghanistan, Iraq) the relationship disappears: +0.152 (n = 14). For the wars of 1946–1973, where the era overlaps with CDB90 and there is no independence, Spearman is +0.679. This agrees with the literature: part of the effect is asymmetric wars of rich states against poor ones.</w:t>
      </w:r>
    </w:p>
    <w:p>
      <w:pPr>
        <w:pBdr>
          <w:left w:val="single" w:color="9F2F27" w:sz="18" w:space="8"/>
        </w:pBdr>
        <w:shd w:fill="F4EEE9" w:color="auto" w:val="clear"/>
        <w:spacing w:after="160" w:before="120" w:line="276"/>
        <w:ind w:left="200" w:right="120"/>
      </w:pPr>
      <w:r>
        <w:rPr>
          <w:b/>
          <w:bCs/>
          <w:color w:val="9F2F27"/>
        </w:rPr>
        <w:t xml:space="preserve">Conclusion. </w:t>
      </w:r>
      <w:r>
        <w:t xml:space="preserve">This is not a refutation: 24 cases in 9 dependent dyads give too little power, while on the COW wars the direction matches but the relationship rests on wars with coalitions. Therefore country features (GDP per capita, democracy, mechanisation) are not entered into the index: they capture part of effectiveness in the 1900–1973 era and have not yet shown skill on modern wars. For the effectiveness of modern armies, expert assessments are still needed (Delphi panel, modules M5–M6).</w:t>
      </w:r>
    </w:p>
    <w:p>
      <w:pPr>
        <w:pStyle w:val="Heading1"/>
        <w:pageBreakBefore/>
      </w:pPr>
      <w:bookmarkStart w:name="_Toc207" w:id="207"/>
      <w:r>
        <w:t xml:space="preserve">5. Analysis of common claims</w:t>
      </w:r>
      <w:bookmarkEnd w:id="207"/>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8" w:id="208"/>
      <w:r>
        <w:t xml:space="preserve">6. Scientific novelty</w:t>
      </w:r>
      <w:bookmarkEnd w:id="208"/>
    </w:p>
    <w:p>
      <w:pPr>
        <w:pStyle w:val="Heading2"/>
      </w:pPr>
      <w:bookmarkStart w:name="_Toc209" w:id="209"/>
      <w:r>
        <w:t xml:space="preserve">6.1. Not new</w:t>
      </w:r>
      <w:bookmarkEnd w:id="209"/>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10" w:id="210"/>
      <w:r>
        <w:t xml:space="preserve">6.2. Possibly new (priority must be confirmed by a literature review)</w:t>
      </w:r>
      <w:bookmarkEnd w:id="210"/>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1" w:id="211"/>
      <w:r>
        <w:t xml:space="preserve">6.3. Where the gap is</w:t>
      </w:r>
      <w:bookmarkEnd w:id="211"/>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2" w:id="212"/>
      <w:r>
        <w:t xml:space="preserve">7. Competitor: TENET Intelligence MCI</w:t>
      </w:r>
      <w:bookmarkEnd w:id="212"/>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8 (experts), 40 (pilot), 177 (extended set)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protocols and results are open; the core code is closed until version 1.0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0.962 out of sample; the simple baseline (border, history, last year) gives 0.958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 for honesty of validation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3" w:id="213"/>
      <w:r>
        <w:t xml:space="preserve">8. Plan</w:t>
      </w:r>
      <w:bookmarkEnd w:id="213"/>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ListParagraph"/>
        <w:numPr>
          <w:ilvl w:val="0"/>
          <w:numId w:val="3"/>
        </w:numPr>
        <w:spacing w:after="60" w:line="276"/>
      </w:pPr>
      <w:r>
        <w:t xml:space="preserve">Test effectiveness proxies on a base with many comparable clashes between states (for example, ACLED) — a separate protocol before the calculation.</w:t>
      </w:r>
    </w:p>
    <w:p>
      <w:pPr>
        <w:pStyle w:val="Heading1"/>
        <w:pageBreakBefore/>
      </w:pPr>
      <w:bookmarkStart w:name="_Toc214" w:id="214"/>
      <w:r>
        <w:t xml:space="preserve">References</w:t>
      </w:r>
      <w:bookmarkEnd w:id="214"/>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2026-10-23T17:29:10.964Z</dcterms:created>
  <dcterms:modified xsi:type="dcterms:W3CDTF">2026-10-23T17:29:10.964Z</dcterms:modified>
</cp:coreProperties>
</file>

<file path=docProps/custom.xml><?xml version="1.0" encoding="utf-8"?>
<Properties xmlns="http://schemas.openxmlformats.org/officeDocument/2006/custom-properties" xmlns:vt="http://schemas.openxmlformats.org/officeDocument/2006/docPropsVTypes"/>
</file>