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6">
            <w:r>
              <w:t xml:space="preserve">4.6. Эффективность из открытых признаков страны (CDB90 и UCDP GED)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8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1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4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Открытые признаки страны ловят эффективность лишь отчасти и не переносятся.</w:t>
      </w:r>
      <w:r>
        <w:t xml:space="preserve"> ВВП на душу, демократия и механизация добавляют к предсказанию исхода сражений 1900–1973 гг. +0,022 на сражение поверх численности (в 8 раз меньше факторов составителей); на независимой базе UCDP GED 1989–2024 гг. перенос не подтвердился (Спирмен +0,248, n = 24).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2"/>
      </w:pPr>
      <w:bookmarkStart w:name="_Toc206" w:id="206"/>
      <w:r>
        <w:t xml:space="preserve">4.6. Эффективность из открытых признаков страны (CDB90 и UCDP GED)</w:t>
      </w:r>
      <w:bookmarkEnd w:id="206"/>
    </w:p>
    <w:p>
      <w:pPr>
        <w:spacing w:after="120" w:line="288"/>
        <w:jc w:val="both"/>
      </w:pPr>
      <w:r>
        <w:t xml:space="preserve">Раздел 4.4 показал: исход объясняют факторы эффективности, но их коды проставлены составителями после сражений. Можно ли заменить их признаками, известными до сражения? Протокол acd9792 зафиксирован до расчёта. Признаки стороны (разность нападающий − обороняющийся, последнее значение за 5 лет до года сражения): ln ВВП на душу (Maddison), электоральная демократия (V-Dem), ln энергопотребления на военнослужащего (CoW NMC — мера механизации), боевой опыт в той же войне. Выборка: n = 354 сражений 1900–1973 гг., у которых обе стороны сопоставлены со странами; мера и перекрёстная проверка — как в разделе 4.4.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−0,687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−0,679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+0,008 [+0,004;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ВВП на душу, демократия, механизация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−0,657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+0,022 [+0,015; +0,027]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E3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боевой опыт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−0,656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+0,001 [−0,004; +0,004]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Правило 1 (признаки страны добавляют не менее 0,02 поверх численности) </w:t>
      </w:r>
      <w:r>
        <w:rPr>
          <w:b/>
          <w:bCs/>
        </w:rPr>
        <w:t xml:space="preserve">выполнено</w:t>
      </w:r>
      <w:r>
        <w:t xml:space="preserve">: +0,022. Это первое положительное предсказательное обнаружение проекта поверх численности, но оно примерно в 8 раз меньше верхней границы по факторам составителей (+0,180). Правило 2 (боевой опыт сверх страны) не выполнено. Доля объяснённой дисперсии отношения потерь вне выборки выросла с 0,01 (численность) до 0,20 (признаки страны) — страна объясняет пятую часть разброса, как и в литературе (Biddle, Reiter и Stam): потери определяются тем, как воюют, а не сколько воюет.</w:t>
      </w:r>
    </w:p>
    <w:p>
      <w:pPr>
        <w:spacing w:after="120" w:line="288"/>
        <w:jc w:val="both"/>
      </w:pPr>
      <w:r>
        <w:rPr>
          <w:b/>
          <w:bCs/>
        </w:rPr>
        <w:t xml:space="preserve">Независимая проверка на UCDP GED v25.1.</w:t>
      </w:r>
      <w:r>
        <w:t xml:space="preserve"> Модель обмена потерями (три признака, без свободного члена, обучена только на CDB90, n = 354) применена к межгосударственным диада-годам 1989–2024 гг. (потери у обеих сторон, не менее 25 погибших): 24 диада-года в 9 диадах, 12 из них Индия — Пакистан. Протокол с правилом (ранговая корреляция не ниже 0,30 и нижняя граница бутстрепа по диадам выше нуля) зафиксирован коммитом до расчёта. Результат: Спирмен +0,248 [−0,596; +0,627], знак обмена угадан в 50% случаев; на современных войнах 2018–2025 гг. модели, обученные на CDB90, дали AUC 0,50 (E1) и 0,38 (E2) против «перевеса хватило». </w:t>
      </w:r>
      <w:r>
        <w:rPr>
          <w:b/>
          <w:bCs/>
        </w:rPr>
        <w:t xml:space="preserve">Перенос не подтверждён.</w:t>
      </w:r>
    </w:p>
    <w:p>
      <w:pPr>
        <w:spacing w:after="120" w:line="288"/>
        <w:jc w:val="both"/>
      </w:pPr>
      <w:r>
        <w:rPr>
          <w:b/>
          <w:bCs/>
        </w:rPr>
        <w:t xml:space="preserve">Вторая независимая база — войны Correlates of War (Inter-State War Data v4.0).</w:t>
      </w:r>
      <w:r>
        <w:t xml:space="preserve"> ACLED доступен только по ключу, поэтому взяты межгосударственные войны COW с потерями участников: единица — война, признаки берутся у ведущих государств сторон, модель та же (обучена на CDB90), протокол зафиксирован до расчёта. Основная выборка — войны с 1974 г., после окончания CDB90 (17 войн): Спирмен +0,520 [−0,014; +0,837], знак угадан в 59% случаев. Направление совпадает с CDB90 (более богатая и более демократическая сторона несёт относительно меньшие потери), нижняя граница интервала чуть ниже нуля, правило (не менее 0,30 и граница выше нуля) </w:t>
      </w:r>
      <w:r>
        <w:rPr>
          <w:b/>
          <w:bCs/>
        </w:rPr>
        <w:t xml:space="preserve">не выполнено</w:t>
      </w:r>
      <w:r>
        <w:t xml:space="preserve">. Без четырёх войн с коалицией из четырёх и более государств (Война в Заливе, Косово, Афганистан, Ирак) связь исчезает: +0,152 (n = 14). Для войн 1946–1973 гг., где эпоха пересекается с CDB90 и независимости нет, Спирмен +0,679. Это согласуется с литературой: часть эффекта — асимметричные войны богатых государств против бедных.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Это не опровержение: 24 случая в 9 зависимых диадах дают слишком мало мощности, а на войнах COW направление совпадает, но связь держится на войнах с коалициями. Поэтому признаки страны (ВВП на душу, демократия, механизация) в индекс не вносятся: они ловят часть эффективности в эпоху 1900–1973 гг. и пока не показали умения на современных войнах. Для эффективности современных армий по-прежнему нужны экспертные оценки (панель Дельфи, модули М5–М6).</w:t>
      </w:r>
    </w:p>
    <w:p>
      <w:pPr>
        <w:pStyle w:val="Heading1"/>
        <w:pageBreakBefore/>
      </w:pPr>
      <w:bookmarkStart w:name="_Toc207" w:id="207"/>
      <w:r>
        <w:t xml:space="preserve">5. Разбор распространённых утверждений</w:t>
      </w:r>
      <w:bookmarkEnd w:id="207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8" w:id="208"/>
      <w:r>
        <w:t xml:space="preserve">6. Научная новизна</w:t>
      </w:r>
      <w:bookmarkEnd w:id="208"/>
    </w:p>
    <w:p>
      <w:pPr>
        <w:pStyle w:val="Heading2"/>
      </w:pPr>
      <w:bookmarkStart w:name="_Toc209" w:id="209"/>
      <w:r>
        <w:t xml:space="preserve">6.1. Не ново</w:t>
      </w:r>
      <w:bookmarkEnd w:id="209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10" w:id="210"/>
      <w:r>
        <w:t xml:space="preserve">6.2. Возможно ново (приоритет нужно подтвердить обзором литературы)</w:t>
      </w:r>
      <w:bookmarkEnd w:id="210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1" w:id="211"/>
      <w:r>
        <w:t xml:space="preserve">6.3. Где пробел</w:t>
      </w:r>
      <w:bookmarkEnd w:id="211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2" w:id="212"/>
      <w:r>
        <w:t xml:space="preserve">7. Конкурент: TENET Intelligence MCI</w:t>
      </w:r>
      <w:bookmarkEnd w:id="212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 (эксперты), 40 (пилот), 177 (расширенный набор)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параметры, протоколы и результаты открыты; код ядра закрыт до версии 1.0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0,962 вне выборки; простой ориентир (граница, история, прошлый год) даёт 0,958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честности проверки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3" w:id="213"/>
      <w:r>
        <w:t xml:space="preserve">8. План</w:t>
      </w:r>
      <w:bookmarkEnd w:id="213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Проверка заменителей эффективности на базе с большим числом сопоставимых столкновений государств (например, ACLED) — отдельный протокол до расчёта.</w:t>
      </w:r>
    </w:p>
    <w:p>
      <w:pPr>
        <w:pStyle w:val="Heading1"/>
        <w:pageBreakBefore/>
      </w:pPr>
      <w:bookmarkStart w:name="_Toc214" w:id="214"/>
      <w:r>
        <w:t xml:space="preserve">Литература</w:t>
      </w:r>
      <w:bookmarkEnd w:id="21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2026-10-23T17:28:42.346Z</dcterms:created>
  <dcterms:modified xsi:type="dcterms:W3CDTF">2026-10-23T17:28:42.346Z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