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Союзы и коалиции: модуль выбора союзников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Ключевая функция программы — сборка коалиций с учётом надёжности, доли сил, удалённости и задержки вступления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3 из 5 · Союзы и коалиции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67">
            <w:r>
              <w:t xml:space="preserve">Резюме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8">
            <w:r>
              <w:t xml:space="preserve">1. Модель коалиции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9">
            <w:r>
              <w:t xml:space="preserve">1.1. Формула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0">
            <w:r>
              <w:t xml:space="preserve">1.2. Типы вклада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1">
            <w:r>
              <w:t xml:space="preserve">1.3. Как избежать двойного учёта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2">
            <w:r>
              <w:t xml:space="preserve">2. Классы обязательств и надёжность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3">
            <w:r>
              <w:t xml:space="preserve">3. Каталог союзов и коалиций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4">
            <w:r>
              <w:t xml:space="preserve">4. Готовые коалиции для восьми государств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5">
            <w:r>
              <w:t xml:space="preserve">5. Расчётные примеры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6">
            <w:r>
              <w:t xml:space="preserve">5.1. Израиль и США против Ирана (театр — Иран)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7">
            <w:r>
              <w:t xml:space="preserve">5.2. Россия против Украины (театр — Украина)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8">
            <w:r>
              <w:t xml:space="preserve">5.3. Россия и Белоруссия против европейских членов НАТО (театр — Прибалтика)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9">
            <w:r>
              <w:t xml:space="preserve">6. Функция в интерфейсе программы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0">
            <w:r>
              <w:t xml:space="preserve">6.1. Конструктор коалиций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1">
            <w:r>
              <w:t xml:space="preserve">6.2. Визуализация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2">
            <w:r>
              <w:t xml:space="preserve">6.3. Данные и обновление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3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67" w:id="67"/>
      <w:r>
        <w:t xml:space="preserve">Резюме</w:t>
      </w:r>
      <w:bookmarkEnd w:id="67"/>
    </w:p>
    <w:p>
      <w:pPr>
        <w:spacing w:after="120" w:line="288"/>
        <w:jc w:val="both"/>
      </w:pPr>
      <w:r>
        <w:t xml:space="preserve">Военная мощь относительна: исход войны решает не сила отдельного государства, а баланс коалиций на конкретном театре. Существующие рейтинги либо игнорируют союзы, либо дают «баллы за членство», не различая обязательство на бумаге и реальную готовность воевать. Войны 2022–2026 гг. показали, насколько это разные вещи: КНДР направила войска в Россию, а Россия, имея договор о стратегическом партнёрстве с Ираном, в войну 2026 г. не вмешалась.</w:t>
      </w:r>
    </w:p>
    <w:p>
      <w:pPr>
        <w:spacing w:after="120" w:line="288"/>
        <w:jc w:val="both"/>
      </w:pPr>
      <w:r>
        <w:t xml:space="preserve">Поэтому в программе союзы — не столп индекса, а </w:t>
      </w:r>
      <w:r>
        <w:rPr>
          <w:b/>
          <w:bCs/>
        </w:rPr>
        <w:t xml:space="preserve">конструктор коалиций</w:t>
      </w:r>
      <w:r>
        <w:t xml:space="preserve">. Пользователь выбирает готовую коалицию (НАТО, «коалиция желающих», Союзное государство и др.) или собирает свою и задаёт для каждого участника надёжность, долю сил, удалённость и срок вступления. Программа пересчитывает баланс сил и запускает модель боя.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Явная модель вклада союзника:</w:t>
      </w:r>
      <w:r>
        <w:t xml:space="preserve"> надёжность ρ × доля сил s × затухание с расстоянием e^(−D/λ) × функция вступления g(t − τ).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Классы обязательств</w:t>
      </w:r>
      <w:r>
        <w:t xml:space="preserve"> от договора о коллективной обороне до неформальной «оси», с исходными значениями ρ, обоснованными практикой 2022–2026 гг.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Типы вклада:</w:t>
      </w:r>
      <w:r>
        <w:t xml:space="preserve"> войска, снабжение, разведка, территория и базы, финансы. Каждый тип влияет на свою часть модели.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Без двойного учёта:</w:t>
      </w:r>
      <w:r>
        <w:t xml:space="preserve"> в коалиционном сценарии используется «автономная мощь» страны без столпа «Союзы».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Готовые коалиции</w:t>
      </w:r>
      <w:r>
        <w:t xml:space="preserve"> для восьми оценённых государств и для всех очагов потенциальных конфликтов (документ 4).</w:t>
      </w:r>
    </w:p>
    <w:p>
      <w:pPr>
        <w:pStyle w:val="Heading1"/>
        <w:pageBreakBefore/>
      </w:pPr>
      <w:bookmarkStart w:name="_Toc68" w:id="68"/>
      <w:r>
        <w:t xml:space="preserve">1. Модель коалиции</w:t>
      </w:r>
      <w:bookmarkEnd w:id="68"/>
    </w:p>
    <w:p>
      <w:pPr>
        <w:pStyle w:val="Heading2"/>
      </w:pPr>
      <w:bookmarkStart w:name="_Toc69" w:id="69"/>
      <w:r>
        <w:t xml:space="preserve">1.1. Формула</w:t>
      </w:r>
      <w:bookmarkEnd w:id="69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F_коал(t) = F_свои·e^(−D₀/λ₀) + Σⱼ ρⱼ · sⱼ · Fⱼ · e^(−Dⱼ/λⱼ) · g(t − τⱼ)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 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ρⱼ  — надёжность: вероятность, что союзник вступит в войну на этом театре (0…1)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sⱼ  — доля его сил, выделяемая на театр (0…1)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Dⱼ  — удалённость театра от его основных и передовых баз, тыс. км;  λⱼ — радиус проекции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τⱼ  — задержка вступления, сут;  g — функция включения (0 до τ, далее плавный рост до 1)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Fⱼ  — автономная мощь союзника (ИВМ без столпа «Союзы»), переведённая в условные единицы</w:t>
      </w:r>
    </w:p>
    <w:p>
      <w:pPr>
        <w:spacing w:after="120" w:line="288"/>
        <w:jc w:val="both"/>
      </w:pPr>
      <w:r>
        <w:t xml:space="preserve">Перевод индекса в условные единицы мощи: M = exp(κ·ИВМ/100), κ = 2,6·ln 10 ≈ 6,0. Это тот же размах логарифмической шкалы, что в прототипе программы (N₀ = 10^(1 + 2,6·N̄)): индекс строится на логарифмах счётных величин, поэтому складывать можно только экспоненты, но не сами баллы.</w:t>
      </w:r>
    </w:p>
    <w:p>
      <w:pPr>
        <w:pStyle w:val="Heading2"/>
      </w:pPr>
      <w:bookmarkStart w:name="_Toc70" w:id="70"/>
      <w:r>
        <w:t xml:space="preserve">1.2. Типы вклада</w:t>
      </w:r>
      <w:bookmarkEnd w:id="7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Тип вклада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Куда входит в модель</w:t>
            </w:r>
          </w:p>
        </w:tc>
        <w:tc>
          <w:tcPr>
            <w:tcW w:type="dxa" w:w="38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Пример 2022–2026 гг.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Войска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N₀ коалиции (с ρ, s, D, τ)</w:t>
            </w:r>
          </w:p>
        </w:tc>
        <w:tc>
          <w:tcPr>
            <w:tcW w:type="dxa" w:w="38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контингент КНДР в России; совместные удары США и Израиля по Ирану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Снабжение и вооружения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устойчивость: резерв R и темп восполнения r(t), но не N₀</w:t>
            </w:r>
          </w:p>
        </w:tc>
        <w:tc>
          <w:tcPr>
            <w:tcW w:type="dxa" w:w="38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поставки ВВТ Украине (Рамштайн, закупки через союзников); поставки снарядов КНДР России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Разведка и целеуказание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эффективность e (множитель)</w:t>
            </w:r>
          </w:p>
        </w:tc>
        <w:tc>
          <w:tcPr>
            <w:tcW w:type="dxa" w:w="38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спутниковая разведка союзников для Украины и Израиля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Территория и базы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уменьшение D для остальных участников стороны: D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эфф = D − ρ·max(0; D − D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B), D_B — удалённость территории провайдера от театра</w:t>
            </w:r>
          </w:p>
        </w:tc>
        <w:tc>
          <w:tcPr>
            <w:tcW w:type="dxa" w:w="38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базы США в Персидском заливе; территория Белоруссии в 2022 г.; Польша и страны Балтии для сил НАТО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Финансы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резерв и восполнение: R += η·Fфин, r += η·Fфин / τф, Fфин = 10·ρ·s·M, η = 0,15, τф = 90 сут; в F не входят</w:t>
            </w:r>
          </w:p>
        </w:tc>
        <w:tc>
          <w:tcPr>
            <w:tcW w:type="dxa" w:w="38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кредиты ЕС Украине, военная помощь США Израилю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ПВО-коалиция</w:t>
            </w:r>
          </w:p>
        </w:tc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эффективность обороны (перехват в залповой модели)</w:t>
            </w:r>
          </w:p>
        </w:tc>
        <w:tc>
          <w:tcPr>
            <w:tcW w:type="dxa" w:w="38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отражение удара Ирана по Израилю в апреле 2024 г. силами нескольких стран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Типы «Территория» и «Финансы» реализованы</w:t>
      </w:r>
      <w:r>
        <w:t xml:space="preserve"> (19.10.2026, ядро `core/lanmil/coalition.py`, прототип). Коэффициенты η = 0,15 и τф = 90 сут — допущения прототипа, как g(t − τ), разведка и снабжение, а не данные: менять можно, но согласованно с ядром. Два новых сценария показывают эффект: «Прибалтика с базированием» (Польша и страны Балтии, Финляндия, Швеция предоставляют территорию) — на 30-е сутки соотношение сил A : B падает с 0,46 до 0,42, потому что Германия, Великобритания, Франция и США развёртываются от баз у театра, а не из глубины; «Россия против Украины с финансированием» — соотношение в F не меняется, но растут резерв и восполнение Украины, и в модели боя вероятность успеха наступления заметно падает, а затяжные бои становятся вероятнее. Масштаб долей s у финансов — допущение сценария.</w:t>
      </w:r>
    </w:p>
    <w:p>
      <w:pPr>
        <w:pStyle w:val="Heading2"/>
      </w:pPr>
      <w:bookmarkStart w:name="_Toc71" w:id="71"/>
      <w:r>
        <w:t xml:space="preserve">1.3. Как избежать двойного учёта</w:t>
      </w:r>
      <w:bookmarkEnd w:id="71"/>
    </w:p>
    <w:p>
      <w:pPr>
        <w:spacing w:after="120" w:line="288"/>
        <w:jc w:val="both"/>
      </w:pPr>
      <w:r>
        <w:t xml:space="preserve">В обычном рейтинге столп «Союзы» (14 показателей) повышает ИВМ членов сильных альянсов. Если в сценарии союзники добавлены явно, этот столп нужно отключить, иначе союзник будет учтён дважды. Поэтому для каждой страны программа хранит два значения: </w:t>
      </w:r>
      <w:r>
        <w:rPr>
          <w:b/>
          <w:bCs/>
        </w:rPr>
        <w:t xml:space="preserve">ИВМ</w:t>
      </w:r>
      <w:r>
        <w:t xml:space="preserve"> (для рейтинга) и </w:t>
      </w:r>
      <w:r>
        <w:rPr>
          <w:b/>
          <w:bCs/>
        </w:rPr>
        <w:t xml:space="preserve">автономную мощь</w:t>
      </w:r>
      <w:r>
        <w:t xml:space="preserve"> (для коалиций). Для восьми государств они приведены в документе 2.</w:t>
      </w:r>
    </w:p>
    <w:p>
      <w:pPr>
        <w:pStyle w:val="Heading1"/>
        <w:pageBreakBefore/>
      </w:pPr>
      <w:bookmarkStart w:name="_Toc72" w:id="72"/>
      <w:r>
        <w:t xml:space="preserve">2. Классы обязательств и надёжность</w:t>
      </w:r>
      <w:bookmarkEnd w:id="7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3180"/>
        <w:gridCol w:w="1156"/>
        <w:gridCol w:w="4628"/>
      </w:tblGrid>
      <w:tr>
        <w:trPr>
          <w:tblHeader/>
        </w:trPr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318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Тип обязательства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Исходное ρ</w:t>
            </w:r>
          </w:p>
        </w:tc>
        <w:tc>
          <w:tcPr>
            <w:tcW w:type="dxa" w:w="46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Примеры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</w:t>
            </w:r>
          </w:p>
        </w:tc>
        <w:tc>
          <w:tcPr>
            <w:tcW w:type="dxa" w:w="318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Многосторонний договор о коллективной обороне с интегрированным командованием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0,7–0,9</w:t>
            </w:r>
          </w:p>
        </w:tc>
        <w:tc>
          <w:tcPr>
            <w:tcW w:type="dxa" w:w="46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НАТО (ст. 5)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</w:t>
            </w:r>
          </w:p>
        </w:tc>
        <w:tc>
          <w:tcPr>
            <w:tcW w:type="dxa" w:w="318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Двусторонний договор о взаимной помощи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0,4–0,8</w:t>
            </w:r>
          </w:p>
        </w:tc>
        <w:tc>
          <w:tcPr>
            <w:tcW w:type="dxa" w:w="46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Россия–КНДР (2024), Пакистан–Саудовская Аравия (2025), Турция–Азербайджан (Шушинская декларация, 2021), США–Япония, США–Республика Корея, США–Филиппины, Франция–Греция (2021)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  <w:tc>
          <w:tcPr>
            <w:tcW w:type="dxa" w:w="318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Стратегическое партнёрство без военных обязательств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0,02–0,15</w:t>
            </w:r>
          </w:p>
        </w:tc>
        <w:tc>
          <w:tcPr>
            <w:tcW w:type="dxa" w:w="46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Россия–Иран (договор 2025 г.), Россия–Китай, «Авраамовы соглашения»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</w:t>
            </w:r>
          </w:p>
        </w:tc>
        <w:tc>
          <w:tcPr>
            <w:tcW w:type="dxa" w:w="318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Коалиция по случаю (ad hoc)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0,2–0,6</w:t>
            </w:r>
          </w:p>
        </w:tc>
        <w:tc>
          <w:tcPr>
            <w:tcW w:type="dxa" w:w="46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«Коалиция желающих» для Украины, Рамштайн, морские коалиции в Красном море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E</w:t>
            </w:r>
          </w:p>
        </w:tc>
        <w:tc>
          <w:tcPr>
            <w:tcW w:type="dxa" w:w="318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Неформальная ось или сеть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0,1–0,5</w:t>
            </w:r>
          </w:p>
        </w:tc>
        <w:tc>
          <w:tcPr>
            <w:tcW w:type="dxa" w:w="46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«Ось сопротивления», условная ось Китай–Россия–Иран–КНДР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F</w:t>
            </w:r>
          </w:p>
        </w:tc>
        <w:tc>
          <w:tcPr>
            <w:tcW w:type="dxa" w:w="318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Союзы без военной составляющей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≈ 0</w:t>
            </w:r>
          </w:p>
        </w:tc>
        <w:tc>
          <w:tcPr>
            <w:tcW w:type="dxa" w:w="46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ШОС, БРИКС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Почему ρ не равно 1 даже для НАТО.</w:t>
      </w:r>
      <w:r>
        <w:t xml:space="preserve"> Статья 5 обязывает союзников принять «такие действия, какие сочтут необходимыми», а не автоматически воевать. В 2025–2026 гг. на доверие внутри альянса влияли споры о расходах, тарифы и кризис вокруг Гренландии. На саммите в Анкаре (июль 2026 г.) союзники подтвердили обязательства, но аналитики отмечали ограниченное единство. Поэтому исходное ρ для США по отношению к европейскому театру — 0,7, а для европейских союзников на восточном фланге — 0,8–0,95.</w:t>
      </w:r>
    </w:p>
    <w:p>
      <w:pPr>
        <w:pStyle w:val="Heading1"/>
        <w:pageBreakBefore/>
      </w:pPr>
      <w:bookmarkStart w:name="_Toc73" w:id="73"/>
      <w:r>
        <w:t xml:space="preserve">3. Каталог союзов и коалиций</w:t>
      </w:r>
      <w:bookmarkEnd w:id="7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7"/>
        <w:gridCol w:w="674"/>
        <w:gridCol w:w="1060"/>
        <w:gridCol w:w="1252"/>
        <w:gridCol w:w="3087"/>
      </w:tblGrid>
      <w:tr>
        <w:trPr>
          <w:tblHeader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Союз или коалиция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Участники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Класс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ρ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Вклад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Состояние на октябрь 2026 г.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НАТО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32 государства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0,7–0,95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все типы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Цель 5% ВВП к 2035 г. (Гаага, 2025); саммит в Анкаре (июль 2026 г.) назвал Россию долгосрочной угрозой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ЕС, ст. 42.7 ДЕС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27 государств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B/D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0,4–0,6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финансы, снабжение, войска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Финансирование обороны Украины, программы совместных закупок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«Коалиция желающих»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около 30 государств во главе с Великобританией и Францией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0,2 (до перемирия) / 0,6 (после)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силы после перемирия, снабжение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Парижская декларация (6 января 2026 г.): развёртывание многонациональных сил после прекращения огня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Рамштайн (UDCG)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около 50 государств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снабжение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Поставки и закупки вооружений для Украины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Объединённые экспедиционные силы (JEF)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Великобритания и 9 стран Северной Европы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0,6–0,8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Быстрое реагирование на севере Европы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Союзное государство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Россия, Белоруссия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A/B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0,7 (территория), 0,3 (войска)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территория, войска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Учения у Сувалкского коридора (сентябрь 2026 г.); ядерное оружие на территории Белоруссии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ОДКБ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Россия, Белоруссия, Казахстан, Киргизия, Таджикистан (Армения заморозила участие)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0,1–0,2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минимальный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Организация не поддержала ни одну войну участников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Договор Россия–КНДР (2024)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Россия, КНДР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0,6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войска, снаряды, ракеты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 оценке Сеула — около 15 тыс. боевых военнослужащих и более 6 тыс. инженеров; обсуждается расширение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Партнёрство Россия–Иран (2025)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Россия, Иран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0,05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минимальный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 не вмешалась в войну 2026 г.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Китай–Россия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Китай, Россия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0,05 (войска)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экономика, компоненты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Экономическая поддержка без военных обязательств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США–Израиль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США, Израиль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 (де-факто)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0,9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войска, снабжение, разведка, ПРО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Совместные кампании против Ирана в 2025 и 2026 гг.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«Ось сопротивления»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Иран, Хезболла, хуситы, иракские ополчения, ХАМАС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0,3–0,5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удары, второй фронт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Ослаблена; Хезболла вновь вступила в бои в марте 2026 г.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США–Япония, США–Республика Корея, США–Филиппины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двусторонние договоры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0,6–0,8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войска, базы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Напряжённость в Южно-Китайском море и вокруг Тайваня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AUKUS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Австралия, Великобритания, США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технологии, подлодки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Долгосрочная программа подлодок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Пакистан–Саудовская Аравия (2025)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Пакистан, Саудовская Аравия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0,4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войска, финансы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Договор о стратегической взаимной обороне, сентябрь 2025 г.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Турция–Азербайджан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Турция, Азербайджан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0,6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войска, вооружения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Шушинская декларация (2021)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Франция–Греция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Франция, Греция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0,5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войска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Стратегическое партнёрство 2021 г. со статьёй о взаимной помощи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ШОС, БРИКС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6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</w:t>
            </w:r>
          </w:p>
        </w:tc>
        <w:tc>
          <w:tcPr>
            <w:tcW w:type="dxa" w:w="106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≈ 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308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 военные союзы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ρ — исходные значения программы; пользователь меняет их ползунком. Значения обоснованы поведением участников в войнах 2022–2026 гг. и юридической силой обязательств.</w:t>
      </w:r>
    </w:p>
    <w:p>
      <w:pPr>
        <w:pStyle w:val="Heading1"/>
        <w:pageBreakBefore/>
      </w:pPr>
      <w:bookmarkStart w:name="_Toc74" w:id="74"/>
      <w:r>
        <w:t xml:space="preserve">4. Готовые коалиции для восьми государств</w:t>
      </w:r>
      <w:bookmarkEnd w:id="7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Государство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Коалиции в меню программы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НАТО · США + Израиль · Индо-Тихоокеанская (Япония, Республика Корея, Австралия, Филиппины) · AUKUS · Партнёры в Персидском заливе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Союзное государство (Белоруссия) · Россия + КНДР · ОДКБ · Россия + Иран (партнёрство) · Условная ось Китай–Россия–Иран–КНДР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Украина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«Коалиция желающих» · Рамштайн (снабжение) · ЕС (финансы) · Польша + Балтия + Северная Европа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 + Израиль · Региональная ПВО-коалиция (образец — апрель 2024 г.) · «Авраамовы соглашения»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«Ось сопротивления» · Иран + Россия + Китай (без обязательств)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Германия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НАТО · ЕС (ст. 42.7) · Веймарский треугольник · «Коалиция желающих»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Франция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НАТО · ЕС (ст. 42.7) · Франция–Греция · «Коалиция желающих» · Веймарский треугольник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790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НАТО · JEF · AUKUS · «Пять глаз» (разведка) · «Коалиция желающих»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75" w:id="75"/>
      <w:r>
        <w:t xml:space="preserve">5. Расчётные примеры</w:t>
      </w:r>
      <w:bookmarkEnd w:id="75"/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Статус примеров. </w:t>
      </w:r>
      <w:r>
        <w:t xml:space="preserve">примеры показывают работу алгоритма. Значения для стран вне восьмёрки (Польша, страны Балтии и Северной Европы, Белоруссия, КНДР, «Ось сопротивления») ориентировочные и будут заменены полным расчётом. Доли сил s и удалённости D — допущения сценария, их можно менять.</w:t>
      </w:r>
    </w:p>
    <w:p>
      <w:pPr>
        <w:pStyle w:val="Heading2"/>
      </w:pPr>
      <w:bookmarkStart w:name="_Toc76" w:id="76"/>
      <w:r>
        <w:t xml:space="preserve">5.1. Израиль и США против Ирана (театр — Иран)</w:t>
      </w:r>
      <w:bookmarkEnd w:id="7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Израиль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63,7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1,6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21,3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90,6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12,0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37,6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Иран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32,4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6,9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«Ось сопротивления» (Хезболла, хуситы, ополчения)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1,5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1,7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65,3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0,02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Итог:</w:t>
      </w:r>
      <w:r>
        <w:t xml:space="preserve"> 58,8 у.е. против 8,6 у.е., соотношение ≈ 6,8 : 1. Для воздушно-ракетной кампании коэффициент обороны мал (d = 1,3 — поспешная оборона и удары), а требуемое соотношение при α = 1,0 — 1,30 : 1 (α и d с 13.10.2026 — по 404 сражениям CDB90 и проверке на 10 войнах, документ 6, разделы 7.5–7.7). С учётом ошибки модели (σ = 2,0, раздел 7.8 документа 6) вероятность, что перевеса хватает, — 80%. Модель предсказывает быстрое подавление ПВО и ВВС Ирана, что совпадает с ходом кампаний 2025 и 2026 гг. Ограничения модели здесь — живучесть подземного ракетного арсенала и асимметричная угроза Ормузскому проливу. Их учитывают залповая модель и показатели живучести, а не баланс в у.е.</w:t>
      </w:r>
    </w:p>
    <w:p>
      <w:pPr>
        <w:pStyle w:val="Heading2"/>
      </w:pPr>
      <w:bookmarkStart w:name="_Toc77" w:id="77"/>
      <w:r>
        <w:t xml:space="preserve">5.2. Россия против Украины (театр — Украина)</w:t>
      </w:r>
      <w:bookmarkEnd w:id="7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65,3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27,0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КНДР (контингент в России)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40,0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0,10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Белоруссия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25,0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1,5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Украина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46,8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2,5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16,5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Текущая ситуация (союзники Украины поставляют вооружения, но не войска):</w:t>
      </w:r>
      <w:r>
        <w:t xml:space="preserve"> 27,8 против 16,5 у.е., соотношение ≈ 1,68 : 1. Поставки союзников входят в устойчивость Украины (резерв и восполнение), а не в численность. Коэффициент обороны этой войны измерен по её собственным потерям (с 13.10.2026; прежде он задавался допущением d ≈ 2,5–3 при α ≈ 1,3): в 2024–2025 гг. Россия потеряла 10 084 единицы техники, Украина — 6 023 (Oryx), d = 1,7, и при α = 1,0 требуется 1,70 : 1. Фактическое соотношение ниже требуемого на сотые доли, поэтому модель предсказывает позиционную войну на истощение с медленным продвижением наступающего. Это соответствует ходу войны в 2023–2026 гг., но не является независимой проверкой: d взят из той же войны, а вывод держится на малом запасе (при d = 1,67 без округления он меняется) — документ 6, раздел 7.7. С учётом ошибки модели (σ = 2,0) вероятность, что перевеса России хватает, — 50%: модель не различает здесь позиционную войну и прорыв.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Украина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46,8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2,5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16,5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Великобритания (силы после прекращения огня)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60,2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0,10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1,7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Франция (силы после прекращения огня)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65,4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0,10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2,3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Германия (на соседней территории)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56,9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0,05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После прекращения огня с развёртыванием сил «коалиции желающих»:</w:t>
      </w:r>
      <w:r>
        <w:t xml:space="preserve"> соотношение снижается до ≈ 1,32 : 1. Главный эффект гарантий — не прибавка в у.е., а изменение ρ: нападение на территорию, где находятся войска Великобритании и Франции, становится нападением на ядерные державы. Программа отражает это через ось сдерживания: цель сценария «наступление» блокируется, пока в зоне находятся силы коалиции с ядерными участниками.</w:t>
      </w:r>
    </w:p>
    <w:p>
      <w:pPr>
        <w:pStyle w:val="Heading2"/>
      </w:pPr>
      <w:bookmarkStart w:name="_Toc78" w:id="78"/>
      <w:r>
        <w:t xml:space="preserve">5.3. Россия и Белоруссия против европейских членов НАТО (театр — Прибалтика)</w:t>
      </w:r>
      <w:bookmarkEnd w:id="7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65,3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0,40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18,8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Белоруссия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25,0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0,50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1,5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1,4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Польша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55,0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13,9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Страны Балтии, Финляндия, Швеция (вместе)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50,0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0,95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10,3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Германия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56,9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0,30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6,0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60,2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0,85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0,25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1,8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6,0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Франция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65,4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0,80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0,25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1,8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7,8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156"/>
        <w:gridCol w:w="771"/>
        <w:gridCol w:w="771"/>
        <w:gridCol w:w="1156"/>
        <w:gridCol w:w="771"/>
        <w:gridCol w:w="1544"/>
      </w:tblGrid>
      <w:tr>
        <w:trPr>
          <w:tblHeader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Участник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ИВМ без союзов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ρ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D, тыс. км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Вклад, у.е.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США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90,6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0,70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0,15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7,0</w:t>
            </w:r>
          </w:p>
        </w:tc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12,0</w:t>
            </w:r>
          </w:p>
        </w:tc>
        <w:tc>
          <w:tcPr>
            <w:tcW w:type="dxa" w:w="154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13,3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Итог:</w:t>
      </w:r>
      <w:r>
        <w:t xml:space="preserve"> европейские союзники против России и Белоруссии — ≈ 2,18 : 1, с участием США — ≈ 2,84 : 1. Доля сил России, доступная для этого театра, ограничена войной с Украиной (s = 0,4). Однако на старте европейские силы развёртываются с задержкой τ, а Россия может действовать внезапно. Поэтому программа строит кривую баланса во времени: в первые 7–14 суток локальное соотношение у Сувалкского коридора может быть в пользу нападающего, а к 30-м суткам — в пользу НАТО. Это объясняет приоритет передового присутствия (бригада Германии в Литве) и ПВО восточного фланга.</w:t>
      </w:r>
    </w:p>
    <w:p>
      <w:pPr>
        <w:pStyle w:val="Heading1"/>
        <w:pageBreakBefore/>
      </w:pPr>
      <w:bookmarkStart w:name="_Toc79" w:id="79"/>
      <w:r>
        <w:t xml:space="preserve">6. Функция в интерфейсе программы</w:t>
      </w:r>
      <w:bookmarkEnd w:id="79"/>
    </w:p>
    <w:p>
      <w:pPr>
        <w:pStyle w:val="Heading2"/>
      </w:pPr>
      <w:bookmarkStart w:name="_Toc80" w:id="80"/>
      <w:r>
        <w:t xml:space="preserve">6.1. Конструктор коалиций</w:t>
      </w:r>
      <w:bookmarkEnd w:id="80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Выбор готовой коалиции</w:t>
      </w:r>
      <w:r>
        <w:t xml:space="preserve"> из меню (раздел 4) или сборка своей перетаскиванием стран на стороны A и B.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Для каждого участника</w:t>
      </w:r>
      <w:r>
        <w:t xml:space="preserve"> — ползунки ρ (надёжность), s (доля сил), τ (задержка, сут), выбор типов вклада (войска, снабжение, разведка, территория, финансы) и автоматический расчёт D по карте театра.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Подсказки:</w:t>
      </w:r>
      <w:r>
        <w:t xml:space="preserve"> программа предлагает союзников по договорам сторон и предупреждает о конфликте интересов (например, Греция и Турция в одном блоке НАТО, Армения в ОДКБ).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Переключатель «что если союзник не вступит»</w:t>
      </w:r>
      <w:r>
        <w:t xml:space="preserve"> — мгновенный пересчёт без участника.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Шкала времени</w:t>
      </w:r>
      <w:r>
        <w:t xml:space="preserve"> показывает вход союзников (τ) и изменение баланса по суткам.</w:t>
      </w:r>
    </w:p>
    <w:p>
      <w:pPr>
        <w:pStyle w:val="Heading2"/>
      </w:pPr>
      <w:bookmarkStart w:name="_Toc81" w:id="81"/>
      <w:r>
        <w:t xml:space="preserve">6.2. Визуализация</w:t>
      </w:r>
      <w:bookmarkEnd w:id="81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Столбец баланса: вклад каждого участника стороны, с выделением собственных сил и союзников.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Граф союзов: страны — узлы, договоры — рёбра (толщина = ρ, цвет = класс обязательства).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Карта театра с радиусами проекции λ участников.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Кривая соотношения сил во времени и вероятность исходов из модели боя.</w:t>
      </w:r>
    </w:p>
    <w:p>
      <w:pPr>
        <w:pStyle w:val="Heading2"/>
      </w:pPr>
      <w:bookmarkStart w:name="_Toc82" w:id="82"/>
      <w:r>
        <w:t xml:space="preserve">6.3. Данные и обновление</w:t>
      </w:r>
      <w:bookmarkEnd w:id="82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Справочник договоров (стороны, дата, класс, статья о помощи, ссылка на текст).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Журнал событий, подтверждающих или опровергающих надёжность (участие в войнах, учения, развёртывания) с автоматической поправкой исходного ρ.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Экспертная корректировка ρ с обязательным обоснованием и версией.</w:t>
      </w:r>
    </w:p>
    <w:p>
      <w:pPr>
        <w:pStyle w:val="Heading1"/>
        <w:pageBreakBefore/>
      </w:pPr>
      <w:bookmarkStart w:name="_Toc83" w:id="83"/>
      <w:r>
        <w:t xml:space="preserve">Источники</w:t>
      </w:r>
      <w:bookmarkEnd w:id="83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Парижская декларация «коалиции желающих», 6 января 2026 г. (Al Jazeera, Euronews)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Саммит НАТО в Анкаре, июль 2026 г. (IDSA, Clifford Chance, War on the Rocks, Steptoe)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Договор о всеобъемлющем стратегическом партнёрстве России и КНДР (2024); оценки контингента КНДР — Минобороны Республики Корея, ГУР Украины (2026)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Договор о всеобъемлющем стратегическом партнёрстве России и Ирана (январь 2025)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Договор о стратегической взаимной обороне Пакистана и Саудовской Аравии (сентябрь 2025)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Euronews: учения Белоруссии у Сувалкского коридора (сентябрь 2026); соглашение США, Дании и Гренландии (CFR, сентябрь 2026)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SIPRI, IISS — данные о расходах и силах участников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ИВМ «Ланчестер–Осипов» · Союзы и коалиции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ИВМ «Ланчестер–Осипов» · Союзы и коалиции</dc:title>
  <dc:creator>ИВМ «Ланчестер–Осипов»</dc:creator>
  <cp:lastModifiedBy>Un-named</cp:lastModifiedBy>
  <cp:revision>1</cp:revision>
  <dcterms:created xsi:type="dcterms:W3CDTF">2026-10-21T17:24:17.727Z</dcterms:created>
  <dcterms:modified xsi:type="dcterms:W3CDTF">2026-10-21T17:24:17.727Z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