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2.4. Why the hypothesis did not work: yield per drone and the composition of losses (branch B)</w:t>
            </w:r>
            <w:r>
              <w:tab/>
            </w:r>
            <w:r>
              <w:fldChar w:fldCharType="begin" w:dirty="true"/>
              <w:instrText xml:space="preserve">PAGEREF _Toc196 \h</w:instrText>
              <w:fldChar w:fldCharType="separate"/>
              <w:fldChar w:fldCharType="end"/>
            </w:r>
          </w:hyperlink>
        </w:p>
        <w:p>
          <w:pPr>
            <w:pStyle w:val="TOC1"/>
            <w:tabs>
              <w:tab w:val="right" w:pos="9638" w:leader="dot"/>
            </w:tabs>
          </w:pPr>
          <w:hyperlink w:history="1" w:anchor="_Toc197">
            <w:r>
              <w:t xml:space="preserve">3. How models account for intelligence and psychology</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3.1. Intelligence — transition between laws</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3.2. Psychology — will as a state variable</w:t>
            </w:r>
            <w:r>
              <w:tab/>
            </w:r>
            <w:r>
              <w:fldChar w:fldCharType="begin" w:dirty="true"/>
              <w:instrText xml:space="preserve">PAGEREF _Toc199 \h</w:instrText>
              <w:fldChar w:fldCharType="separate"/>
              <w:fldChar w:fldCharType="end"/>
            </w:r>
          </w:hyperlink>
        </w:p>
        <w:p>
          <w:pPr>
            <w:pStyle w:val="TOC1"/>
            <w:tabs>
              <w:tab w:val="right" w:pos="9638" w:leader="dot"/>
            </w:tabs>
          </w:pPr>
          <w:hyperlink w:history="1" w:anchor="_Toc200">
            <w:r>
              <w:t xml:space="preserve">4. Measurements on CDB90 battles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4.1. The fire law: what daily losses depend on</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4.2. Intelligence and psychology in numerical advantage</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4.3. Will threshold</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4.4. Potential × effectiveness: what explains the outcome (branch 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4.5. Order of the index and the balance of forces (branch G)</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4.6. Effectiveness from open country-level features (CDB90 and UCDP GED)</w:t>
            </w:r>
            <w:r>
              <w:tab/>
            </w:r>
            <w:r>
              <w:fldChar w:fldCharType="begin" w:dirty="true"/>
              <w:instrText xml:space="preserve">PAGEREF _Toc206 \h</w:instrText>
              <w:fldChar w:fldCharType="separate"/>
              <w:fldChar w:fldCharType="end"/>
            </w:r>
          </w:hyperlink>
        </w:p>
        <w:p>
          <w:pPr>
            <w:pStyle w:val="TOC1"/>
            <w:tabs>
              <w:tab w:val="right" w:pos="9638" w:leader="dot"/>
            </w:tabs>
          </w:pPr>
          <w:hyperlink w:history="1" w:anchor="_Toc207">
            <w:r>
              <w:t xml:space="preserve">5. Analysis of common claims</w:t>
            </w:r>
            <w:r>
              <w:tab/>
            </w:r>
            <w:r>
              <w:fldChar w:fldCharType="begin" w:dirty="true"/>
              <w:instrText xml:space="preserve">PAGEREF _Toc207 \h</w:instrText>
              <w:fldChar w:fldCharType="separate"/>
              <w:fldChar w:fldCharType="end"/>
            </w:r>
          </w:hyperlink>
        </w:p>
        <w:p>
          <w:pPr>
            <w:pStyle w:val="TOC1"/>
            <w:tabs>
              <w:tab w:val="right" w:pos="9638" w:leader="dot"/>
            </w:tabs>
          </w:pPr>
          <w:hyperlink w:history="1" w:anchor="_Toc208">
            <w:r>
              <w:t xml:space="preserve">6. Scientific novelty</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6.1. Not new</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6.2. Possibly new (priority must be confirmed by a literature review)</w:t>
            </w:r>
            <w:r>
              <w:tab/>
            </w:r>
            <w:r>
              <w:fldChar w:fldCharType="begin" w:dirty="true"/>
              <w:instrText xml:space="preserve">PAGEREF _Toc210 \h</w:instrText>
              <w:fldChar w:fldCharType="separate"/>
              <w:fldChar w:fldCharType="end"/>
            </w:r>
          </w:hyperlink>
        </w:p>
        <w:p>
          <w:pPr>
            <w:pStyle w:val="TOC2"/>
            <w:tabs>
              <w:tab w:val="right" w:pos="9638" w:leader="dot"/>
            </w:tabs>
            <w:ind w:left="220"/>
          </w:pPr>
          <w:hyperlink w:history="1" w:anchor="_Toc211">
            <w:r>
              <w:t xml:space="preserve">6.3. Where the gap is</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7. Competitor: TENET Intelligence MCI</w:t>
            </w:r>
            <w:r>
              <w:tab/>
            </w:r>
            <w:r>
              <w:fldChar w:fldCharType="begin" w:dirty="true"/>
              <w:instrText xml:space="preserve">PAGEREF _Toc212 \h</w:instrText>
              <w:fldChar w:fldCharType="separate"/>
              <w:fldChar w:fldCharType="end"/>
            </w:r>
          </w:hyperlink>
        </w:p>
        <w:p>
          <w:pPr>
            <w:pStyle w:val="TOC1"/>
            <w:tabs>
              <w:tab w:val="right" w:pos="9638" w:leader="dot"/>
            </w:tabs>
          </w:pPr>
          <w:hyperlink w:history="1" w:anchor="_Toc213">
            <w:r>
              <w:t xml:space="preserve">8. Plan</w:t>
            </w:r>
            <w:r>
              <w:tab/>
            </w:r>
            <w:r>
              <w:fldChar w:fldCharType="begin" w:dirty="true"/>
              <w:instrText xml:space="preserve">PAGEREF _Toc213 \h</w:instrText>
              <w:fldChar w:fldCharType="separate"/>
              <w:fldChar w:fldCharType="end"/>
            </w:r>
          </w:hyperlink>
        </w:p>
        <w:p>
          <w:pPr>
            <w:pStyle w:val="TOC1"/>
            <w:tabs>
              <w:tab w:val="right" w:pos="9638" w:leader="dot"/>
            </w:tabs>
          </w:pPr>
          <w:hyperlink w:history="1" w:anchor="_Toc214">
            <w:r>
              <w:t xml:space="preserve">References</w:t>
            </w:r>
            <w:r>
              <w:tab/>
            </w:r>
            <w:r>
              <w:fldChar w:fldCharType="begin" w:dirty="true"/>
              <w:instrText xml:space="preserve">PAGEREF _Toc214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Open country-level features capture effectiveness only in part and do not transfer.</w:t>
      </w:r>
      <w:r>
        <w:t xml:space="preserve"> GDP per capita, democracy and mechanisation add +0.022 per battle to the prediction of 1900–1973 battle outcomes on top of numbers (8 times less than the compilers’ factors); on the independent UCDP GED base for 1989–2024 the transfer was not confirmed (Spearman +0.248, n = 24).</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spacing w:after="120" w:line="288"/>
        <w:jc w:val="both"/>
      </w:pPr>
      <w:r>
        <w:rPr>
          <w:b/>
          <w:bCs/>
        </w:rPr>
        <w:t xml:space="preserve">Layered air defence and target speed (implemented in the prototype calculator, `core/lanmil/salvo.py`).</w:t>
      </w:r>
      <w:r>
        <w:t xml:space="preserve"> Targets pass through the layers in order, and each layer spends stock only on the targets that reached it; the effectiveness of an interceptor falls with target speed above its reference speed:</w:t>
      </w:r>
    </w:p>
    <w:p>
      <w:pPr>
        <w:shd w:fill="F2F4F0" w:color="auto" w:val="clear"/>
        <w:spacing w:after="0" w:before="60"/>
        <w:ind w:left="200" w:right="200"/>
        <w:jc w:val="left"/>
      </w:pPr>
      <w:r>
        <w:rPr>
          <w:rFonts w:ascii="Consolas" w:cs="Consolas" w:eastAsia="Consolas" w:hAnsi="Consolas"/>
          <w:color w:val="1A1F1B"/>
          <w:sz w:val="19"/>
          <w:szCs w:val="19"/>
        </w:rPr>
        <w:t xml:space="preserve">p_eff = p0 for v ≤ v_ref,  otherwise  p0 · (v_ref / v)^g</w:t>
      </w:r>
    </w:p>
    <w:p>
      <w:pPr>
        <w:shd w:fill="F2F4F0" w:color="auto" w:val="clear"/>
        <w:spacing w:after="0" w:before="0"/>
        <w:ind w:left="200" w:right="200"/>
        <w:jc w:val="left"/>
      </w:pPr>
      <w:r>
        <w:rPr>
          <w:rFonts w:ascii="Consolas" w:cs="Consolas" w:eastAsia="Consolas" w:hAnsi="Consolas"/>
          <w:color w:val="1A1F1B"/>
          <w:sz w:val="19"/>
          <w:szCs w:val="19"/>
        </w:rPr>
        <w:t xml:space="preserve">a target passes a layer with probability (1 − p_eff)^n,  n — whole interceptors per target</w:t>
      </w:r>
    </w:p>
    <w:p>
      <w:pPr>
        <w:shd w:fill="F2F4F0" w:color="auto" w:val="clear"/>
        <w:spacing w:after="160" w:before="0"/>
        <w:ind w:left="200" w:right="200"/>
        <w:jc w:val="left"/>
      </w:pPr>
      <w:r>
        <w:rPr>
          <w:rFonts w:ascii="Consolas" w:cs="Consolas" w:eastAsia="Consolas" w:hAnsi="Consolas"/>
          <w:color w:val="1A1F1B"/>
          <w:sz w:val="19"/>
          <w:szCs w:val="19"/>
        </w:rPr>
        <w:t xml:space="preserve">stock_j(t+1) = stock_j(t) − k_j · (number of targets reaching layer j) + output_j</w:t>
      </w:r>
    </w:p>
    <w:p>
      <w:pPr>
        <w:spacing w:after="120" w:line="288"/>
        <w:jc w:val="both"/>
      </w:pPr>
      <w:r>
        <w:t xml:space="preserve">The exponent g = 0.5 was chosen roughly from two claimed class D points (piston-engine Shaheds are intercepted in 92–98% of cases, jet-type ones in about 60%; the Ukrainian Air Force, FT, September 2026) and is </w:t>
      </w:r>
      <w:r>
        <w:rPr>
          <w:b/>
          <w:bCs/>
        </w:rPr>
        <w:t xml:space="preserve">not a calibration</w:t>
      </w:r>
      <w:r>
        <w:t xml:space="preserve">: g and the reference speeds are set by the user. The default scenario is SAM missiles as the outer layer and interceptor drones as the inner one (prices from open estimates: an interceptor of about $1 million and about $5 thousand against a target of $30 thousand). The result is a demonstration: against a fast target (500 km/h instead of 180) the effectiveness of the inner layer falls from 0.70 to 0.49 and day-one leakage rises from 2.9 to 5.7 out of 100; the stock of the expensive outer layer runs out by the end of the month in both variants, while the cheap inner one accumulates, and the cost exchange stays at about 5 : 1 in favour of the offence (the defence spends five times more). The proof that a uniform distribution of interceptors over targets is optimal (arXiv 2608.31143, a preprint) means that the calculation is the best case for the defence.</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2"/>
      </w:pPr>
      <w:bookmarkStart w:name="_Toc196" w:id="196"/>
      <w:r>
        <w:t xml:space="preserve">2.4. Why the hypothesis did not work: yield per drone and the composition of losses (branch B)</w:t>
      </w:r>
      <w:bookmarkEnd w:id="196"/>
    </w:p>
    <w:p>
      <w:pPr>
        <w:spacing w:after="120" w:line="288"/>
        <w:jc w:val="both"/>
      </w:pPr>
      <w:r>
        <w:t xml:space="preserve">The next step is to understand the cause rather than look for another fit. Status of the analysis: </w:t>
      </w:r>
      <w:r>
        <w:rPr>
          <w:b/>
          <w:bCs/>
        </w:rPr>
        <w:t xml:space="preserve">exploratory, outside the protocol</w:t>
      </w:r>
      <w:r>
        <w:t xml:space="preserve"> (the loss ratio for 2025 was already known from the test in 2.3). Russia's losses are compared with the claimed drone output of Ukraine in two independent sources — Oryx and WarSpotting (records by date of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445"/>
        <w:gridCol w:w="1252"/>
        <w:gridCol w:w="1349"/>
        <w:gridCol w:w="1252"/>
        <w:gridCol w:w="1349"/>
        <w:gridCol w:w="1156"/>
        <w:gridCol w:w="1064"/>
      </w:tblGrid>
      <w:tr>
        <w:trPr>
          <w:tblHeader/>
        </w:trPr>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Year</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Ukrainian drone output, million (claimed)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Oryx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WarSpotting</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Oryx per million drones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WarSpotting per million drones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heavy equipment</w:t>
            </w:r>
          </w:p>
        </w:tc>
        <w:tc>
          <w:tcPr>
            <w:tcW w:type="dxa" w:w="10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light vehicles</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0.80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5168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4315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6460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5394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19%</w:t>
            </w:r>
          </w:p>
        </w:tc>
      </w:tr>
      <w:tr>
        <w:trPr>
          <w:cantSplit/>
        </w:trPr>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4"/>
                <w:szCs w:val="14"/>
              </w:rPr>
              <w:t xml:space="preserve">2024</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2.20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5984</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6296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2720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2862</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72%</w:t>
            </w:r>
          </w:p>
        </w:tc>
        <w:tc>
          <w:tcPr>
            <w:tcW w:type="dxa" w:w="10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17%</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2025</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4.00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4100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3464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1025</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866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58%</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29%</w:t>
            </w:r>
          </w:p>
        </w:tc>
      </w:tr>
    </w:tbl>
    <w:p>
      <w:pPr>
        <w:spacing w:after="120"/>
      </w:pPr>
    </w:p>
    <w:p>
      <w:pPr>
        <w:spacing w:after="120" w:line="288"/>
        <w:jc w:val="both"/>
      </w:pPr>
      <w:r>
        <w:t xml:space="preserve">The yield of losses per unit of claimed output fell by a factor of 6.3 according to Oryx (6460 → 1025 per million) and by a factor of 6.2 according to WarSpotting. The main point: between 2024 and 2025 the claimed Ukrainian output rose from 2.20 to 4.00 million, while the number of recorded Russian losses </w:t>
      </w:r>
      <w:r>
        <w:rPr>
          <w:b/>
          <w:bCs/>
        </w:rPr>
        <w:t xml:space="preserve">fell</w:t>
      </w:r>
      <w:r>
        <w:t xml:space="preserve"> — by 31% according to Oryx and by 45% according to WarSpotting. Any model of the form “losses are a non-decreasing function of output” with constant parameters (including the saturation model L = T·(1 − e^(−y·D/T))) is rejected by this in both independent sources.</w:t>
      </w:r>
    </w:p>
    <w:p>
      <w:pPr>
        <w:spacing w:after="120" w:line="288"/>
        <w:jc w:val="both"/>
      </w:pPr>
      <w:r>
        <w:t xml:space="preserve">In the WarSpotting records the share of heavy equipment (tanks, infantry fighting vehicles, self-propelled artillery) fell from 72% in 2024 to 24% in 2026 (as of 20.10.2026), while the share of light vehicles (transport, light mobility vehicles) rose from 17% to 48%. This is consistent with the descriptions by RUSI and Defence Studies: drones account for about two thirds of losses, but only 20–40% of them reach the target, and the adversary adapts — it disperses and replaces armour with light vehicles and infantry assaults.</w:t>
      </w:r>
    </w:p>
    <w:p>
      <w:pPr>
        <w:pBdr>
          <w:left w:val="single" w:color="9F2F27" w:sz="18" w:space="8"/>
        </w:pBdr>
        <w:shd w:fill="F4EEE9" w:color="auto" w:val="clear"/>
        <w:spacing w:after="160" w:before="120" w:line="276"/>
        <w:ind w:left="200" w:right="120"/>
      </w:pPr>
      <w:r>
        <w:rPr>
          <w:b/>
          <w:bCs/>
          <w:color w:val="9F2F27"/>
        </w:rPr>
        <w:t xml:space="preserve">Conclusion. </w:t>
      </w:r>
      <w:r>
        <w:t xml:space="preserve">Claimed output is a poor input parameter: losses are limited not by the number of “shooters” but by the number of vulnerable targets and by the adversary's adaptation. A proper attrition model is of the predator–prey type: losses = output × share arriving × share of hits × </w:t>
      </w:r>
      <w:r>
        <w:rPr>
          <w:b/>
          <w:bCs/>
        </w:rPr>
        <w:t xml:space="preserve">the share of targets still present at the front</w:t>
      </w:r>
      <w:r>
        <w:t xml:space="preserve">; the last factor itself declines. This is a testable hypothesis for a future period (the share of heavy equipment in the loss records will not return to the 2024 level), but not an accepted model: there are no independent monthly series of the number of targets at the front in open data. Caveats: output is claims by the parties, not comparable in definition; Oryx and WarSpotting record only what is confirmed by photo and video; 2026 is incomplete.</w:t>
      </w:r>
    </w:p>
    <w:p>
      <w:pPr>
        <w:pStyle w:val="Heading1"/>
        <w:pageBreakBefore/>
      </w:pPr>
      <w:bookmarkStart w:name="_Toc197" w:id="197"/>
      <w:r>
        <w:t xml:space="preserve">3. How models account for intelligence and psychology</w:t>
      </w:r>
      <w:bookmarkEnd w:id="197"/>
    </w:p>
    <w:p>
      <w:pPr>
        <w:pStyle w:val="Heading2"/>
      </w:pPr>
      <w:bookmarkStart w:name="_Toc198" w:id="198"/>
      <w:r>
        <w:t xml:space="preserve">3.1. Intelligence — transition between laws</w:t>
      </w:r>
      <w:bookmarkEnd w:id="198"/>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9" w:id="199"/>
      <w:r>
        <w:t xml:space="preserve">3.2. Psychology — will as a state variable</w:t>
      </w:r>
      <w:bookmarkEnd w:id="199"/>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200" w:id="200"/>
      <w:r>
        <w:t xml:space="preserve">4. Measurements on CDB90 battles</w:t>
      </w:r>
      <w:bookmarkEnd w:id="200"/>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1" w:id="201"/>
      <w:r>
        <w:t xml:space="preserve">4.1. The fire law: what daily losses depend on</w:t>
      </w:r>
      <w:bookmarkEnd w:id="201"/>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2" w:id="202"/>
      <w:r>
        <w:t xml:space="preserve">4.2. Intelligence and psychology in numerical advantage</w:t>
      </w:r>
      <w:bookmarkEnd w:id="202"/>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3" w:id="203"/>
      <w:r>
        <w:t xml:space="preserve">4.3. Will threshold</w:t>
      </w:r>
      <w:bookmarkEnd w:id="203"/>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4" w:id="204"/>
      <w:r>
        <w:t xml:space="preserve">4.4. Potential × effectiveness: what explains the outcome (branch A)</w:t>
      </w:r>
      <w:bookmarkEnd w:id="204"/>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5" w:id="205"/>
      <w:r>
        <w:t xml:space="preserve">4.5. Order of the index and the balance of forces (branch G)</w:t>
      </w:r>
      <w:bookmarkEnd w:id="205"/>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2"/>
      </w:pPr>
      <w:bookmarkStart w:name="_Toc206" w:id="206"/>
      <w:r>
        <w:t xml:space="preserve">4.6. Effectiveness from open country-level features (CDB90 and UCDP GED)</w:t>
      </w:r>
      <w:bookmarkEnd w:id="206"/>
    </w:p>
    <w:p>
      <w:pPr>
        <w:spacing w:after="120" w:line="288"/>
        <w:jc w:val="both"/>
      </w:pPr>
      <w:r>
        <w:t xml:space="preserve">Section 4.4 showed that effectiveness factors explain the outcome, but their codes were assigned by the compilers after the battles. Can they be replaced by features known before the battle? Protocol acd9792 was fixed before the calculation. Side features (attacker minus defender, last value within 5 years before the year of the battle): ln GDP per capita (Maddison), electoral democracy (V-Dem), ln energy consumption per soldier (CoW NMC — a measure of mechanisation), combat experience in the same war. Sample: n = 354 battles of 1900–1973 where both sides are matched to countries; the measure and cross-validation are as in Section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−0.687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−0.679</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+0.008 [+0.004;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GDP per capita, democracy, mechanisation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−0.657</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+0.022 [+0.015; +0.027]</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combat experience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−0.656</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+0.001 [−0.004; +0.004]</w:t>
            </w:r>
          </w:p>
        </w:tc>
      </w:tr>
    </w:tbl>
    <w:p>
      <w:pPr>
        <w:spacing w:after="120"/>
      </w:pPr>
    </w:p>
    <w:p>
      <w:pPr>
        <w:spacing w:after="120" w:line="288"/>
        <w:jc w:val="both"/>
      </w:pPr>
      <w:r>
        <w:t xml:space="preserve">Rule 1 (country features add at least 0.02 on top of numbers) is </w:t>
      </w:r>
      <w:r>
        <w:rPr>
          <w:b/>
          <w:bCs/>
        </w:rPr>
        <w:t xml:space="preserve">met</w:t>
      </w:r>
      <w:r>
        <w:t xml:space="preserve">: +0.022. This is the project’s first positive predictive finding on top of numbers, but it is roughly 8 times smaller than the upper bound from the compilers’ factors (+0.180). Rule 2 (combat experience beyond the country) is not met. The out-of-sample share of variance explained in the loss ratio rose from 0.01 (numbers) to 0.20 (country features) — the country explains a fifth of the spread, as in the literature (Biddle, Reiter and Stam): losses are determined by how forces fight, not by how many there are.</w:t>
      </w:r>
    </w:p>
    <w:p>
      <w:pPr>
        <w:spacing w:after="120" w:line="288"/>
        <w:jc w:val="both"/>
      </w:pPr>
      <w:r>
        <w:rPr>
          <w:b/>
          <w:bCs/>
        </w:rPr>
        <w:t xml:space="preserve">Independent check on UCDP GED v25.1.</w:t>
      </w:r>
      <w:r>
        <w:t xml:space="preserve"> The loss-exchange model (three features, no intercept, trained on CDB90 only, n = 354) was applied to interstate dyad-years of 1989–2024 (losses on both sides, at least 25 deaths): 24 dyad-years in 9 dyads, 12 of them India — Pakistan. The protocol with its rule (rank correlation of at least 0.30 and the lower bound of a dyad bootstrap above zero) was committed before the calculation. Result: Spearman +0.248 [−0.596; +0.627], the sign of the exchange guessed in 50% of cases; on the modern wars of 2018–2025 the models trained on CDB90 gave AUC 0.50 (E1) and 0.38 (E2) against “superiority sufficed”. </w:t>
      </w:r>
      <w:r>
        <w:rPr>
          <w:b/>
          <w:bCs/>
        </w:rPr>
        <w:t xml:space="preserve">The transfer is not confirmed.</w:t>
      </w:r>
    </w:p>
    <w:p>
      <w:pPr>
        <w:spacing w:after="120" w:line="288"/>
        <w:jc w:val="both"/>
      </w:pPr>
      <w:r>
        <w:rPr>
          <w:b/>
          <w:bCs/>
        </w:rPr>
        <w:t xml:space="preserve">A second independent base — Correlates of War wars (Inter-State War Data v4.0).</w:t>
      </w:r>
      <w:r>
        <w:t xml:space="preserve"> ACLED is available only with a key, so the COW interstate wars with participants’ losses were used: the unit is a war, features are taken for the lead states of the sides, the model is the same (trained on CDB90), and the protocol was fixed before the calculation. The main sample is wars since 1974, after CDB90 ends (17 wars): Spearman +0.520 [−0.014; +0.837], the sign guessed in 59% of cases. The direction matches CDB90 (the richer and more democratic side bears relatively smaller losses), the lower bound of the interval is slightly below zero, and the rule (at least 0.30 and the bound above zero) is </w:t>
      </w:r>
      <w:r>
        <w:rPr>
          <w:b/>
          <w:bCs/>
        </w:rPr>
        <w:t xml:space="preserve">not met</w:t>
      </w:r>
      <w:r>
        <w:t xml:space="preserve">. Without the four wars with a coalition of four or more states (the Gulf War, Kosovo, Afghanistan, Iraq) the relationship disappears: +0.152 (n = 14). For the wars of 1946–1973, where the era overlaps with CDB90 and there is no independence, Spearman is +0.679. This agrees with the literature: part of the effect is asymmetric wars of rich states against poor ones.</w:t>
      </w:r>
    </w:p>
    <w:p>
      <w:pPr>
        <w:pBdr>
          <w:left w:val="single" w:color="9F2F27" w:sz="18" w:space="8"/>
        </w:pBdr>
        <w:shd w:fill="F4EEE9" w:color="auto" w:val="clear"/>
        <w:spacing w:after="160" w:before="120" w:line="276"/>
        <w:ind w:left="200" w:right="120"/>
      </w:pPr>
      <w:r>
        <w:rPr>
          <w:b/>
          <w:bCs/>
          <w:color w:val="9F2F27"/>
        </w:rPr>
        <w:t xml:space="preserve">Conclusion. </w:t>
      </w:r>
      <w:r>
        <w:t xml:space="preserve">This is not a refutation: 24 cases in 9 dependent dyads give too little power, while on the COW wars the direction matches but the relationship rests on wars with coalitions. Therefore country features (GDP per capita, democracy, mechanisation) are not entered into the index: they capture part of effectiveness in the 1900–1973 era and have not yet shown skill on modern wars. For the effectiveness of modern armies, expert assessments are still needed (Delphi panel, modules M5–M6).</w:t>
      </w:r>
    </w:p>
    <w:p>
      <w:pPr>
        <w:pStyle w:val="Heading1"/>
        <w:pageBreakBefore/>
      </w:pPr>
      <w:bookmarkStart w:name="_Toc207" w:id="207"/>
      <w:r>
        <w:t xml:space="preserve">5. Analysis of common claims</w:t>
      </w:r>
      <w:bookmarkEnd w:id="207"/>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8" w:id="208"/>
      <w:r>
        <w:t xml:space="preserve">6. Scientific novelty</w:t>
      </w:r>
      <w:bookmarkEnd w:id="208"/>
    </w:p>
    <w:p>
      <w:pPr>
        <w:pStyle w:val="Heading2"/>
      </w:pPr>
      <w:bookmarkStart w:name="_Toc209" w:id="209"/>
      <w:r>
        <w:t xml:space="preserve">6.1. Not new</w:t>
      </w:r>
      <w:bookmarkEnd w:id="209"/>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10" w:id="210"/>
      <w:r>
        <w:t xml:space="preserve">6.2. Possibly new (priority must be confirmed by a literature review)</w:t>
      </w:r>
      <w:bookmarkEnd w:id="210"/>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11" w:id="211"/>
      <w:r>
        <w:t xml:space="preserve">6.3. Where the gap is</w:t>
      </w:r>
      <w:bookmarkEnd w:id="211"/>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2" w:id="212"/>
      <w:r>
        <w:t xml:space="preserve">7. Competitor: TENET Intelligence MCI</w:t>
      </w:r>
      <w:bookmarkEnd w:id="212"/>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8 (experts), 40 (pilot), 177 (extended set)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 (MLO-core, MIT)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0.962 out of sample; the simple baseline (border, history, last year) gives 0.958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 for honesty of validation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3" w:id="213"/>
      <w:r>
        <w:t xml:space="preserve">8. Plan</w:t>
      </w:r>
      <w:bookmarkEnd w:id="213"/>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ListParagraph"/>
        <w:numPr>
          <w:ilvl w:val="0"/>
          <w:numId w:val="3"/>
        </w:numPr>
        <w:spacing w:after="60" w:line="276"/>
      </w:pPr>
      <w:r>
        <w:t xml:space="preserve">Test effectiveness proxies on a base with many comparable clashes between states (for example, ACLED) — a separate protocol before the calculation.</w:t>
      </w:r>
    </w:p>
    <w:p>
      <w:pPr>
        <w:pStyle w:val="Heading1"/>
        <w:pageBreakBefore/>
      </w:pPr>
      <w:bookmarkStart w:name="_Toc214" w:id="214"/>
      <w:r>
        <w:t xml:space="preserve">References</w:t>
      </w:r>
      <w:bookmarkEnd w:id="214"/>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2026-10-22T12:57:23.779Z</dcterms:created>
  <dcterms:modified xsi:type="dcterms:W3CDTF">2026-10-22T12:57:23.779Z</dcterms:modified>
</cp:coreProperties>
</file>

<file path=docProps/custom.xml><?xml version="1.0" encoding="utf-8"?>
<Properties xmlns="http://schemas.openxmlformats.org/officeDocument/2006/custom-properties" xmlns:vt="http://schemas.openxmlformats.org/officeDocument/2006/docPropsVTypes"/>
</file>