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Bài 2: Một thư viện cần quản lý các loại tài liệu như sau: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Sách giáo khoa: Mã số, tên, số tập, lớp, nhà xuất bản, năm xuất bản, giá mua sách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Tạp chí: Mã số, tên, số trang, nhà xuất bản, ngày ấn hành, số lượng, giá mua tạp chí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Mẫu luận văn nghiên cứu: Mã số, tên đề tài, tên tác giả, năm thực hiện, lĩnh vực nghiên cứu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Vẽ sơ đồ thừa kế biểu diễn mối quan hệ các lớp (Yêu cầu ghi đủ thuộc tính (kiểu dữ liệu thuộc tính), hành vi (kiểu trả về của hành vi nếu có)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Hiện thực các lớp bằng ngôn ngữ C# theo sơ đồ đã vẽ ở câu a, với các yêu cầu sau: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Contructor chuẩn và constructor đầy đủ tham số ở các lớp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Phương thức Nhập các loại tài liệu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Phương thức In thông tin theo từng loại tài liệu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Phương thức Tính giá thuê của tài liệu: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§ Giá thuê = Đơn giá 1 ngày * số ngày thuê, với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Đơn giá 1 ngày của sách giáo khoa hoặc tạp chí = 1% giá mua, còn Mẫu luận văn nghiên cứu thì không mất tiền thuê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Số ngày thuê là giá trị truyền vào Phương thức Tính giá thuê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Nhập và xuất thông tin tất cả loại tài liệu thư viện đang có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Nếu chỉ thuê tài liệu 1 ngày thì loại tài liệu nào sẽ có giá thuê nhỏ nhất, in thông tin tài liệu đó ra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Sắp xếp danh sách tài liệu theo thứ tự giá mua tăng dần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