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5C9" w:rsidRPr="00A555B5" w:rsidRDefault="00B15A01" w:rsidP="00A555B5">
      <w:pPr>
        <w:pStyle w:val="berschrift1"/>
      </w:pPr>
      <w:r>
        <w:t>QUEST</w:t>
      </w:r>
      <w:r w:rsidRPr="00A555B5">
        <w:t xml:space="preserve"> </w:t>
      </w:r>
      <w:r>
        <w:t>(</w:t>
      </w:r>
      <w:r w:rsidR="00A555B5" w:rsidRPr="00A555B5">
        <w:t>QUenching EST</w:t>
      </w:r>
      <w:r>
        <w:t>imation)</w:t>
      </w:r>
    </w:p>
    <w:p w:rsidR="00240EF0" w:rsidRDefault="00240EF0" w:rsidP="00240EF0">
      <w:pPr>
        <w:pStyle w:val="berschrift2"/>
      </w:pPr>
      <w:r>
        <w:t>Overview</w:t>
      </w:r>
    </w:p>
    <w:p w:rsidR="00A555B5" w:rsidRDefault="00A555B5" w:rsidP="00A555B5">
      <w:pPr>
        <w:jc w:val="both"/>
      </w:pPr>
      <w:r w:rsidRPr="00A555B5">
        <w:t xml:space="preserve">The </w:t>
      </w:r>
      <w:r>
        <w:t xml:space="preserve">purpose of the </w:t>
      </w:r>
      <w:r w:rsidRPr="00A555B5">
        <w:t xml:space="preserve">software QUEST </w:t>
      </w:r>
      <w:r w:rsidR="00B15A01">
        <w:t>(</w:t>
      </w:r>
      <w:r w:rsidR="00B15A01" w:rsidRPr="00B15A01">
        <w:t>QUenching ESTimation)</w:t>
      </w:r>
      <w:r w:rsidR="00B15A01">
        <w:t xml:space="preserve"> </w:t>
      </w:r>
      <w:r>
        <w:t>is to simulate</w:t>
      </w:r>
      <w:r w:rsidRPr="00A555B5">
        <w:t xml:space="preserve"> </w:t>
      </w:r>
      <w:r>
        <w:t xml:space="preserve">dynamic quenching of xanthene dyes tethers to proteins by flexible linkers by simulating PET and the </w:t>
      </w:r>
      <w:r w:rsidRPr="00A555B5">
        <w:t xml:space="preserve">diffusion of </w:t>
      </w:r>
      <w:r>
        <w:t>dyes. In QUEST the dyes are approximated by a sphere diffusing within the</w:t>
      </w:r>
      <w:r w:rsidR="00B15A01">
        <w:t>ir</w:t>
      </w:r>
      <w:r>
        <w:t xml:space="preserve"> accessible volume</w:t>
      </w:r>
      <w:r w:rsidR="00F03513">
        <w:t xml:space="preserve"> (AV)</w:t>
      </w:r>
      <w:r>
        <w:t xml:space="preserve">. The quenching by PET </w:t>
      </w:r>
      <w:r w:rsidR="00B15A01">
        <w:t xml:space="preserve">of </w:t>
      </w:r>
      <w:r>
        <w:t xml:space="preserve">MET, PRO, TYR and TRP </w:t>
      </w:r>
      <w:r w:rsidR="00B15A01">
        <w:t xml:space="preserve">residues </w:t>
      </w:r>
      <w:r>
        <w:t>is approximated by a step function</w:t>
      </w:r>
      <w:r w:rsidR="00B15A01">
        <w:t xml:space="preserve"> </w:t>
      </w:r>
      <w:r>
        <w:t>where the dye is quenched with a provided rate contestant if it is closer than a given threshold distance.</w:t>
      </w:r>
    </w:p>
    <w:p w:rsidR="00A555B5" w:rsidRDefault="00D431D1" w:rsidP="00A555B5">
      <w:pPr>
        <w:jc w:val="both"/>
      </w:pPr>
      <w:r>
        <w:t>Fig. 1</w:t>
      </w:r>
      <w:r w:rsidR="00A555B5">
        <w:t xml:space="preserve"> </w:t>
      </w:r>
      <w:r>
        <w:t xml:space="preserve">(shown </w:t>
      </w:r>
      <w:r w:rsidR="00A555B5">
        <w:t>below</w:t>
      </w:r>
      <w:r>
        <w:t>)</w:t>
      </w:r>
      <w:r w:rsidR="00A555B5">
        <w:t xml:space="preserve"> presents the interface of QUEST</w:t>
      </w:r>
      <w:r w:rsidR="00B15A01">
        <w:t>.</w:t>
      </w:r>
      <w:r w:rsidR="00A555B5">
        <w:t xml:space="preserve"> </w:t>
      </w:r>
      <w:r>
        <w:t xml:space="preserve">The Interface is </w:t>
      </w:r>
      <w:r>
        <w:t xml:space="preserve">separated into an input/output region (1, to the left) and an output region (2 and 3, to the right). The </w:t>
      </w:r>
      <w:r w:rsidR="00A555B5">
        <w:t>relevant simulations parameters are set</w:t>
      </w:r>
      <w:r w:rsidR="00B15A01">
        <w:t xml:space="preserve"> </w:t>
      </w:r>
      <w:r>
        <w:t>in the region to the left</w:t>
      </w:r>
      <w:r w:rsidR="00B15A01">
        <w:t xml:space="preserve">. </w:t>
      </w:r>
      <w:r>
        <w:t>T</w:t>
      </w:r>
      <w:r w:rsidR="00B15A01">
        <w:t xml:space="preserve">he </w:t>
      </w:r>
      <w:r>
        <w:t xml:space="preserve">simulations results are shown in the region to </w:t>
      </w:r>
      <w:r w:rsidR="00B15A01">
        <w:t>right.</w:t>
      </w:r>
      <w:r>
        <w:t xml:space="preserve"> </w:t>
      </w:r>
      <w:r w:rsidR="00240EF0">
        <w:t xml:space="preserve">The simulation parameters are briefly listed an explained in Tab. 1. </w:t>
      </w:r>
      <w:r w:rsidR="00240EF0">
        <w:t>Below the simulation are briefly explained by an example.</w:t>
      </w:r>
      <w:r w:rsidR="00240EF0">
        <w:t xml:space="preserve"> </w:t>
      </w:r>
    </w:p>
    <w:p w:rsidR="00A555B5" w:rsidRDefault="00D431D1" w:rsidP="00D431D1">
      <w:pPr>
        <w:autoSpaceDE w:val="0"/>
        <w:autoSpaceDN w:val="0"/>
        <w:adjustRightInd w:val="0"/>
        <w:spacing w:after="0" w:line="240" w:lineRule="auto"/>
        <w:rPr>
          <w:rFonts w:ascii="Calibri" w:hAnsi="Calibri" w:cs="Calibri"/>
          <w:b/>
          <w:bCs/>
          <w:color w:val="000000"/>
          <w:sz w:val="40"/>
          <w:szCs w:val="40"/>
          <w:lang w:val="de"/>
        </w:rPr>
      </w:pPr>
      <w:r>
        <w:rPr>
          <w:rFonts w:ascii="Calibri" w:hAnsi="Calibri" w:cs="Calibri"/>
          <w:b/>
          <w:bCs/>
          <w:noProof/>
          <w:color w:val="000000"/>
          <w:sz w:val="40"/>
          <w:szCs w:val="40"/>
          <w:lang w:val="en-GB" w:eastAsia="en-GB"/>
        </w:rPr>
        <w:drawing>
          <wp:inline distT="0" distB="0" distL="0" distR="0">
            <wp:extent cx="5724525" cy="42767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rsidR="00D431D1" w:rsidRPr="00D431D1" w:rsidRDefault="00D431D1" w:rsidP="00D431D1">
      <w:pPr>
        <w:jc w:val="both"/>
        <w:rPr>
          <w:b/>
          <w:sz w:val="20"/>
        </w:rPr>
      </w:pPr>
      <w:r w:rsidRPr="00D431D1">
        <w:rPr>
          <w:b/>
          <w:sz w:val="20"/>
        </w:rPr>
        <w:t xml:space="preserve">Fig. 1 </w:t>
      </w:r>
      <w:r w:rsidRPr="00D431D1">
        <w:rPr>
          <w:sz w:val="20"/>
        </w:rPr>
        <w:t>Interface of QUEST (1) Input parameters (2) graphical representation of the simulated Brownian dynamics trajectory. The distance between the current position and the average position of the entire trajectory is displayed in dependence of the simulation time (3) auto correlation of the trajectory shown in (2)</w:t>
      </w:r>
    </w:p>
    <w:p w:rsidR="00240EF0" w:rsidRDefault="00240EF0" w:rsidP="00240EF0">
      <w:r>
        <w:br w:type="page"/>
      </w:r>
    </w:p>
    <w:p w:rsidR="00A555B5" w:rsidRDefault="00A555B5" w:rsidP="00A555B5"/>
    <w:p w:rsidR="00A555B5" w:rsidRPr="00D431D1" w:rsidRDefault="00D431D1" w:rsidP="00D431D1">
      <w:pPr>
        <w:spacing w:after="0"/>
      </w:pPr>
      <w:r w:rsidRPr="00240EF0">
        <w:rPr>
          <w:b/>
          <w:sz w:val="20"/>
        </w:rPr>
        <w:t xml:space="preserve">Tab. 1 </w:t>
      </w:r>
      <w:r w:rsidRPr="00240EF0">
        <w:rPr>
          <w:sz w:val="20"/>
        </w:rPr>
        <w:t>Simulation parameters and description of simulation parameters</w:t>
      </w:r>
    </w:p>
    <w:tbl>
      <w:tblPr>
        <w:tblStyle w:val="Tabellenraster"/>
        <w:tblW w:w="0" w:type="auto"/>
        <w:tblLook w:val="04A0" w:firstRow="1" w:lastRow="0" w:firstColumn="1" w:lastColumn="0" w:noHBand="0" w:noVBand="1"/>
      </w:tblPr>
      <w:tblGrid>
        <w:gridCol w:w="1980"/>
        <w:gridCol w:w="7036"/>
      </w:tblGrid>
      <w:tr w:rsidR="00A555B5" w:rsidTr="00A555B5">
        <w:tc>
          <w:tcPr>
            <w:tcW w:w="1980" w:type="dxa"/>
          </w:tcPr>
          <w:p w:rsidR="00A555B5" w:rsidRPr="00240EF0" w:rsidRDefault="00A555B5" w:rsidP="00A555B5">
            <w:pPr>
              <w:rPr>
                <w:b/>
                <w:sz w:val="20"/>
                <w:szCs w:val="20"/>
              </w:rPr>
            </w:pPr>
            <w:r w:rsidRPr="00240EF0">
              <w:rPr>
                <w:b/>
                <w:sz w:val="20"/>
                <w:szCs w:val="20"/>
              </w:rPr>
              <w:t>Parameter name</w:t>
            </w:r>
          </w:p>
        </w:tc>
        <w:tc>
          <w:tcPr>
            <w:tcW w:w="7036" w:type="dxa"/>
          </w:tcPr>
          <w:p w:rsidR="00A555B5" w:rsidRPr="00240EF0" w:rsidRDefault="00A555B5" w:rsidP="00A555B5">
            <w:pPr>
              <w:rPr>
                <w:b/>
                <w:sz w:val="20"/>
                <w:szCs w:val="20"/>
              </w:rPr>
            </w:pPr>
            <w:r w:rsidRPr="00240EF0">
              <w:rPr>
                <w:b/>
                <w:sz w:val="20"/>
                <w:szCs w:val="20"/>
              </w:rPr>
              <w:t>Description</w:t>
            </w:r>
          </w:p>
        </w:tc>
      </w:tr>
      <w:tr w:rsidR="00A555B5" w:rsidTr="00A555B5">
        <w:tc>
          <w:tcPr>
            <w:tcW w:w="1980" w:type="dxa"/>
          </w:tcPr>
          <w:p w:rsidR="00A555B5" w:rsidRPr="00240EF0" w:rsidRDefault="00A555B5" w:rsidP="00A555B5">
            <w:pPr>
              <w:rPr>
                <w:sz w:val="20"/>
                <w:szCs w:val="20"/>
              </w:rPr>
            </w:pPr>
            <w:r w:rsidRPr="00240EF0">
              <w:rPr>
                <w:sz w:val="20"/>
                <w:szCs w:val="20"/>
              </w:rPr>
              <w:t>PDB</w:t>
            </w:r>
          </w:p>
        </w:tc>
        <w:tc>
          <w:tcPr>
            <w:tcW w:w="7036" w:type="dxa"/>
          </w:tcPr>
          <w:p w:rsidR="00A555B5" w:rsidRPr="00240EF0" w:rsidRDefault="00A555B5" w:rsidP="00A555B5">
            <w:pPr>
              <w:rPr>
                <w:sz w:val="20"/>
                <w:szCs w:val="20"/>
              </w:rPr>
            </w:pPr>
            <w:r w:rsidRPr="00240EF0">
              <w:rPr>
                <w:sz w:val="20"/>
                <w:szCs w:val="20"/>
              </w:rPr>
              <w:t>Open PDB file. Only protonated files are read correctly. The naming scheme has to follow the “PARSE” convention of PDB2PQR</w:t>
            </w:r>
          </w:p>
        </w:tc>
      </w:tr>
      <w:tr w:rsidR="00A555B5" w:rsidTr="00A555B5">
        <w:tc>
          <w:tcPr>
            <w:tcW w:w="1980" w:type="dxa"/>
          </w:tcPr>
          <w:p w:rsidR="00A555B5" w:rsidRPr="00240EF0" w:rsidRDefault="00A555B5" w:rsidP="00A555B5">
            <w:pPr>
              <w:rPr>
                <w:sz w:val="20"/>
                <w:szCs w:val="20"/>
                <w:u w:val="single"/>
              </w:rPr>
            </w:pPr>
            <w:r w:rsidRPr="00240EF0">
              <w:rPr>
                <w:sz w:val="20"/>
                <w:szCs w:val="20"/>
                <w:u w:val="single"/>
              </w:rPr>
              <w:t>Sticky-Checkbox</w:t>
            </w:r>
          </w:p>
        </w:tc>
        <w:tc>
          <w:tcPr>
            <w:tcW w:w="7036" w:type="dxa"/>
          </w:tcPr>
          <w:p w:rsidR="00A555B5" w:rsidRPr="00240EF0" w:rsidRDefault="00A555B5" w:rsidP="00A555B5">
            <w:pPr>
              <w:rPr>
                <w:sz w:val="20"/>
                <w:szCs w:val="20"/>
              </w:rPr>
            </w:pPr>
            <w:r w:rsidRPr="00240EF0">
              <w:rPr>
                <w:sz w:val="20"/>
                <w:szCs w:val="20"/>
              </w:rPr>
              <w:t>If this checkbox is checked either the surface of the protein, as determined by the distance to the C-beta atoms, of the quenching amino acids are “sticky”. If this checkbox is unchecked the diffusion coefficient within the accessible volume of the dye is uniform.</w:t>
            </w:r>
          </w:p>
        </w:tc>
      </w:tr>
      <w:tr w:rsidR="00A555B5" w:rsidTr="00A555B5">
        <w:tc>
          <w:tcPr>
            <w:tcW w:w="1980" w:type="dxa"/>
          </w:tcPr>
          <w:p w:rsidR="00A555B5" w:rsidRPr="00240EF0" w:rsidRDefault="00F03513" w:rsidP="00A555B5">
            <w:pPr>
              <w:rPr>
                <w:sz w:val="20"/>
                <w:szCs w:val="20"/>
              </w:rPr>
            </w:pPr>
            <w:r w:rsidRPr="00240EF0">
              <w:rPr>
                <w:sz w:val="20"/>
                <w:szCs w:val="20"/>
              </w:rPr>
              <w:t>Rs[A]</w:t>
            </w:r>
          </w:p>
        </w:tc>
        <w:tc>
          <w:tcPr>
            <w:tcW w:w="7036" w:type="dxa"/>
          </w:tcPr>
          <w:p w:rsidR="00A555B5" w:rsidRPr="00240EF0" w:rsidRDefault="00F03513" w:rsidP="00F03513">
            <w:pPr>
              <w:rPr>
                <w:sz w:val="20"/>
                <w:szCs w:val="20"/>
              </w:rPr>
            </w:pPr>
            <w:r w:rsidRPr="00240EF0">
              <w:rPr>
                <w:sz w:val="20"/>
                <w:szCs w:val="20"/>
              </w:rPr>
              <w:t>A radius (distance) below which parts of the AV are considered as “sticky”. If for instance the distance between these points of the AV and a C-beta atom is smaller than Rs the diffusion coefficient of these AV-points is multiplied by the “slow factor” (see below).</w:t>
            </w:r>
          </w:p>
        </w:tc>
      </w:tr>
      <w:tr w:rsidR="00A555B5" w:rsidTr="00A555B5">
        <w:tc>
          <w:tcPr>
            <w:tcW w:w="1980" w:type="dxa"/>
          </w:tcPr>
          <w:p w:rsidR="00A555B5" w:rsidRPr="00240EF0" w:rsidRDefault="00F03513" w:rsidP="00A555B5">
            <w:pPr>
              <w:rPr>
                <w:sz w:val="20"/>
                <w:szCs w:val="20"/>
              </w:rPr>
            </w:pPr>
            <w:r w:rsidRPr="00240EF0">
              <w:rPr>
                <w:sz w:val="20"/>
                <w:szCs w:val="20"/>
              </w:rPr>
              <w:t>Slow factor</w:t>
            </w:r>
          </w:p>
        </w:tc>
        <w:tc>
          <w:tcPr>
            <w:tcW w:w="7036" w:type="dxa"/>
          </w:tcPr>
          <w:p w:rsidR="00A555B5" w:rsidRPr="00240EF0" w:rsidRDefault="00F03513" w:rsidP="00F03513">
            <w:pPr>
              <w:rPr>
                <w:sz w:val="20"/>
                <w:szCs w:val="20"/>
              </w:rPr>
            </w:pPr>
            <w:r w:rsidRPr="00240EF0">
              <w:rPr>
                <w:sz w:val="20"/>
                <w:szCs w:val="20"/>
              </w:rPr>
              <w:t>The diffusion coefficient of points within the AV which are closer than a critical distance to a stick object are multiplied by this scaling factor.</w:t>
            </w:r>
          </w:p>
        </w:tc>
      </w:tr>
      <w:tr w:rsidR="00A555B5" w:rsidTr="00A555B5">
        <w:tc>
          <w:tcPr>
            <w:tcW w:w="1980" w:type="dxa"/>
          </w:tcPr>
          <w:p w:rsidR="00A555B5" w:rsidRPr="00240EF0" w:rsidRDefault="002B128B" w:rsidP="00A555B5">
            <w:pPr>
              <w:rPr>
                <w:sz w:val="20"/>
                <w:szCs w:val="20"/>
              </w:rPr>
            </w:pPr>
            <w:r w:rsidRPr="00240EF0">
              <w:rPr>
                <w:sz w:val="20"/>
                <w:szCs w:val="20"/>
              </w:rPr>
              <w:t>Label-Chain</w:t>
            </w:r>
          </w:p>
        </w:tc>
        <w:tc>
          <w:tcPr>
            <w:tcW w:w="7036" w:type="dxa"/>
          </w:tcPr>
          <w:p w:rsidR="00A555B5" w:rsidRPr="00240EF0" w:rsidRDefault="00B15A01" w:rsidP="00A555B5">
            <w:pPr>
              <w:rPr>
                <w:sz w:val="20"/>
                <w:szCs w:val="20"/>
              </w:rPr>
            </w:pPr>
            <w:r w:rsidRPr="00240EF0">
              <w:rPr>
                <w:sz w:val="20"/>
                <w:szCs w:val="20"/>
              </w:rPr>
              <w:t>C</w:t>
            </w:r>
            <w:r w:rsidR="002B128B" w:rsidRPr="00240EF0">
              <w:rPr>
                <w:sz w:val="20"/>
                <w:szCs w:val="20"/>
              </w:rPr>
              <w:t>hain to which the dye is attached to</w:t>
            </w:r>
          </w:p>
        </w:tc>
      </w:tr>
      <w:tr w:rsidR="002B128B" w:rsidTr="00A555B5">
        <w:tc>
          <w:tcPr>
            <w:tcW w:w="1980" w:type="dxa"/>
          </w:tcPr>
          <w:p w:rsidR="002B128B" w:rsidRPr="00240EF0" w:rsidRDefault="002B128B" w:rsidP="00A555B5">
            <w:pPr>
              <w:rPr>
                <w:sz w:val="20"/>
                <w:szCs w:val="20"/>
              </w:rPr>
            </w:pPr>
            <w:r w:rsidRPr="00240EF0">
              <w:rPr>
                <w:sz w:val="20"/>
                <w:szCs w:val="20"/>
              </w:rPr>
              <w:t>Residue</w:t>
            </w:r>
          </w:p>
        </w:tc>
        <w:tc>
          <w:tcPr>
            <w:tcW w:w="7036" w:type="dxa"/>
          </w:tcPr>
          <w:p w:rsidR="002B128B" w:rsidRPr="00240EF0" w:rsidRDefault="00B15A01" w:rsidP="00A555B5">
            <w:pPr>
              <w:rPr>
                <w:sz w:val="20"/>
                <w:szCs w:val="20"/>
              </w:rPr>
            </w:pPr>
            <w:r w:rsidRPr="00240EF0">
              <w:rPr>
                <w:sz w:val="20"/>
                <w:szCs w:val="20"/>
              </w:rPr>
              <w:t>R</w:t>
            </w:r>
            <w:r w:rsidR="002B128B" w:rsidRPr="00240EF0">
              <w:rPr>
                <w:sz w:val="20"/>
                <w:szCs w:val="20"/>
              </w:rPr>
              <w:t>esidue to which the dye is attached to</w:t>
            </w:r>
          </w:p>
        </w:tc>
      </w:tr>
      <w:tr w:rsidR="002B128B" w:rsidTr="00A555B5">
        <w:tc>
          <w:tcPr>
            <w:tcW w:w="1980" w:type="dxa"/>
          </w:tcPr>
          <w:p w:rsidR="002B128B" w:rsidRPr="00240EF0" w:rsidRDefault="002B128B" w:rsidP="00A555B5">
            <w:pPr>
              <w:rPr>
                <w:sz w:val="20"/>
                <w:szCs w:val="20"/>
              </w:rPr>
            </w:pPr>
            <w:r w:rsidRPr="00240EF0">
              <w:rPr>
                <w:sz w:val="20"/>
                <w:szCs w:val="20"/>
              </w:rPr>
              <w:t>Atom</w:t>
            </w:r>
          </w:p>
        </w:tc>
        <w:tc>
          <w:tcPr>
            <w:tcW w:w="7036" w:type="dxa"/>
          </w:tcPr>
          <w:p w:rsidR="002B128B" w:rsidRPr="00240EF0" w:rsidRDefault="00B15A01" w:rsidP="00A555B5">
            <w:pPr>
              <w:rPr>
                <w:sz w:val="20"/>
                <w:szCs w:val="20"/>
              </w:rPr>
            </w:pPr>
            <w:r w:rsidRPr="00240EF0">
              <w:rPr>
                <w:sz w:val="20"/>
                <w:szCs w:val="20"/>
              </w:rPr>
              <w:t>A</w:t>
            </w:r>
            <w:r w:rsidR="002B128B" w:rsidRPr="00240EF0">
              <w:rPr>
                <w:sz w:val="20"/>
                <w:szCs w:val="20"/>
              </w:rPr>
              <w:t>tom name of the dye attachement</w:t>
            </w:r>
          </w:p>
        </w:tc>
      </w:tr>
      <w:tr w:rsidR="002B128B" w:rsidTr="00A555B5">
        <w:tc>
          <w:tcPr>
            <w:tcW w:w="1980" w:type="dxa"/>
          </w:tcPr>
          <w:p w:rsidR="002B128B" w:rsidRPr="00240EF0" w:rsidRDefault="002B128B" w:rsidP="00A555B5">
            <w:pPr>
              <w:rPr>
                <w:sz w:val="20"/>
                <w:szCs w:val="20"/>
              </w:rPr>
            </w:pPr>
            <w:r w:rsidRPr="00240EF0">
              <w:rPr>
                <w:sz w:val="20"/>
                <w:szCs w:val="20"/>
              </w:rPr>
              <w:t>Length</w:t>
            </w:r>
          </w:p>
        </w:tc>
        <w:tc>
          <w:tcPr>
            <w:tcW w:w="7036" w:type="dxa"/>
          </w:tcPr>
          <w:p w:rsidR="002B128B" w:rsidRPr="00240EF0" w:rsidRDefault="00B15A01" w:rsidP="00A555B5">
            <w:pPr>
              <w:rPr>
                <w:sz w:val="20"/>
                <w:szCs w:val="20"/>
              </w:rPr>
            </w:pPr>
            <w:r w:rsidRPr="00240EF0">
              <w:rPr>
                <w:sz w:val="20"/>
                <w:szCs w:val="20"/>
              </w:rPr>
              <w:t>L</w:t>
            </w:r>
            <w:r w:rsidR="002B128B" w:rsidRPr="00240EF0">
              <w:rPr>
                <w:sz w:val="20"/>
                <w:szCs w:val="20"/>
              </w:rPr>
              <w:t>inker-length in Angstroms of the dye</w:t>
            </w:r>
          </w:p>
        </w:tc>
      </w:tr>
      <w:tr w:rsidR="002B128B" w:rsidTr="00A555B5">
        <w:tc>
          <w:tcPr>
            <w:tcW w:w="1980" w:type="dxa"/>
          </w:tcPr>
          <w:p w:rsidR="002B128B" w:rsidRPr="00240EF0" w:rsidRDefault="002B128B" w:rsidP="00A555B5">
            <w:pPr>
              <w:rPr>
                <w:sz w:val="20"/>
                <w:szCs w:val="20"/>
              </w:rPr>
            </w:pPr>
            <w:r w:rsidRPr="00240EF0">
              <w:rPr>
                <w:sz w:val="20"/>
                <w:szCs w:val="20"/>
              </w:rPr>
              <w:t>Width</w:t>
            </w:r>
          </w:p>
        </w:tc>
        <w:tc>
          <w:tcPr>
            <w:tcW w:w="7036" w:type="dxa"/>
          </w:tcPr>
          <w:p w:rsidR="002B128B" w:rsidRPr="00240EF0" w:rsidRDefault="00B15A01" w:rsidP="002B128B">
            <w:pPr>
              <w:rPr>
                <w:sz w:val="20"/>
                <w:szCs w:val="20"/>
              </w:rPr>
            </w:pPr>
            <w:r w:rsidRPr="00240EF0">
              <w:rPr>
                <w:sz w:val="20"/>
                <w:szCs w:val="20"/>
              </w:rPr>
              <w:t>W</w:t>
            </w:r>
            <w:r w:rsidR="002B128B" w:rsidRPr="00240EF0">
              <w:rPr>
                <w:sz w:val="20"/>
                <w:szCs w:val="20"/>
              </w:rPr>
              <w:t>idth of the dye-linker in Angstrom</w:t>
            </w:r>
          </w:p>
        </w:tc>
      </w:tr>
      <w:tr w:rsidR="002B128B" w:rsidTr="00A555B5">
        <w:tc>
          <w:tcPr>
            <w:tcW w:w="1980" w:type="dxa"/>
          </w:tcPr>
          <w:p w:rsidR="002B128B" w:rsidRPr="00240EF0" w:rsidRDefault="002B128B" w:rsidP="00A555B5">
            <w:pPr>
              <w:rPr>
                <w:sz w:val="20"/>
                <w:szCs w:val="20"/>
              </w:rPr>
            </w:pPr>
            <w:r w:rsidRPr="00240EF0">
              <w:rPr>
                <w:sz w:val="20"/>
                <w:szCs w:val="20"/>
              </w:rPr>
              <w:t>Radius</w:t>
            </w:r>
          </w:p>
        </w:tc>
        <w:tc>
          <w:tcPr>
            <w:tcW w:w="7036" w:type="dxa"/>
          </w:tcPr>
          <w:p w:rsidR="002B128B" w:rsidRPr="00240EF0" w:rsidRDefault="00B15A01" w:rsidP="002B128B">
            <w:pPr>
              <w:rPr>
                <w:sz w:val="20"/>
                <w:szCs w:val="20"/>
              </w:rPr>
            </w:pPr>
            <w:r w:rsidRPr="00240EF0">
              <w:rPr>
                <w:sz w:val="20"/>
                <w:szCs w:val="20"/>
              </w:rPr>
              <w:t>R</w:t>
            </w:r>
            <w:r w:rsidR="002B128B" w:rsidRPr="00240EF0">
              <w:rPr>
                <w:sz w:val="20"/>
                <w:szCs w:val="20"/>
              </w:rPr>
              <w:t>adius of the dye</w:t>
            </w:r>
          </w:p>
        </w:tc>
      </w:tr>
      <w:tr w:rsidR="002B128B" w:rsidTr="00A555B5">
        <w:tc>
          <w:tcPr>
            <w:tcW w:w="1980" w:type="dxa"/>
          </w:tcPr>
          <w:p w:rsidR="002B128B" w:rsidRPr="00240EF0" w:rsidRDefault="002B128B" w:rsidP="00A555B5">
            <w:pPr>
              <w:rPr>
                <w:sz w:val="20"/>
                <w:szCs w:val="20"/>
              </w:rPr>
            </w:pPr>
            <w:r w:rsidRPr="00240EF0">
              <w:rPr>
                <w:sz w:val="20"/>
                <w:szCs w:val="20"/>
              </w:rPr>
              <w:t>dg</w:t>
            </w:r>
          </w:p>
        </w:tc>
        <w:tc>
          <w:tcPr>
            <w:tcW w:w="7036" w:type="dxa"/>
          </w:tcPr>
          <w:p w:rsidR="002B128B" w:rsidRPr="00240EF0" w:rsidRDefault="00B15A01" w:rsidP="002B128B">
            <w:pPr>
              <w:rPr>
                <w:sz w:val="20"/>
                <w:szCs w:val="20"/>
              </w:rPr>
            </w:pPr>
            <w:r w:rsidRPr="00240EF0">
              <w:rPr>
                <w:sz w:val="20"/>
                <w:szCs w:val="20"/>
              </w:rPr>
              <w:t>G</w:t>
            </w:r>
            <w:r w:rsidR="002B128B" w:rsidRPr="00240EF0">
              <w:rPr>
                <w:sz w:val="20"/>
                <w:szCs w:val="20"/>
              </w:rPr>
              <w:t>rid spacing of the accessible volume</w:t>
            </w:r>
          </w:p>
        </w:tc>
      </w:tr>
      <w:tr w:rsidR="002B128B" w:rsidTr="00A555B5">
        <w:tc>
          <w:tcPr>
            <w:tcW w:w="1980" w:type="dxa"/>
          </w:tcPr>
          <w:p w:rsidR="002B128B" w:rsidRPr="00240EF0" w:rsidRDefault="002B128B" w:rsidP="00A555B5">
            <w:pPr>
              <w:rPr>
                <w:sz w:val="20"/>
                <w:szCs w:val="20"/>
              </w:rPr>
            </w:pPr>
            <w:r w:rsidRPr="00240EF0">
              <w:rPr>
                <w:sz w:val="20"/>
                <w:szCs w:val="20"/>
              </w:rPr>
              <w:t>tau0</w:t>
            </w:r>
          </w:p>
        </w:tc>
        <w:tc>
          <w:tcPr>
            <w:tcW w:w="7036" w:type="dxa"/>
          </w:tcPr>
          <w:p w:rsidR="002B128B" w:rsidRPr="00240EF0" w:rsidRDefault="00B15A01" w:rsidP="002B128B">
            <w:pPr>
              <w:rPr>
                <w:sz w:val="20"/>
                <w:szCs w:val="20"/>
              </w:rPr>
            </w:pPr>
            <w:r w:rsidRPr="00240EF0">
              <w:rPr>
                <w:sz w:val="20"/>
                <w:szCs w:val="20"/>
              </w:rPr>
              <w:t>F</w:t>
            </w:r>
            <w:r w:rsidR="002B128B" w:rsidRPr="00240EF0">
              <w:rPr>
                <w:sz w:val="20"/>
                <w:szCs w:val="20"/>
              </w:rPr>
              <w:t xml:space="preserve">luorescence lifetime of the dye in absence of quenching </w:t>
            </w:r>
          </w:p>
        </w:tc>
      </w:tr>
      <w:tr w:rsidR="002B128B" w:rsidTr="00A555B5">
        <w:tc>
          <w:tcPr>
            <w:tcW w:w="1980" w:type="dxa"/>
          </w:tcPr>
          <w:p w:rsidR="002B128B" w:rsidRPr="00240EF0" w:rsidRDefault="002B128B" w:rsidP="00A555B5">
            <w:pPr>
              <w:rPr>
                <w:sz w:val="20"/>
                <w:szCs w:val="20"/>
              </w:rPr>
            </w:pPr>
            <w:r w:rsidRPr="00240EF0">
              <w:rPr>
                <w:sz w:val="20"/>
                <w:szCs w:val="20"/>
              </w:rPr>
              <w:t>D</w:t>
            </w:r>
          </w:p>
        </w:tc>
        <w:tc>
          <w:tcPr>
            <w:tcW w:w="7036" w:type="dxa"/>
          </w:tcPr>
          <w:p w:rsidR="002B128B" w:rsidRPr="00240EF0" w:rsidRDefault="00B15A01" w:rsidP="002B128B">
            <w:pPr>
              <w:rPr>
                <w:sz w:val="20"/>
                <w:szCs w:val="20"/>
              </w:rPr>
            </w:pPr>
            <w:r w:rsidRPr="00240EF0">
              <w:rPr>
                <w:sz w:val="20"/>
                <w:szCs w:val="20"/>
              </w:rPr>
              <w:t>D</w:t>
            </w:r>
            <w:r w:rsidR="002B128B" w:rsidRPr="00240EF0">
              <w:rPr>
                <w:sz w:val="20"/>
                <w:szCs w:val="20"/>
              </w:rPr>
              <w:t xml:space="preserve">iffusion coefficient of the dye when not sticking </w:t>
            </w:r>
          </w:p>
        </w:tc>
      </w:tr>
      <w:tr w:rsidR="002B128B" w:rsidTr="00A555B5">
        <w:tc>
          <w:tcPr>
            <w:tcW w:w="1980" w:type="dxa"/>
          </w:tcPr>
          <w:p w:rsidR="002B128B" w:rsidRPr="00240EF0" w:rsidRDefault="002B128B" w:rsidP="00A555B5">
            <w:pPr>
              <w:rPr>
                <w:sz w:val="20"/>
                <w:szCs w:val="20"/>
              </w:rPr>
            </w:pPr>
            <w:r w:rsidRPr="00240EF0">
              <w:rPr>
                <w:sz w:val="20"/>
                <w:szCs w:val="20"/>
              </w:rPr>
              <w:t>Quencher</w:t>
            </w:r>
          </w:p>
        </w:tc>
        <w:tc>
          <w:tcPr>
            <w:tcW w:w="7036" w:type="dxa"/>
          </w:tcPr>
          <w:p w:rsidR="002B128B" w:rsidRPr="00240EF0" w:rsidRDefault="00B15A01" w:rsidP="002B128B">
            <w:pPr>
              <w:rPr>
                <w:sz w:val="20"/>
                <w:szCs w:val="20"/>
              </w:rPr>
            </w:pPr>
            <w:r w:rsidRPr="00240EF0">
              <w:rPr>
                <w:sz w:val="20"/>
                <w:szCs w:val="20"/>
              </w:rPr>
              <w:t>A list of quenching amino acids following 3-letter amino acid codes. The amino acids are separated by spaces</w:t>
            </w:r>
          </w:p>
        </w:tc>
      </w:tr>
      <w:tr w:rsidR="002B128B" w:rsidTr="00A555B5">
        <w:tc>
          <w:tcPr>
            <w:tcW w:w="1980" w:type="dxa"/>
          </w:tcPr>
          <w:p w:rsidR="002B128B" w:rsidRPr="00240EF0" w:rsidRDefault="00B15A01" w:rsidP="00A555B5">
            <w:pPr>
              <w:rPr>
                <w:sz w:val="20"/>
                <w:szCs w:val="20"/>
              </w:rPr>
            </w:pPr>
            <w:r w:rsidRPr="00240EF0">
              <w:rPr>
                <w:sz w:val="20"/>
                <w:szCs w:val="20"/>
              </w:rPr>
              <w:t>Quench radius</w:t>
            </w:r>
          </w:p>
        </w:tc>
        <w:tc>
          <w:tcPr>
            <w:tcW w:w="7036" w:type="dxa"/>
          </w:tcPr>
          <w:p w:rsidR="002B128B" w:rsidRPr="00240EF0" w:rsidRDefault="00B15A01" w:rsidP="002B128B">
            <w:pPr>
              <w:rPr>
                <w:sz w:val="20"/>
                <w:szCs w:val="20"/>
              </w:rPr>
            </w:pPr>
            <w:r w:rsidRPr="00240EF0">
              <w:rPr>
                <w:sz w:val="20"/>
                <w:szCs w:val="20"/>
              </w:rPr>
              <w:t>Distance below which the dye is quenched by an quenching amino acid</w:t>
            </w:r>
          </w:p>
        </w:tc>
      </w:tr>
      <w:tr w:rsidR="00B15A01" w:rsidTr="00A555B5">
        <w:tc>
          <w:tcPr>
            <w:tcW w:w="1980" w:type="dxa"/>
          </w:tcPr>
          <w:p w:rsidR="00B15A01" w:rsidRPr="00240EF0" w:rsidRDefault="00B15A01" w:rsidP="00A555B5">
            <w:pPr>
              <w:rPr>
                <w:sz w:val="20"/>
                <w:szCs w:val="20"/>
              </w:rPr>
            </w:pPr>
            <w:r w:rsidRPr="00240EF0">
              <w:rPr>
                <w:sz w:val="20"/>
                <w:szCs w:val="20"/>
              </w:rPr>
              <w:t>kQ</w:t>
            </w:r>
          </w:p>
        </w:tc>
        <w:tc>
          <w:tcPr>
            <w:tcW w:w="7036" w:type="dxa"/>
          </w:tcPr>
          <w:p w:rsidR="00B15A01" w:rsidRPr="00240EF0" w:rsidRDefault="00B15A01" w:rsidP="002B128B">
            <w:pPr>
              <w:rPr>
                <w:sz w:val="20"/>
                <w:szCs w:val="20"/>
              </w:rPr>
            </w:pPr>
            <w:r w:rsidRPr="00240EF0">
              <w:rPr>
                <w:sz w:val="20"/>
                <w:szCs w:val="20"/>
              </w:rPr>
              <w:t>Rate constant of quenching</w:t>
            </w:r>
          </w:p>
        </w:tc>
      </w:tr>
      <w:tr w:rsidR="00B15A01" w:rsidTr="00A555B5">
        <w:tc>
          <w:tcPr>
            <w:tcW w:w="1980" w:type="dxa"/>
          </w:tcPr>
          <w:p w:rsidR="00B15A01" w:rsidRPr="00240EF0" w:rsidRDefault="00B15A01" w:rsidP="00A555B5">
            <w:pPr>
              <w:rPr>
                <w:sz w:val="20"/>
                <w:szCs w:val="20"/>
              </w:rPr>
            </w:pPr>
            <w:r w:rsidRPr="00240EF0">
              <w:rPr>
                <w:sz w:val="20"/>
                <w:szCs w:val="20"/>
              </w:rPr>
              <w:t>Exclude atoms</w:t>
            </w:r>
          </w:p>
        </w:tc>
        <w:tc>
          <w:tcPr>
            <w:tcW w:w="7036" w:type="dxa"/>
          </w:tcPr>
          <w:p w:rsidR="00B15A01" w:rsidRPr="00240EF0" w:rsidRDefault="00B15A01" w:rsidP="002B128B">
            <w:pPr>
              <w:rPr>
                <w:sz w:val="20"/>
                <w:szCs w:val="20"/>
              </w:rPr>
            </w:pPr>
            <w:r w:rsidRPr="00240EF0">
              <w:rPr>
                <w:sz w:val="20"/>
                <w:szCs w:val="20"/>
              </w:rPr>
              <w:t>If this is checked the atoms with the names listed below are not considered as quenching atoms</w:t>
            </w:r>
          </w:p>
        </w:tc>
      </w:tr>
      <w:tr w:rsidR="00B15A01" w:rsidTr="00A555B5">
        <w:tc>
          <w:tcPr>
            <w:tcW w:w="1980" w:type="dxa"/>
          </w:tcPr>
          <w:p w:rsidR="00B15A01" w:rsidRPr="00240EF0" w:rsidRDefault="00B15A01" w:rsidP="00A555B5">
            <w:pPr>
              <w:rPr>
                <w:sz w:val="20"/>
                <w:szCs w:val="20"/>
              </w:rPr>
            </w:pPr>
            <w:r w:rsidRPr="00240EF0">
              <w:rPr>
                <w:sz w:val="20"/>
                <w:szCs w:val="20"/>
              </w:rPr>
              <w:t>Sim time</w:t>
            </w:r>
          </w:p>
        </w:tc>
        <w:tc>
          <w:tcPr>
            <w:tcW w:w="7036" w:type="dxa"/>
          </w:tcPr>
          <w:p w:rsidR="00B15A01" w:rsidRPr="00240EF0" w:rsidRDefault="00B15A01" w:rsidP="002B128B">
            <w:pPr>
              <w:rPr>
                <w:sz w:val="20"/>
                <w:szCs w:val="20"/>
              </w:rPr>
            </w:pPr>
            <w:r w:rsidRPr="00240EF0">
              <w:rPr>
                <w:sz w:val="20"/>
                <w:szCs w:val="20"/>
              </w:rPr>
              <w:t xml:space="preserve">Length of the Brownian dynamics (BD) simulation </w:t>
            </w:r>
          </w:p>
        </w:tc>
      </w:tr>
      <w:tr w:rsidR="00B15A01" w:rsidTr="00A555B5">
        <w:tc>
          <w:tcPr>
            <w:tcW w:w="1980" w:type="dxa"/>
          </w:tcPr>
          <w:p w:rsidR="00B15A01" w:rsidRPr="00240EF0" w:rsidRDefault="00B15A01" w:rsidP="00A555B5">
            <w:pPr>
              <w:rPr>
                <w:sz w:val="20"/>
                <w:szCs w:val="20"/>
              </w:rPr>
            </w:pPr>
            <w:r w:rsidRPr="00240EF0">
              <w:rPr>
                <w:sz w:val="20"/>
                <w:szCs w:val="20"/>
              </w:rPr>
              <w:t>dt</w:t>
            </w:r>
          </w:p>
        </w:tc>
        <w:tc>
          <w:tcPr>
            <w:tcW w:w="7036" w:type="dxa"/>
          </w:tcPr>
          <w:p w:rsidR="00B15A01" w:rsidRPr="00240EF0" w:rsidRDefault="00B15A01" w:rsidP="002B128B">
            <w:pPr>
              <w:rPr>
                <w:sz w:val="20"/>
                <w:szCs w:val="20"/>
              </w:rPr>
            </w:pPr>
            <w:r w:rsidRPr="00240EF0">
              <w:rPr>
                <w:sz w:val="20"/>
                <w:szCs w:val="20"/>
              </w:rPr>
              <w:t>Step length of the BD-simulation</w:t>
            </w:r>
          </w:p>
        </w:tc>
      </w:tr>
      <w:tr w:rsidR="00B15A01" w:rsidTr="00A555B5">
        <w:tc>
          <w:tcPr>
            <w:tcW w:w="1980" w:type="dxa"/>
          </w:tcPr>
          <w:p w:rsidR="00B15A01" w:rsidRPr="00240EF0" w:rsidRDefault="00B15A01" w:rsidP="00A555B5">
            <w:pPr>
              <w:rPr>
                <w:sz w:val="20"/>
                <w:szCs w:val="20"/>
              </w:rPr>
            </w:pPr>
            <w:r w:rsidRPr="00240EF0">
              <w:rPr>
                <w:sz w:val="20"/>
                <w:szCs w:val="20"/>
              </w:rPr>
              <w:t>nPhotons</w:t>
            </w:r>
          </w:p>
        </w:tc>
        <w:tc>
          <w:tcPr>
            <w:tcW w:w="7036" w:type="dxa"/>
          </w:tcPr>
          <w:p w:rsidR="00B15A01" w:rsidRPr="00240EF0" w:rsidRDefault="00B15A01" w:rsidP="002B128B">
            <w:pPr>
              <w:rPr>
                <w:sz w:val="20"/>
                <w:szCs w:val="20"/>
              </w:rPr>
            </w:pPr>
            <w:r w:rsidRPr="00240EF0">
              <w:rPr>
                <w:sz w:val="20"/>
                <w:szCs w:val="20"/>
              </w:rPr>
              <w:t>Number of simulated photons</w:t>
            </w:r>
          </w:p>
        </w:tc>
      </w:tr>
      <w:tr w:rsidR="00B15A01" w:rsidTr="00A555B5">
        <w:tc>
          <w:tcPr>
            <w:tcW w:w="1980" w:type="dxa"/>
          </w:tcPr>
          <w:p w:rsidR="00B15A01" w:rsidRPr="00240EF0" w:rsidRDefault="00B15A01" w:rsidP="00A555B5">
            <w:pPr>
              <w:rPr>
                <w:sz w:val="20"/>
                <w:szCs w:val="20"/>
              </w:rPr>
            </w:pPr>
            <w:r w:rsidRPr="00240EF0">
              <w:rPr>
                <w:sz w:val="20"/>
                <w:szCs w:val="20"/>
              </w:rPr>
              <w:t>Frames</w:t>
            </w:r>
          </w:p>
        </w:tc>
        <w:tc>
          <w:tcPr>
            <w:tcW w:w="7036" w:type="dxa"/>
          </w:tcPr>
          <w:p w:rsidR="00B15A01" w:rsidRPr="00240EF0" w:rsidRDefault="00B15A01" w:rsidP="00B15A01">
            <w:pPr>
              <w:rPr>
                <w:sz w:val="20"/>
                <w:szCs w:val="20"/>
              </w:rPr>
            </w:pPr>
            <w:r w:rsidRPr="00240EF0">
              <w:rPr>
                <w:sz w:val="20"/>
                <w:szCs w:val="20"/>
              </w:rPr>
              <w:t>Resulting number of simulated frames</w:t>
            </w:r>
          </w:p>
        </w:tc>
      </w:tr>
      <w:tr w:rsidR="009D3C54" w:rsidTr="00A555B5">
        <w:tc>
          <w:tcPr>
            <w:tcW w:w="1980" w:type="dxa"/>
          </w:tcPr>
          <w:p w:rsidR="009D3C54" w:rsidRPr="00240EF0" w:rsidRDefault="009D3C54" w:rsidP="00A555B5">
            <w:pPr>
              <w:rPr>
                <w:sz w:val="20"/>
                <w:szCs w:val="20"/>
              </w:rPr>
            </w:pPr>
            <w:r w:rsidRPr="00240EF0">
              <w:rPr>
                <w:sz w:val="20"/>
                <w:szCs w:val="20"/>
              </w:rPr>
              <w:t>QY(F)</w:t>
            </w:r>
          </w:p>
        </w:tc>
        <w:tc>
          <w:tcPr>
            <w:tcW w:w="7036" w:type="dxa"/>
          </w:tcPr>
          <w:p w:rsidR="009D3C54" w:rsidRPr="00240EF0" w:rsidRDefault="009D3C54" w:rsidP="00B15A01">
            <w:pPr>
              <w:rPr>
                <w:sz w:val="20"/>
                <w:szCs w:val="20"/>
              </w:rPr>
            </w:pPr>
            <w:r w:rsidRPr="00240EF0">
              <w:rPr>
                <w:sz w:val="20"/>
                <w:szCs w:val="20"/>
              </w:rPr>
              <w:t>Simulated fluorescence quantum yield</w:t>
            </w:r>
          </w:p>
        </w:tc>
      </w:tr>
      <w:tr w:rsidR="009D3C54" w:rsidTr="00A555B5">
        <w:tc>
          <w:tcPr>
            <w:tcW w:w="1980" w:type="dxa"/>
          </w:tcPr>
          <w:p w:rsidR="009D3C54" w:rsidRPr="00240EF0" w:rsidRDefault="009D3C54" w:rsidP="00A555B5">
            <w:pPr>
              <w:rPr>
                <w:sz w:val="20"/>
                <w:szCs w:val="20"/>
              </w:rPr>
            </w:pPr>
            <w:r w:rsidRPr="00240EF0">
              <w:rPr>
                <w:sz w:val="20"/>
                <w:szCs w:val="20"/>
              </w:rPr>
              <w:t>collided</w:t>
            </w:r>
          </w:p>
        </w:tc>
        <w:tc>
          <w:tcPr>
            <w:tcW w:w="7036" w:type="dxa"/>
          </w:tcPr>
          <w:p w:rsidR="009D3C54" w:rsidRPr="00240EF0" w:rsidRDefault="009D3C54" w:rsidP="00B15A01">
            <w:pPr>
              <w:rPr>
                <w:sz w:val="20"/>
                <w:szCs w:val="20"/>
              </w:rPr>
            </w:pPr>
            <w:r w:rsidRPr="00240EF0">
              <w:rPr>
                <w:sz w:val="20"/>
                <w:szCs w:val="20"/>
              </w:rPr>
              <w:t>Fraction of dyes which collided with a quenching amino acid</w:t>
            </w:r>
          </w:p>
        </w:tc>
      </w:tr>
      <w:tr w:rsidR="009D3C54" w:rsidTr="00A555B5">
        <w:tc>
          <w:tcPr>
            <w:tcW w:w="1980" w:type="dxa"/>
          </w:tcPr>
          <w:p w:rsidR="009D3C54" w:rsidRPr="00240EF0" w:rsidRDefault="009D3C54" w:rsidP="00A555B5">
            <w:pPr>
              <w:rPr>
                <w:sz w:val="20"/>
                <w:szCs w:val="20"/>
              </w:rPr>
            </w:pPr>
            <w:r w:rsidRPr="00240EF0">
              <w:rPr>
                <w:sz w:val="20"/>
                <w:szCs w:val="20"/>
              </w:rPr>
              <w:t>nBins</w:t>
            </w:r>
          </w:p>
        </w:tc>
        <w:tc>
          <w:tcPr>
            <w:tcW w:w="7036" w:type="dxa"/>
          </w:tcPr>
          <w:p w:rsidR="009D3C54" w:rsidRPr="00240EF0" w:rsidRDefault="009D3C54" w:rsidP="00B15A01">
            <w:pPr>
              <w:rPr>
                <w:sz w:val="20"/>
                <w:szCs w:val="20"/>
              </w:rPr>
            </w:pPr>
            <w:r w:rsidRPr="00240EF0">
              <w:rPr>
                <w:sz w:val="20"/>
                <w:szCs w:val="20"/>
              </w:rPr>
              <w:t>Number of bins of the fluorescence intensity decay histogram</w:t>
            </w:r>
          </w:p>
        </w:tc>
      </w:tr>
      <w:tr w:rsidR="009D3C54" w:rsidTr="00A555B5">
        <w:tc>
          <w:tcPr>
            <w:tcW w:w="1980" w:type="dxa"/>
          </w:tcPr>
          <w:p w:rsidR="009D3C54" w:rsidRPr="00240EF0" w:rsidRDefault="009D3C54" w:rsidP="00A555B5">
            <w:pPr>
              <w:rPr>
                <w:sz w:val="20"/>
                <w:szCs w:val="20"/>
              </w:rPr>
            </w:pPr>
            <w:r w:rsidRPr="00240EF0">
              <w:rPr>
                <w:sz w:val="20"/>
                <w:szCs w:val="20"/>
              </w:rPr>
              <w:t>range</w:t>
            </w:r>
          </w:p>
        </w:tc>
        <w:tc>
          <w:tcPr>
            <w:tcW w:w="7036" w:type="dxa"/>
          </w:tcPr>
          <w:p w:rsidR="009D3C54" w:rsidRPr="00240EF0" w:rsidRDefault="009D3C54" w:rsidP="00B15A01">
            <w:pPr>
              <w:rPr>
                <w:sz w:val="20"/>
                <w:szCs w:val="20"/>
              </w:rPr>
            </w:pPr>
            <w:r w:rsidRPr="00240EF0">
              <w:rPr>
                <w:sz w:val="20"/>
                <w:szCs w:val="20"/>
              </w:rPr>
              <w:t>Range (in nanoseconds) of the fluorescence intensity decay histogram</w:t>
            </w:r>
          </w:p>
        </w:tc>
      </w:tr>
      <w:tr w:rsidR="009D3C54" w:rsidTr="00A555B5">
        <w:tc>
          <w:tcPr>
            <w:tcW w:w="1980" w:type="dxa"/>
          </w:tcPr>
          <w:p w:rsidR="009D3C54" w:rsidRPr="00240EF0" w:rsidRDefault="009D3C54" w:rsidP="00A555B5">
            <w:pPr>
              <w:rPr>
                <w:sz w:val="20"/>
                <w:szCs w:val="20"/>
              </w:rPr>
            </w:pPr>
            <w:r w:rsidRPr="00240EF0">
              <w:rPr>
                <w:sz w:val="20"/>
                <w:szCs w:val="20"/>
              </w:rPr>
              <w:t>skip</w:t>
            </w:r>
          </w:p>
        </w:tc>
        <w:tc>
          <w:tcPr>
            <w:tcW w:w="7036" w:type="dxa"/>
          </w:tcPr>
          <w:p w:rsidR="009D3C54" w:rsidRPr="00240EF0" w:rsidRDefault="009D3C54" w:rsidP="009D3C54">
            <w:pPr>
              <w:rPr>
                <w:sz w:val="20"/>
                <w:szCs w:val="20"/>
              </w:rPr>
            </w:pPr>
            <w:r w:rsidRPr="00240EF0">
              <w:rPr>
                <w:sz w:val="20"/>
                <w:szCs w:val="20"/>
              </w:rPr>
              <w:t>Number of frames which are skipped when BD-simulations are saved or visualized</w:t>
            </w:r>
          </w:p>
        </w:tc>
      </w:tr>
      <w:tr w:rsidR="009D3C54" w:rsidTr="00A555B5">
        <w:tc>
          <w:tcPr>
            <w:tcW w:w="1980" w:type="dxa"/>
          </w:tcPr>
          <w:p w:rsidR="009D3C54" w:rsidRPr="00240EF0" w:rsidRDefault="009D3C54" w:rsidP="00A555B5">
            <w:pPr>
              <w:rPr>
                <w:sz w:val="20"/>
                <w:szCs w:val="20"/>
              </w:rPr>
            </w:pPr>
            <w:r w:rsidRPr="00240EF0">
              <w:rPr>
                <w:sz w:val="20"/>
                <w:szCs w:val="20"/>
              </w:rPr>
              <w:t>Prefix</w:t>
            </w:r>
          </w:p>
        </w:tc>
        <w:tc>
          <w:tcPr>
            <w:tcW w:w="7036" w:type="dxa"/>
          </w:tcPr>
          <w:p w:rsidR="009D3C54" w:rsidRPr="00240EF0" w:rsidRDefault="009D3C54" w:rsidP="00B15A01">
            <w:pPr>
              <w:rPr>
                <w:sz w:val="20"/>
                <w:szCs w:val="20"/>
              </w:rPr>
            </w:pPr>
            <w:r w:rsidRPr="00240EF0">
              <w:rPr>
                <w:sz w:val="20"/>
                <w:szCs w:val="20"/>
              </w:rPr>
              <w:t>Prefix of AV-filenames when saved</w:t>
            </w:r>
          </w:p>
        </w:tc>
      </w:tr>
    </w:tbl>
    <w:p w:rsidR="00A555B5" w:rsidRDefault="00A555B5" w:rsidP="00A555B5"/>
    <w:p w:rsidR="00D431D1" w:rsidRDefault="00240EF0" w:rsidP="00240EF0">
      <w:pPr>
        <w:pStyle w:val="berschrift2"/>
      </w:pPr>
      <w:r>
        <w:t>Example</w:t>
      </w:r>
    </w:p>
    <w:p w:rsidR="00240EF0" w:rsidRDefault="00240EF0" w:rsidP="00240EF0">
      <w:pPr>
        <w:jc w:val="both"/>
      </w:pPr>
      <w:r>
        <w:t xml:space="preserve">Before simulating fluorescence decays and fluorescence quenching you have to ensure that the structure of interest is in an appropriate data format. Additionally, crystal water potentially contained in the structure as provided by the protein databank (PDB) should be removed. This is exemplified by a structure (PDB-ID: 172L) of T4 lysozyme (T4L). </w:t>
      </w:r>
      <w:r w:rsidR="004E6B5B">
        <w:t>As can be seen in Fig. 2 the water contained in a crystal structure may exclude a significant fraction of the surface otherwise accessible by the dye. The crystal water should be removed from the structure as potentially accessible quenching sites are otherwise inaccessible.</w:t>
      </w:r>
    </w:p>
    <w:p w:rsidR="00240EF0" w:rsidRDefault="00240EF0" w:rsidP="004E6B5B">
      <w:pPr>
        <w:spacing w:after="0"/>
        <w:jc w:val="both"/>
      </w:pPr>
      <w:r>
        <w:rPr>
          <w:noProof/>
          <w:lang w:val="en-GB" w:eastAsia="en-GB"/>
        </w:rPr>
        <w:lastRenderedPageBreak/>
        <w:drawing>
          <wp:inline distT="0" distB="0" distL="0" distR="0" wp14:anchorId="4A0B9915" wp14:editId="29853505">
            <wp:extent cx="3666226" cy="247899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0756" cy="2509106"/>
                    </a:xfrm>
                    <a:prstGeom prst="rect">
                      <a:avLst/>
                    </a:prstGeom>
                  </pic:spPr>
                </pic:pic>
              </a:graphicData>
            </a:graphic>
          </wp:inline>
        </w:drawing>
      </w:r>
    </w:p>
    <w:p w:rsidR="00240EF0" w:rsidRDefault="004E6B5B" w:rsidP="004E6B5B">
      <w:pPr>
        <w:spacing w:line="240" w:lineRule="auto"/>
        <w:jc w:val="both"/>
        <w:rPr>
          <w:sz w:val="20"/>
        </w:rPr>
      </w:pPr>
      <w:r w:rsidRPr="004E6B5B">
        <w:rPr>
          <w:b/>
          <w:sz w:val="20"/>
        </w:rPr>
        <w:t>Fig. </w:t>
      </w:r>
      <w:r w:rsidR="00240EF0" w:rsidRPr="004E6B5B">
        <w:rPr>
          <w:b/>
          <w:sz w:val="20"/>
        </w:rPr>
        <w:t>2</w:t>
      </w:r>
      <w:r w:rsidRPr="004E6B5B">
        <w:rPr>
          <w:b/>
          <w:sz w:val="20"/>
        </w:rPr>
        <w:t>.</w:t>
      </w:r>
      <w:r w:rsidR="00240EF0" w:rsidRPr="004E6B5B">
        <w:rPr>
          <w:sz w:val="20"/>
        </w:rPr>
        <w:t xml:space="preserve"> Structure of T4-lysozyme </w:t>
      </w:r>
      <w:r w:rsidRPr="004E6B5B">
        <w:rPr>
          <w:sz w:val="20"/>
        </w:rPr>
        <w:t>(shown in green) and the crystal water contained in the structure contained in the protein databank (PDB)</w:t>
      </w:r>
    </w:p>
    <w:p w:rsidR="004E6B5B" w:rsidRDefault="004E6B5B" w:rsidP="004E6B5B">
      <w:pPr>
        <w:spacing w:line="240" w:lineRule="auto"/>
        <w:jc w:val="both"/>
      </w:pPr>
      <w:r w:rsidRPr="004E6B5B">
        <w:t xml:space="preserve">Next, </w:t>
      </w:r>
      <w:r>
        <w:t>the protein structure should be protonated and the naming of the atoms has to be adapted to following the naming convention of the “PARSE” forcefield. This can be accomplished by uploading the protein structure to the PDB2PQR-webserver.</w:t>
      </w:r>
    </w:p>
    <w:p w:rsidR="004E6B5B" w:rsidRDefault="004E6B5B" w:rsidP="004E6B5B">
      <w:pPr>
        <w:spacing w:line="240" w:lineRule="auto"/>
        <w:ind w:firstLine="720"/>
        <w:jc w:val="both"/>
      </w:pPr>
      <w:hyperlink r:id="rId6" w:history="1">
        <w:r w:rsidRPr="003D2AC1">
          <w:rPr>
            <w:rStyle w:val="Hyperlink"/>
          </w:rPr>
          <w:t>http://nbcr-222.ucsd.edu/pdb2pqr_2.0.0/</w:t>
        </w:r>
      </w:hyperlink>
    </w:p>
    <w:p w:rsidR="004E6B5B" w:rsidRDefault="004E6B5B" w:rsidP="004E6B5B">
      <w:pPr>
        <w:spacing w:line="240" w:lineRule="auto"/>
        <w:jc w:val="both"/>
      </w:pPr>
      <w:r>
        <w:t>Download the resulting PQR file and save it as PDB-file. This PDB-</w:t>
      </w:r>
      <w:r w:rsidR="00927DF1">
        <w:t>file can be opened in QUEST by clicking on (…) highlighted in Fig. 3 by the red number “1”. Next, adjust the parameters to your needs and click on the “update” button to calculate a BD-trajectory and the corresponding fluorescence decay. These steps are shown in Fig. 3.</w:t>
      </w:r>
    </w:p>
    <w:p w:rsidR="00927DF1" w:rsidRDefault="00927DF1" w:rsidP="00927DF1">
      <w:pPr>
        <w:spacing w:after="0" w:line="240" w:lineRule="auto"/>
        <w:jc w:val="both"/>
      </w:pPr>
      <w:r w:rsidRPr="00927DF1">
        <w:drawing>
          <wp:inline distT="0" distB="0" distL="0" distR="0">
            <wp:extent cx="4418381" cy="3290051"/>
            <wp:effectExtent l="0" t="0" r="127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924" cy="3300880"/>
                    </a:xfrm>
                    <a:prstGeom prst="rect">
                      <a:avLst/>
                    </a:prstGeom>
                    <a:noFill/>
                    <a:ln>
                      <a:noFill/>
                    </a:ln>
                  </pic:spPr>
                </pic:pic>
              </a:graphicData>
            </a:graphic>
          </wp:inline>
        </w:drawing>
      </w:r>
    </w:p>
    <w:p w:rsidR="00927DF1" w:rsidRDefault="00927DF1" w:rsidP="004E6B5B">
      <w:pPr>
        <w:spacing w:line="240" w:lineRule="auto"/>
        <w:jc w:val="both"/>
        <w:rPr>
          <w:sz w:val="20"/>
          <w:szCs w:val="20"/>
        </w:rPr>
      </w:pPr>
      <w:r w:rsidRPr="00927DF1">
        <w:rPr>
          <w:b/>
          <w:sz w:val="20"/>
          <w:szCs w:val="20"/>
        </w:rPr>
        <w:t>Fig. 3.</w:t>
      </w:r>
      <w:r w:rsidRPr="00927DF1">
        <w:rPr>
          <w:sz w:val="20"/>
          <w:szCs w:val="20"/>
        </w:rPr>
        <w:t xml:space="preserve"> Steps in simulating fluorescence decays based on a structural model</w:t>
      </w:r>
      <w:r>
        <w:rPr>
          <w:sz w:val="20"/>
          <w:szCs w:val="20"/>
        </w:rPr>
        <w:t xml:space="preserve">. First open a PDB file (1). Next, (2) update/calculate a BD-trajectory. </w:t>
      </w:r>
    </w:p>
    <w:p w:rsidR="00927DF1" w:rsidRPr="00927DF1" w:rsidRDefault="00927DF1" w:rsidP="004E6B5B">
      <w:pPr>
        <w:spacing w:line="240" w:lineRule="auto"/>
        <w:jc w:val="both"/>
        <w:rPr>
          <w:sz w:val="20"/>
          <w:szCs w:val="20"/>
        </w:rPr>
      </w:pPr>
      <w:bookmarkStart w:id="0" w:name="_GoBack"/>
      <w:bookmarkEnd w:id="0"/>
    </w:p>
    <w:sectPr w:rsidR="00927DF1" w:rsidRPr="0092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B5"/>
    <w:rsid w:val="001F15C9"/>
    <w:rsid w:val="00240EF0"/>
    <w:rsid w:val="002B128B"/>
    <w:rsid w:val="004E6B5B"/>
    <w:rsid w:val="008111EE"/>
    <w:rsid w:val="00927DF1"/>
    <w:rsid w:val="009A4705"/>
    <w:rsid w:val="009D3C54"/>
    <w:rsid w:val="00A555B5"/>
    <w:rsid w:val="00B15A01"/>
    <w:rsid w:val="00D431D1"/>
    <w:rsid w:val="00F03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645F"/>
  <w15:chartTrackingRefBased/>
  <w15:docId w15:val="{DE8594AB-1957-458D-8A10-F31BF3F1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A55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555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55B5"/>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A555B5"/>
    <w:rPr>
      <w:rFonts w:asciiTheme="majorHAnsi" w:eastAsiaTheme="majorEastAsia" w:hAnsiTheme="majorHAnsi" w:cstheme="majorBidi"/>
      <w:color w:val="2E74B5" w:themeColor="accent1" w:themeShade="BF"/>
      <w:sz w:val="32"/>
      <w:szCs w:val="32"/>
      <w:lang w:val="en-US"/>
    </w:rPr>
  </w:style>
  <w:style w:type="table" w:styleId="Tabellenraster">
    <w:name w:val="Table Grid"/>
    <w:basedOn w:val="NormaleTabelle"/>
    <w:uiPriority w:val="39"/>
    <w:rsid w:val="00A5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E6B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bcr-222.ucsd.edu/pdb2pqr_2.0.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Peulen</dc:creator>
  <cp:keywords/>
  <dc:description/>
  <cp:lastModifiedBy>Thomas Peulen</cp:lastModifiedBy>
  <cp:revision>4</cp:revision>
  <dcterms:created xsi:type="dcterms:W3CDTF">2017-03-02T10:02:00Z</dcterms:created>
  <dcterms:modified xsi:type="dcterms:W3CDTF">2017-03-02T13:58:00Z</dcterms:modified>
</cp:coreProperties>
</file>