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2D77" w:rsidRDefault="00515451" w:rsidP="00515451">
      <w:pPr>
        <w:pStyle w:val="1"/>
      </w:pPr>
      <w:bookmarkStart w:id="0" w:name="_GoBack"/>
      <w:bookmarkEnd w:id="0"/>
      <w:r>
        <w:t>Executive Summary</w:t>
      </w:r>
    </w:p>
    <w:p w:rsidR="00332ADA" w:rsidRDefault="00CD68B3" w:rsidP="00CD68B3">
      <w:r>
        <w:t>This report compares five competing models in terms of their forecasting performance for five individual assets in America: COKE, PTR, MMM, JNJ and MSFT. For return forecasts, the competing models are: AR-GARCH, AR-GJR-GARCH, Historical Simulation of last 25 and 5 days (HS-25 and HS-5). That is two parametric and two non-parametric models in total. As for volatility forecasts, the fifth model, IGARCH, is introduced since it generally outperforms other GARCH type models. We will compare the forecast results of each assets generated by these models. These forecasts form the basis of portfolio weights allocation.</w:t>
      </w:r>
    </w:p>
    <w:p w:rsidR="000F2460" w:rsidRPr="000F2460" w:rsidRDefault="000F2460" w:rsidP="000F2460">
      <w:pPr>
        <w:pStyle w:val="1"/>
        <w:numPr>
          <w:ilvl w:val="0"/>
          <w:numId w:val="1"/>
        </w:numPr>
      </w:pPr>
      <w:r>
        <w:t>Exploratory Data Analysis</w:t>
      </w:r>
    </w:p>
    <w:p w:rsidR="00FF2F6E" w:rsidRPr="00FF2F6E" w:rsidRDefault="00FF2F6E" w:rsidP="00FF2F6E"/>
    <w:p w:rsidR="00346F73" w:rsidRDefault="00346F73">
      <w:r>
        <w:t xml:space="preserve">As suggested by </w:t>
      </w:r>
      <w:proofErr w:type="spellStart"/>
      <w:r>
        <w:t>Tsay</w:t>
      </w:r>
      <w:proofErr w:type="spellEnd"/>
      <w:r>
        <w:t xml:space="preserve"> (2010), the log transformations are taken for all 5 return series</w:t>
      </w:r>
      <w:r w:rsidR="00620C70">
        <w:t>, since log returns have the statistically favourable property of additive.</w:t>
      </w:r>
      <w:r w:rsidR="003A34AB">
        <w:t xml:space="preserve"> As can be seen from </w:t>
      </w:r>
      <w:r w:rsidR="003A34AB" w:rsidRPr="006F0F12">
        <w:rPr>
          <w:b/>
        </w:rPr>
        <w:t>Figure 1</w:t>
      </w:r>
      <w:r w:rsidR="003A34AB">
        <w:t xml:space="preserve">, </w:t>
      </w:r>
      <w:r w:rsidR="000C39FE">
        <w:t xml:space="preserve">all 5 assets have a stationary daily mean return of approximately zero. However, the volatility is non-stationary, which was especially dynamic during and shortly after </w:t>
      </w:r>
      <w:r w:rsidR="00D505D6">
        <w:t>Globa</w:t>
      </w:r>
      <w:r w:rsidR="00EB2A79">
        <w:t>l</w:t>
      </w:r>
      <w:r w:rsidR="00D505D6">
        <w:t xml:space="preserve"> Financial Crisis (</w:t>
      </w:r>
      <w:r w:rsidR="000C39FE">
        <w:t>GFC</w:t>
      </w:r>
      <w:r w:rsidR="00D505D6">
        <w:t>)</w:t>
      </w:r>
      <w:r w:rsidR="000C39FE">
        <w:t xml:space="preserve"> and stabilised from about 2010 after GFC, and also before the GFC when the market was booming.</w:t>
      </w:r>
    </w:p>
    <w:p w:rsidR="00787C66" w:rsidRDefault="00787C66"/>
    <w:p w:rsidR="00242823" w:rsidRDefault="00242823">
      <w:pPr>
        <w:rPr>
          <w:lang w:val="en-US"/>
        </w:rPr>
      </w:pPr>
      <w:r>
        <w:t xml:space="preserve">Overall, </w:t>
      </w:r>
      <w:r w:rsidR="00787C66">
        <w:t xml:space="preserve">as can be observed from </w:t>
      </w:r>
      <w:r w:rsidR="00787C66" w:rsidRPr="00787C66">
        <w:rPr>
          <w:b/>
        </w:rPr>
        <w:t>Table 1</w:t>
      </w:r>
      <w:r w:rsidR="00787C66">
        <w:t xml:space="preserve">, </w:t>
      </w:r>
      <w:r w:rsidR="00D15D16">
        <w:t>P</w:t>
      </w:r>
      <w:r w:rsidR="00787C66">
        <w:t>etroChina (PTR) showed the highest volatility, w</w:t>
      </w:r>
      <w:r w:rsidR="002277F5">
        <w:t>ith standard deviation of 2.28</w:t>
      </w:r>
      <w:r w:rsidR="00787C66">
        <w:t>, which is almost twice of the Johnson &amp; Johnson (JNJ), Coca-Cola (KO), and 3M (MMM)’s standard deviations</w:t>
      </w:r>
      <w:r w:rsidR="001B0B6A">
        <w:t xml:space="preserve">. PTR’s returns also showed a wide range </w:t>
      </w:r>
      <w:r w:rsidR="002277F5">
        <w:t>with</w:t>
      </w:r>
      <w:r w:rsidR="001B0B6A">
        <w:t xml:space="preserve"> maximum return </w:t>
      </w:r>
      <w:r w:rsidR="002277F5">
        <w:t>of 14.41% and minimum of -14.90%</w:t>
      </w:r>
      <w:r w:rsidR="002277F5">
        <w:rPr>
          <w:lang w:val="en-US"/>
        </w:rPr>
        <w:t xml:space="preserve">. </w:t>
      </w:r>
      <w:r w:rsidR="00555CAD">
        <w:rPr>
          <w:lang w:val="en-US"/>
        </w:rPr>
        <w:t xml:space="preserve">Additionally, </w:t>
      </w:r>
      <w:r w:rsidR="00F31000">
        <w:rPr>
          <w:lang w:val="en-US"/>
        </w:rPr>
        <w:t xml:space="preserve">as can be seen </w:t>
      </w:r>
      <w:r w:rsidR="00555CAD">
        <w:rPr>
          <w:lang w:val="en-US"/>
        </w:rPr>
        <w:t xml:space="preserve">from </w:t>
      </w:r>
      <w:r w:rsidR="00F31000" w:rsidRPr="00787C66">
        <w:rPr>
          <w:b/>
        </w:rPr>
        <w:t>Figure 1</w:t>
      </w:r>
      <w:r w:rsidR="00BD5359">
        <w:rPr>
          <w:b/>
        </w:rPr>
        <w:t xml:space="preserve"> </w:t>
      </w:r>
      <w:r w:rsidR="00BD5359" w:rsidRPr="00BD5359">
        <w:t>(</w:t>
      </w:r>
      <w:r w:rsidR="00B233E6">
        <w:t>specified using</w:t>
      </w:r>
      <w:r w:rsidR="00BD5359">
        <w:t xml:space="preserve"> red circle</w:t>
      </w:r>
      <w:r w:rsidR="00BD5359" w:rsidRPr="00BD5359">
        <w:t>)</w:t>
      </w:r>
      <w:r w:rsidR="00F31000">
        <w:t xml:space="preserve">, PTR </w:t>
      </w:r>
      <w:r w:rsidR="00BD5359">
        <w:t xml:space="preserve">among others </w:t>
      </w:r>
      <w:r w:rsidR="005B7959">
        <w:t>was</w:t>
      </w:r>
      <w:r w:rsidR="00F31000">
        <w:t xml:space="preserve"> highly volatile </w:t>
      </w:r>
      <w:r w:rsidR="00BD5359">
        <w:rPr>
          <w:rFonts w:hint="eastAsia"/>
        </w:rPr>
        <w:t>both</w:t>
      </w:r>
      <w:r w:rsidR="00F31000">
        <w:rPr>
          <w:rFonts w:hint="eastAsia"/>
        </w:rPr>
        <w:t xml:space="preserve"> </w:t>
      </w:r>
      <w:r w:rsidR="005B7959">
        <w:t>at</w:t>
      </w:r>
      <w:r w:rsidR="00F31000">
        <w:t xml:space="preserve"> the </w:t>
      </w:r>
      <w:r w:rsidR="00BD5359">
        <w:t xml:space="preserve">beginning and the end of </w:t>
      </w:r>
      <w:r w:rsidR="00F31000">
        <w:t>GFC period</w:t>
      </w:r>
      <w:r w:rsidR="00A45001">
        <w:t>.</w:t>
      </w:r>
      <w:r w:rsidR="00FA679D">
        <w:t xml:space="preserve"> </w:t>
      </w:r>
      <w:r w:rsidR="002277F5">
        <w:rPr>
          <w:lang w:val="en-US"/>
        </w:rPr>
        <w:t xml:space="preserve">The second most volatile stock </w:t>
      </w:r>
      <w:r w:rsidR="00353FAE">
        <w:rPr>
          <w:lang w:val="en-US"/>
        </w:rPr>
        <w:t>was</w:t>
      </w:r>
      <w:r w:rsidR="002277F5">
        <w:rPr>
          <w:lang w:val="en-US"/>
        </w:rPr>
        <w:t xml:space="preserve"> Microsoft (MSFT)</w:t>
      </w:r>
      <w:r w:rsidR="00624008">
        <w:rPr>
          <w:lang w:val="en-US"/>
        </w:rPr>
        <w:t xml:space="preserve"> with standard deviation of 1.65. It has about the same extremes as PTR</w:t>
      </w:r>
      <w:r w:rsidR="00353FAE">
        <w:rPr>
          <w:lang w:val="en-US"/>
        </w:rPr>
        <w:t xml:space="preserve"> (maximum 17.06, minimum -12.46). Notably, MSFT had several dramatic soar and drop from time to time, which is specified using black rectangle in </w:t>
      </w:r>
      <w:r w:rsidR="00353FAE" w:rsidRPr="00353FAE">
        <w:rPr>
          <w:b/>
          <w:lang w:val="en-US"/>
        </w:rPr>
        <w:t>Figure 1</w:t>
      </w:r>
      <w:r w:rsidR="00353FAE">
        <w:rPr>
          <w:lang w:val="en-US"/>
        </w:rPr>
        <w:t>.</w:t>
      </w:r>
    </w:p>
    <w:p w:rsidR="00E13676" w:rsidRDefault="00E13676">
      <w:pPr>
        <w:rPr>
          <w:lang w:val="en-US"/>
        </w:rPr>
      </w:pPr>
    </w:p>
    <w:p w:rsidR="00345AAE" w:rsidRDefault="00E13676">
      <w:pPr>
        <w:rPr>
          <w:lang w:val="en-US"/>
        </w:rPr>
      </w:pPr>
      <w:r>
        <w:rPr>
          <w:lang w:val="en-US"/>
        </w:rPr>
        <w:t xml:space="preserve">In quite a distinct comparison, JNJ, KO and MMM showed low volatilities overall, as their log returns are quite close to zero from </w:t>
      </w:r>
      <w:r w:rsidRPr="00E13676">
        <w:rPr>
          <w:b/>
          <w:lang w:val="en-US"/>
        </w:rPr>
        <w:t>Figure 1</w:t>
      </w:r>
      <w:r>
        <w:rPr>
          <w:lang w:val="en-US"/>
        </w:rPr>
        <w:t xml:space="preserve">. The reason behind this should be the fact that they are belonging to healthcare, consumption, and industrial goods industries respectively. Thus, they are more closely connected </w:t>
      </w:r>
      <w:r w:rsidR="00DC0A63">
        <w:rPr>
          <w:lang w:val="en-US"/>
        </w:rPr>
        <w:t>to</w:t>
      </w:r>
      <w:r>
        <w:rPr>
          <w:lang w:val="en-US"/>
        </w:rPr>
        <w:t xml:space="preserve"> human necessities compared to the </w:t>
      </w:r>
      <w:r w:rsidR="002F2E35">
        <w:rPr>
          <w:lang w:val="en-US"/>
        </w:rPr>
        <w:t xml:space="preserve">stocks from </w:t>
      </w:r>
      <w:r>
        <w:rPr>
          <w:lang w:val="en-US"/>
        </w:rPr>
        <w:t xml:space="preserve">the fancy technology </w:t>
      </w:r>
      <w:r w:rsidR="002F2E35">
        <w:rPr>
          <w:lang w:val="en-US"/>
        </w:rPr>
        <w:t>industry</w:t>
      </w:r>
      <w:r>
        <w:rPr>
          <w:lang w:val="en-US"/>
        </w:rPr>
        <w:t xml:space="preserve"> </w:t>
      </w:r>
      <w:r w:rsidR="00D667DB">
        <w:rPr>
          <w:lang w:val="en-US"/>
        </w:rPr>
        <w:t>.</w:t>
      </w:r>
    </w:p>
    <w:p w:rsidR="00FA679D" w:rsidRPr="00FA679D" w:rsidRDefault="00FA679D">
      <w:pPr>
        <w:rPr>
          <w:lang w:val="en-US"/>
        </w:rPr>
      </w:pPr>
    </w:p>
    <w:p w:rsidR="003A34AB" w:rsidRDefault="00A45001" w:rsidP="003A34AB">
      <w:pPr>
        <w:jc w:val="center"/>
      </w:pPr>
      <w:r>
        <w:rPr>
          <w:noProof/>
        </w:rPr>
        <w:drawing>
          <wp:inline distT="0" distB="0" distL="0" distR="0">
            <wp:extent cx="5727700" cy="1453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 Log returns of 5 stock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1453515"/>
                    </a:xfrm>
                    <a:prstGeom prst="rect">
                      <a:avLst/>
                    </a:prstGeom>
                  </pic:spPr>
                </pic:pic>
              </a:graphicData>
            </a:graphic>
          </wp:inline>
        </w:drawing>
      </w:r>
    </w:p>
    <w:p w:rsidR="003A34AB" w:rsidRPr="003A34AB" w:rsidRDefault="003A34AB" w:rsidP="003A34AB">
      <w:pPr>
        <w:jc w:val="center"/>
        <w:rPr>
          <w:b/>
        </w:rPr>
      </w:pPr>
      <w:r w:rsidRPr="003A34AB">
        <w:rPr>
          <w:b/>
        </w:rPr>
        <w:t>Figure 1</w:t>
      </w:r>
      <w:r>
        <w:rPr>
          <w:b/>
        </w:rPr>
        <w:t xml:space="preserve">: </w:t>
      </w:r>
      <w:r w:rsidRPr="003A34AB">
        <w:t>Log returns for MSFT, JNJ, KO, PTR, MMM</w:t>
      </w:r>
    </w:p>
    <w:p w:rsidR="003A34AB" w:rsidRDefault="003A34AB"/>
    <w:p w:rsidR="007E3A6F" w:rsidRDefault="007E3A6F">
      <w:pPr>
        <w:rPr>
          <w:lang w:val="en-US"/>
        </w:rPr>
      </w:pPr>
    </w:p>
    <w:tbl>
      <w:tblPr>
        <w:tblW w:w="8858" w:type="dxa"/>
        <w:tblLook w:val="04A0" w:firstRow="1" w:lastRow="0" w:firstColumn="1" w:lastColumn="0" w:noHBand="0" w:noVBand="1"/>
      </w:tblPr>
      <w:tblGrid>
        <w:gridCol w:w="1096"/>
        <w:gridCol w:w="1096"/>
        <w:gridCol w:w="1096"/>
        <w:gridCol w:w="1096"/>
        <w:gridCol w:w="1096"/>
        <w:gridCol w:w="1096"/>
        <w:gridCol w:w="1186"/>
        <w:gridCol w:w="1096"/>
      </w:tblGrid>
      <w:tr w:rsidR="007E3A6F" w:rsidRPr="007E3A6F" w:rsidTr="007E3A6F">
        <w:trPr>
          <w:trHeight w:val="316"/>
        </w:trPr>
        <w:tc>
          <w:tcPr>
            <w:tcW w:w="1096" w:type="dxa"/>
            <w:tcBorders>
              <w:top w:val="single" w:sz="4" w:space="0" w:color="auto"/>
              <w:left w:val="nil"/>
              <w:bottom w:val="single" w:sz="4" w:space="0" w:color="auto"/>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p>
        </w:tc>
        <w:tc>
          <w:tcPr>
            <w:tcW w:w="1096" w:type="dxa"/>
            <w:tcBorders>
              <w:top w:val="single" w:sz="4" w:space="0" w:color="auto"/>
              <w:left w:val="nil"/>
              <w:bottom w:val="single" w:sz="4" w:space="0" w:color="auto"/>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Mean</w:t>
            </w:r>
          </w:p>
        </w:tc>
        <w:tc>
          <w:tcPr>
            <w:tcW w:w="1096" w:type="dxa"/>
            <w:tcBorders>
              <w:top w:val="single" w:sz="4" w:space="0" w:color="auto"/>
              <w:left w:val="nil"/>
              <w:bottom w:val="single" w:sz="4" w:space="0" w:color="auto"/>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Median</w:t>
            </w:r>
          </w:p>
        </w:tc>
        <w:tc>
          <w:tcPr>
            <w:tcW w:w="1096" w:type="dxa"/>
            <w:tcBorders>
              <w:top w:val="single" w:sz="4" w:space="0" w:color="auto"/>
              <w:left w:val="nil"/>
              <w:bottom w:val="single" w:sz="4" w:space="0" w:color="auto"/>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Std</w:t>
            </w:r>
          </w:p>
        </w:tc>
        <w:tc>
          <w:tcPr>
            <w:tcW w:w="1096" w:type="dxa"/>
            <w:tcBorders>
              <w:top w:val="single" w:sz="4" w:space="0" w:color="auto"/>
              <w:left w:val="nil"/>
              <w:bottom w:val="single" w:sz="4" w:space="0" w:color="auto"/>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Min</w:t>
            </w:r>
          </w:p>
        </w:tc>
        <w:tc>
          <w:tcPr>
            <w:tcW w:w="1096" w:type="dxa"/>
            <w:tcBorders>
              <w:top w:val="single" w:sz="4" w:space="0" w:color="auto"/>
              <w:left w:val="nil"/>
              <w:bottom w:val="single" w:sz="4" w:space="0" w:color="auto"/>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Max</w:t>
            </w:r>
          </w:p>
        </w:tc>
        <w:tc>
          <w:tcPr>
            <w:tcW w:w="1186" w:type="dxa"/>
            <w:tcBorders>
              <w:top w:val="single" w:sz="4" w:space="0" w:color="auto"/>
              <w:left w:val="nil"/>
              <w:bottom w:val="single" w:sz="4" w:space="0" w:color="auto"/>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Skewness</w:t>
            </w:r>
          </w:p>
        </w:tc>
        <w:tc>
          <w:tcPr>
            <w:tcW w:w="1096" w:type="dxa"/>
            <w:tcBorders>
              <w:top w:val="single" w:sz="4" w:space="0" w:color="auto"/>
              <w:left w:val="nil"/>
              <w:bottom w:val="single" w:sz="4" w:space="0" w:color="auto"/>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Kurtosis</w:t>
            </w:r>
          </w:p>
        </w:tc>
      </w:tr>
      <w:tr w:rsidR="007E3A6F" w:rsidRPr="007E3A6F" w:rsidTr="007E3A6F">
        <w:trPr>
          <w:trHeight w:val="298"/>
        </w:trPr>
        <w:tc>
          <w:tcPr>
            <w:tcW w:w="1096" w:type="dxa"/>
            <w:tcBorders>
              <w:top w:val="single" w:sz="4" w:space="0" w:color="auto"/>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MSFT</w:t>
            </w:r>
          </w:p>
        </w:tc>
        <w:tc>
          <w:tcPr>
            <w:tcW w:w="1096" w:type="dxa"/>
            <w:tcBorders>
              <w:top w:val="single" w:sz="4" w:space="0" w:color="auto"/>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0.0373</w:t>
            </w:r>
          </w:p>
        </w:tc>
        <w:tc>
          <w:tcPr>
            <w:tcW w:w="1096" w:type="dxa"/>
            <w:tcBorders>
              <w:top w:val="single" w:sz="4" w:space="0" w:color="auto"/>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0.0137</w:t>
            </w:r>
          </w:p>
        </w:tc>
        <w:tc>
          <w:tcPr>
            <w:tcW w:w="1096" w:type="dxa"/>
            <w:tcBorders>
              <w:top w:val="single" w:sz="4" w:space="0" w:color="auto"/>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1.6521</w:t>
            </w:r>
          </w:p>
        </w:tc>
        <w:tc>
          <w:tcPr>
            <w:tcW w:w="1096" w:type="dxa"/>
            <w:tcBorders>
              <w:top w:val="single" w:sz="4" w:space="0" w:color="auto"/>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-12.4578</w:t>
            </w:r>
          </w:p>
        </w:tc>
        <w:tc>
          <w:tcPr>
            <w:tcW w:w="1096" w:type="dxa"/>
            <w:tcBorders>
              <w:top w:val="single" w:sz="4" w:space="0" w:color="auto"/>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17.0626</w:t>
            </w:r>
          </w:p>
        </w:tc>
        <w:tc>
          <w:tcPr>
            <w:tcW w:w="1186" w:type="dxa"/>
            <w:tcBorders>
              <w:top w:val="single" w:sz="4" w:space="0" w:color="auto"/>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0.0895</w:t>
            </w:r>
          </w:p>
        </w:tc>
        <w:tc>
          <w:tcPr>
            <w:tcW w:w="1096" w:type="dxa"/>
            <w:tcBorders>
              <w:top w:val="single" w:sz="4" w:space="0" w:color="auto"/>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13.7958</w:t>
            </w:r>
          </w:p>
        </w:tc>
      </w:tr>
      <w:tr w:rsidR="007E3A6F" w:rsidRPr="007E3A6F" w:rsidTr="007E3A6F">
        <w:trPr>
          <w:trHeight w:val="298"/>
        </w:trPr>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JNJ</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0.0208</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0.0145</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0.9980</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-7.9749</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11.5373</w:t>
            </w:r>
          </w:p>
        </w:tc>
        <w:tc>
          <w:tcPr>
            <w:tcW w:w="118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0.3413</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14.1704</w:t>
            </w:r>
          </w:p>
        </w:tc>
      </w:tr>
      <w:tr w:rsidR="007E3A6F" w:rsidRPr="007E3A6F" w:rsidTr="007E3A6F">
        <w:trPr>
          <w:trHeight w:val="298"/>
        </w:trPr>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lastRenderedPageBreak/>
              <w:t>KO</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0.0218</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0.0442</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1.0885</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-9.0681</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12.9971</w:t>
            </w:r>
          </w:p>
        </w:tc>
        <w:tc>
          <w:tcPr>
            <w:tcW w:w="118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0.4119</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16.2519</w:t>
            </w:r>
          </w:p>
        </w:tc>
      </w:tr>
      <w:tr w:rsidR="007E3A6F" w:rsidRPr="007E3A6F" w:rsidTr="007E3A6F">
        <w:trPr>
          <w:trHeight w:val="298"/>
        </w:trPr>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PTR</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0.0097</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-0.0089</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2.2815</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-14.9027</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14.4147</w:t>
            </w:r>
          </w:p>
        </w:tc>
        <w:tc>
          <w:tcPr>
            <w:tcW w:w="118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-0.0509</w:t>
            </w:r>
          </w:p>
        </w:tc>
        <w:tc>
          <w:tcPr>
            <w:tcW w:w="1096" w:type="dxa"/>
            <w:tcBorders>
              <w:top w:val="nil"/>
              <w:left w:val="nil"/>
              <w:bottom w:val="nil"/>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8.9502</w:t>
            </w:r>
          </w:p>
        </w:tc>
      </w:tr>
      <w:tr w:rsidR="007E3A6F" w:rsidRPr="007E3A6F" w:rsidTr="007E3A6F">
        <w:trPr>
          <w:trHeight w:val="316"/>
        </w:trPr>
        <w:tc>
          <w:tcPr>
            <w:tcW w:w="1096" w:type="dxa"/>
            <w:tcBorders>
              <w:top w:val="nil"/>
              <w:left w:val="nil"/>
              <w:bottom w:val="single" w:sz="8" w:space="0" w:color="auto"/>
              <w:right w:val="nil"/>
            </w:tcBorders>
            <w:shd w:val="clear" w:color="auto" w:fill="auto"/>
            <w:noWrap/>
            <w:vAlign w:val="center"/>
            <w:hideMark/>
          </w:tcPr>
          <w:p w:rsidR="007E3A6F" w:rsidRPr="007E3A6F" w:rsidRDefault="007E3A6F" w:rsidP="00FA679D">
            <w:pPr>
              <w:jc w:val="center"/>
              <w:rPr>
                <w:rFonts w:ascii="Calibri" w:hAnsi="Calibri" w:cs="Calibri"/>
                <w:b/>
                <w:bCs/>
                <w:color w:val="000000"/>
              </w:rPr>
            </w:pPr>
            <w:r w:rsidRPr="007E3A6F">
              <w:rPr>
                <w:rFonts w:ascii="Calibri" w:hAnsi="Calibri" w:cs="Calibri"/>
                <w:b/>
                <w:bCs/>
                <w:color w:val="000000"/>
              </w:rPr>
              <w:t>MMM</w:t>
            </w:r>
          </w:p>
        </w:tc>
        <w:tc>
          <w:tcPr>
            <w:tcW w:w="1096" w:type="dxa"/>
            <w:tcBorders>
              <w:top w:val="nil"/>
              <w:left w:val="nil"/>
              <w:bottom w:val="single" w:sz="8" w:space="0" w:color="auto"/>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0.0256</w:t>
            </w:r>
          </w:p>
        </w:tc>
        <w:tc>
          <w:tcPr>
            <w:tcW w:w="1096" w:type="dxa"/>
            <w:tcBorders>
              <w:top w:val="nil"/>
              <w:left w:val="nil"/>
              <w:bottom w:val="single" w:sz="8" w:space="0" w:color="auto"/>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0.0568</w:t>
            </w:r>
          </w:p>
        </w:tc>
        <w:tc>
          <w:tcPr>
            <w:tcW w:w="1096" w:type="dxa"/>
            <w:tcBorders>
              <w:top w:val="nil"/>
              <w:left w:val="nil"/>
              <w:bottom w:val="single" w:sz="8" w:space="0" w:color="auto"/>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1.3449</w:t>
            </w:r>
          </w:p>
        </w:tc>
        <w:tc>
          <w:tcPr>
            <w:tcW w:w="1096" w:type="dxa"/>
            <w:tcBorders>
              <w:top w:val="nil"/>
              <w:left w:val="nil"/>
              <w:bottom w:val="single" w:sz="8" w:space="0" w:color="auto"/>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-9.3837</w:t>
            </w:r>
          </w:p>
        </w:tc>
        <w:tc>
          <w:tcPr>
            <w:tcW w:w="1096" w:type="dxa"/>
            <w:tcBorders>
              <w:top w:val="nil"/>
              <w:left w:val="nil"/>
              <w:bottom w:val="single" w:sz="8" w:space="0" w:color="auto"/>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9.4204</w:t>
            </w:r>
          </w:p>
        </w:tc>
        <w:tc>
          <w:tcPr>
            <w:tcW w:w="1186" w:type="dxa"/>
            <w:tcBorders>
              <w:top w:val="nil"/>
              <w:left w:val="nil"/>
              <w:bottom w:val="single" w:sz="8" w:space="0" w:color="auto"/>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-0.4136</w:t>
            </w:r>
          </w:p>
        </w:tc>
        <w:tc>
          <w:tcPr>
            <w:tcW w:w="1096" w:type="dxa"/>
            <w:tcBorders>
              <w:top w:val="nil"/>
              <w:left w:val="nil"/>
              <w:bottom w:val="single" w:sz="8" w:space="0" w:color="auto"/>
              <w:right w:val="nil"/>
            </w:tcBorders>
            <w:shd w:val="clear" w:color="auto" w:fill="auto"/>
            <w:noWrap/>
            <w:vAlign w:val="center"/>
            <w:hideMark/>
          </w:tcPr>
          <w:p w:rsidR="007E3A6F" w:rsidRPr="007E3A6F" w:rsidRDefault="007E3A6F" w:rsidP="00FA679D">
            <w:pPr>
              <w:jc w:val="center"/>
              <w:rPr>
                <w:rFonts w:ascii="Calibri" w:hAnsi="Calibri" w:cs="Calibri"/>
                <w:color w:val="000000"/>
              </w:rPr>
            </w:pPr>
            <w:r w:rsidRPr="007E3A6F">
              <w:rPr>
                <w:rFonts w:ascii="Calibri" w:hAnsi="Calibri" w:cs="Calibri"/>
                <w:color w:val="000000"/>
              </w:rPr>
              <w:t>9.8340</w:t>
            </w:r>
          </w:p>
        </w:tc>
      </w:tr>
    </w:tbl>
    <w:p w:rsidR="007E3A6F" w:rsidRDefault="00FA679D" w:rsidP="00FA679D">
      <w:pPr>
        <w:jc w:val="center"/>
        <w:rPr>
          <w:lang w:val="en-US"/>
        </w:rPr>
      </w:pPr>
      <w:r w:rsidRPr="00FA679D">
        <w:rPr>
          <w:b/>
          <w:lang w:val="en-US"/>
        </w:rPr>
        <w:t>Table 1</w:t>
      </w:r>
      <w:r>
        <w:rPr>
          <w:lang w:val="en-US"/>
        </w:rPr>
        <w:t xml:space="preserve">: Summary statistics for </w:t>
      </w:r>
      <w:r w:rsidRPr="003A34AB">
        <w:t>MSFT, JNJ, KO, PTR, MMM</w:t>
      </w:r>
    </w:p>
    <w:p w:rsidR="00383DDF" w:rsidRDefault="00383DDF" w:rsidP="00B02FA8">
      <w:pPr>
        <w:rPr>
          <w:lang w:val="en-US"/>
        </w:rPr>
      </w:pPr>
    </w:p>
    <w:p w:rsidR="00383DDF" w:rsidRDefault="00383DDF" w:rsidP="00B02FA8">
      <w:pPr>
        <w:rPr>
          <w:lang w:val="en-US"/>
        </w:rPr>
      </w:pPr>
      <w:r>
        <w:rPr>
          <w:lang w:val="en-US"/>
        </w:rPr>
        <w:t>In terms of means and medians, a</w:t>
      </w:r>
      <w:r w:rsidR="00B02FA8" w:rsidRPr="00B02FA8">
        <w:rPr>
          <w:lang w:val="en-US"/>
        </w:rPr>
        <w:t xml:space="preserve">s can be seen from </w:t>
      </w:r>
      <w:r w:rsidRPr="00FA679D">
        <w:rPr>
          <w:b/>
          <w:lang w:val="en-US"/>
        </w:rPr>
        <w:t>Table 1</w:t>
      </w:r>
      <w:r w:rsidR="00B02FA8" w:rsidRPr="00B02FA8">
        <w:rPr>
          <w:lang w:val="en-US"/>
        </w:rPr>
        <w:t>, all assets had positive average and median daily returns around z</w:t>
      </w:r>
      <w:r>
        <w:rPr>
          <w:lang w:val="en-US"/>
        </w:rPr>
        <w:t>ero during the in sample period except for the PTR’s median of -0.01%.</w:t>
      </w:r>
    </w:p>
    <w:p w:rsidR="00383DDF" w:rsidRDefault="00383DDF" w:rsidP="00B02FA8">
      <w:pPr>
        <w:rPr>
          <w:lang w:val="en-US"/>
        </w:rPr>
      </w:pPr>
    </w:p>
    <w:p w:rsidR="00383DDF" w:rsidRDefault="00BD0DC7" w:rsidP="00B02FA8">
      <w:pPr>
        <w:rPr>
          <w:lang w:val="en-US"/>
        </w:rPr>
      </w:pPr>
      <w:r>
        <w:rPr>
          <w:lang w:val="en-US"/>
        </w:rPr>
        <w:t>A discovery of the five stocks’ skewness and kurtosis can be conducted by combining the summary statistics (</w:t>
      </w:r>
      <w:r w:rsidRPr="00FA679D">
        <w:rPr>
          <w:b/>
          <w:lang w:val="en-US"/>
        </w:rPr>
        <w:t>Table 1</w:t>
      </w:r>
      <w:r>
        <w:rPr>
          <w:lang w:val="en-US"/>
        </w:rPr>
        <w:t>) with their histograms (</w:t>
      </w:r>
      <w:r w:rsidRPr="001A5FD8">
        <w:rPr>
          <w:b/>
          <w:lang w:val="en-US"/>
        </w:rPr>
        <w:t>Figure 2</w:t>
      </w:r>
      <w:r>
        <w:rPr>
          <w:lang w:val="en-US"/>
        </w:rPr>
        <w:t xml:space="preserve">). </w:t>
      </w:r>
      <w:r w:rsidR="0024416E">
        <w:rPr>
          <w:lang w:val="en-US"/>
        </w:rPr>
        <w:t xml:space="preserve">Due to the </w:t>
      </w:r>
      <w:r w:rsidR="00B93151">
        <w:rPr>
          <w:lang w:val="en-US"/>
        </w:rPr>
        <w:t xml:space="preserve">relatively more existence of extreme outliers in either direction as can be exploited from </w:t>
      </w:r>
      <w:r w:rsidR="00B93151" w:rsidRPr="00B93151">
        <w:rPr>
          <w:b/>
          <w:lang w:val="en-US"/>
        </w:rPr>
        <w:t>Figure 2</w:t>
      </w:r>
      <w:r w:rsidR="00B93151">
        <w:rPr>
          <w:lang w:val="en-US"/>
        </w:rPr>
        <w:t>, MSFT, JNJ and KO had positive skewness, while PTR and MMM were negatively-skewed. The kurtosis of all 5 stocks were way above the normal distribution’s kurtosis of 3. It indicated the negligibility of extreme outliers and heavy tails in the distributions. As a result, t-distribution instead of normal distribution is assumed in the following analyses.</w:t>
      </w:r>
    </w:p>
    <w:p w:rsidR="00B02FA8" w:rsidRDefault="00B02FA8" w:rsidP="00B02FA8">
      <w:pPr>
        <w:rPr>
          <w:lang w:val="en-US"/>
        </w:rPr>
      </w:pPr>
    </w:p>
    <w:p w:rsidR="00B02FA8" w:rsidRDefault="00B02FA8" w:rsidP="00B02FA8">
      <w:pPr>
        <w:rPr>
          <w:lang w:val="en-US"/>
        </w:rPr>
      </w:pPr>
      <w:r>
        <w:rPr>
          <w:noProof/>
          <w:lang w:val="en-US"/>
        </w:rPr>
        <w:drawing>
          <wp:inline distT="0" distB="0" distL="0" distR="0">
            <wp:extent cx="5727700" cy="29978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A - Histogram.jpg"/>
                    <pic:cNvPicPr/>
                  </pic:nvPicPr>
                  <pic:blipFill>
                    <a:blip r:embed="rId9">
                      <a:extLst>
                        <a:ext uri="{28A0092B-C50C-407E-A947-70E740481C1C}">
                          <a14:useLocalDpi xmlns:a14="http://schemas.microsoft.com/office/drawing/2010/main" val="0"/>
                        </a:ext>
                      </a:extLst>
                    </a:blip>
                    <a:stretch>
                      <a:fillRect/>
                    </a:stretch>
                  </pic:blipFill>
                  <pic:spPr>
                    <a:xfrm>
                      <a:off x="0" y="0"/>
                      <a:ext cx="5734567" cy="3001437"/>
                    </a:xfrm>
                    <a:prstGeom prst="rect">
                      <a:avLst/>
                    </a:prstGeom>
                  </pic:spPr>
                </pic:pic>
              </a:graphicData>
            </a:graphic>
          </wp:inline>
        </w:drawing>
      </w:r>
    </w:p>
    <w:p w:rsidR="00DF48E1" w:rsidRPr="00CD68B3" w:rsidRDefault="001A5FD8" w:rsidP="00CD68B3">
      <w:pPr>
        <w:jc w:val="center"/>
      </w:pPr>
      <w:r w:rsidRPr="001A5FD8">
        <w:rPr>
          <w:b/>
          <w:lang w:val="en-US"/>
        </w:rPr>
        <w:t>Figure 2</w:t>
      </w:r>
      <w:r>
        <w:rPr>
          <w:lang w:val="en-US"/>
        </w:rPr>
        <w:t xml:space="preserve">: Histograms </w:t>
      </w:r>
      <w:r w:rsidRPr="003A34AB">
        <w:t>for MSFT, JNJ, KO, PTR, MMM</w:t>
      </w:r>
      <w:r>
        <w:t xml:space="preserve"> returns</w:t>
      </w:r>
    </w:p>
    <w:p w:rsidR="005F38A5" w:rsidRDefault="005F38A5" w:rsidP="000F2460">
      <w:pPr>
        <w:pStyle w:val="1"/>
        <w:numPr>
          <w:ilvl w:val="0"/>
          <w:numId w:val="1"/>
        </w:numPr>
        <w:rPr>
          <w:lang w:val="en-US"/>
        </w:rPr>
      </w:pPr>
      <w:r>
        <w:rPr>
          <w:lang w:val="en-US"/>
        </w:rPr>
        <w:t>Factor Model</w:t>
      </w:r>
      <w:r w:rsidR="004B7DEC">
        <w:rPr>
          <w:rFonts w:hint="eastAsia"/>
          <w:lang w:val="en-US"/>
        </w:rPr>
        <w:t>ling</w:t>
      </w:r>
    </w:p>
    <w:p w:rsidR="002713D2" w:rsidRDefault="002713D2" w:rsidP="002713D2">
      <w:pPr>
        <w:pStyle w:val="2"/>
        <w:numPr>
          <w:ilvl w:val="1"/>
          <w:numId w:val="1"/>
        </w:numPr>
      </w:pPr>
      <w:r>
        <w:t>Descriptions</w:t>
      </w:r>
      <w:r w:rsidR="007324CE">
        <w:t xml:space="preserve"> of Factor Model and Factor Modelling</w:t>
      </w:r>
    </w:p>
    <w:p w:rsidR="002713D2" w:rsidRPr="00243CCC" w:rsidRDefault="002713D2" w:rsidP="002713D2">
      <w:r w:rsidRPr="00243CCC">
        <w:t>In asset pricing theories, factor model is widely used to analysis common factors explaining asset returns. The most famous factor models are CAPM which is a single factor model, and Fama-French three-factor model. Factor model can be written in vector-matrix form as follow:</w:t>
      </w:r>
    </w:p>
    <w:p w:rsidR="002713D2" w:rsidRPr="00243CCC" w:rsidRDefault="006050C2" w:rsidP="002713D2">
      <w:pPr>
        <w:pStyle w:val="a9"/>
        <w:ind w:left="360"/>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=α+β</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rsidR="002713D2" w:rsidRPr="00243CCC" w:rsidRDefault="002713D2" w:rsidP="002713D2">
      <w:pPr>
        <w:pStyle w:val="a9"/>
        <w:ind w:left="36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t</m:t>
                  </m:r>
                </m:sub>
              </m:sSub>
            </m:e>
          </m:d>
          <m:r>
            <w:rPr>
              <w:rFonts w:ascii="Cambria Math" w:hAnsi="Cambria Math"/>
            </w:rPr>
            <m:t>=0;</m:t>
          </m:r>
          <m:func>
            <m:funcPr>
              <m:ctrlPr>
                <w:rPr>
                  <w:rFonts w:ascii="Cambria Math" w:hAnsi="Cambria Math"/>
                  <w:i/>
                </w:rPr>
              </m:ctrlPr>
            </m:funcPr>
            <m:fName>
              <m:r>
                <w:rPr>
                  <w:rFonts w:ascii="Cambria Math" w:hAnsi="Cambria Math"/>
                </w:rPr>
                <m:t>cov</m:t>
              </m:r>
            </m:fName>
            <m:e>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jt</m:t>
                      </m:r>
                    </m:sub>
                  </m:sSub>
                </m:e>
              </m:d>
            </m:e>
          </m:func>
          <m:r>
            <w:rPr>
              <w:rFonts w:ascii="Cambria Math" w:hAnsi="Cambria Math"/>
            </w:rPr>
            <m:t>=0</m:t>
          </m:r>
        </m:oMath>
      </m:oMathPara>
    </w:p>
    <w:p w:rsidR="002713D2" w:rsidRPr="00243CCC" w:rsidRDefault="002713D2" w:rsidP="002713D2">
      <w:pPr>
        <w:pStyle w:val="a9"/>
        <w:ind w:left="360"/>
      </w:pPr>
      <m:oMathPara>
        <m:oMath>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t</m:t>
                  </m:r>
                </m:sub>
              </m:sSub>
            </m:e>
          </m:d>
          <m:r>
            <w:rPr>
              <w:rFonts w:ascii="Cambria Math" w:hAnsi="Cambria Math"/>
            </w:rPr>
            <m:t>=Ψ=</m:t>
          </m:r>
          <m:func>
            <m:funcPr>
              <m:ctrlPr>
                <w:rPr>
                  <w:rFonts w:ascii="Cambria Math" w:hAnsi="Cambria Math"/>
                  <w:i/>
                </w:rPr>
              </m:ctrlPr>
            </m:funcPr>
            <m:fName>
              <m:r>
                <w:rPr>
                  <w:rFonts w:ascii="Cambria Math" w:hAnsi="Cambria Math"/>
                </w:rPr>
                <m:t>diag</m:t>
              </m:r>
            </m:fName>
            <m:e>
              <m:d>
                <m:dPr>
                  <m:ctrlPr>
                    <w:rPr>
                      <w:rFonts w:ascii="Cambria Math" w:hAnsi="Cambria Math"/>
                      <w:i/>
                    </w:rPr>
                  </m:ctrlPr>
                </m:dPr>
                <m:e>
                  <m:sSubSup>
                    <m:sSubSupPr>
                      <m:ctrlPr>
                        <w:rPr>
                          <w:rFonts w:ascii="Cambria Math" w:hAnsi="Cambria Math"/>
                          <w:i/>
                        </w:rPr>
                      </m:ctrlPr>
                    </m:sSubSupPr>
                    <m:e>
                      <m:r>
                        <w:rPr>
                          <w:rFonts w:ascii="Cambria Math" w:hAnsi="Cambria Math"/>
                        </w:rPr>
                        <m:t>ψ</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ψ</m:t>
                      </m:r>
                    </m:e>
                    <m:sub>
                      <m:r>
                        <w:rPr>
                          <w:rFonts w:ascii="Cambria Math" w:hAnsi="Cambria Math"/>
                        </w:rPr>
                        <m:t>n</m:t>
                      </m:r>
                    </m:sub>
                    <m:sup>
                      <m:r>
                        <w:rPr>
                          <w:rFonts w:ascii="Cambria Math" w:hAnsi="Cambria Math"/>
                        </w:rPr>
                        <m:t>2</m:t>
                      </m:r>
                    </m:sup>
                  </m:sSubSup>
                </m:e>
              </m:d>
            </m:e>
          </m:func>
        </m:oMath>
      </m:oMathPara>
    </w:p>
    <w:p w:rsidR="002713D2" w:rsidRDefault="002713D2" w:rsidP="002713D2">
      <w:r w:rsidRPr="00243CCC">
        <w:t>Factor model assumes error terms are independent to each other and to each factor. By taking the historical data of five stocks chosen, we conducted one factor and two factors analysis.</w:t>
      </w:r>
    </w:p>
    <w:p w:rsidR="002713D2" w:rsidRDefault="002713D2" w:rsidP="002713D2"/>
    <w:p w:rsidR="002713D2" w:rsidRPr="007324CE" w:rsidRDefault="002713D2" w:rsidP="002713D2">
      <w:r>
        <w:lastRenderedPageBreak/>
        <w:t>Factor modelling is employed as a way to reduce the dimensionality, as the unknown factors can be generated to explain asset returns. As an advantage over its special-case Principal Component Analysis, factor modelling can explain both linear and non-linear relationships.</w:t>
      </w:r>
      <w:r w:rsidR="007324CE">
        <w:t xml:space="preserve"> </w:t>
      </w:r>
      <w:r>
        <w:t>Although it has the disadvantage of being difficult to be interpreted as the factors are unknown, and the factor loadings are not fixed that lead to non-</w:t>
      </w:r>
      <w:r>
        <w:rPr>
          <w:lang w:val="en-US"/>
        </w:rPr>
        <w:t>unique</w:t>
      </w:r>
      <w:r>
        <w:t xml:space="preserve"> results, this difficulty can be </w:t>
      </w:r>
      <w:r>
        <w:rPr>
          <w:lang w:val="en-US"/>
        </w:rPr>
        <w:t>overcome by employing factor rotations as will be discussed further.</w:t>
      </w:r>
    </w:p>
    <w:p w:rsidR="002713D2" w:rsidRPr="002713D2" w:rsidRDefault="002713D2" w:rsidP="002713D2"/>
    <w:p w:rsidR="00B87B9F" w:rsidRDefault="007324CE" w:rsidP="007324CE">
      <w:pPr>
        <w:pStyle w:val="2"/>
        <w:numPr>
          <w:ilvl w:val="1"/>
          <w:numId w:val="1"/>
        </w:numPr>
        <w:rPr>
          <w:lang w:val="en-US"/>
        </w:rPr>
      </w:pPr>
      <w:r>
        <w:rPr>
          <w:lang w:val="en-US"/>
        </w:rPr>
        <w:t>One Factor Analysis</w:t>
      </w:r>
    </w:p>
    <w:p w:rsidR="007324CE" w:rsidRDefault="007324CE" w:rsidP="007324CE">
      <w:pPr>
        <w:rPr>
          <w:lang w:val="en-US"/>
        </w:rPr>
      </w:pPr>
      <w:r w:rsidRPr="007324CE">
        <w:rPr>
          <w:lang w:val="en-US"/>
        </w:rPr>
        <w:t>By implementing MATLAB function—“</w:t>
      </w:r>
      <w:proofErr w:type="spellStart"/>
      <w:r w:rsidRPr="007324CE">
        <w:rPr>
          <w:lang w:val="en-US"/>
        </w:rPr>
        <w:t>factoran</w:t>
      </w:r>
      <w:proofErr w:type="spellEnd"/>
      <w:r w:rsidRPr="007324CE">
        <w:rPr>
          <w:lang w:val="en-US"/>
        </w:rPr>
        <w:t xml:space="preserve">”, </w:t>
      </w:r>
      <w:r w:rsidR="0025164F">
        <w:rPr>
          <w:lang w:val="en-US"/>
        </w:rPr>
        <w:t>the</w:t>
      </w:r>
      <w:r w:rsidRPr="007324CE">
        <w:rPr>
          <w:lang w:val="en-US"/>
        </w:rPr>
        <w:t xml:space="preserve"> result </w:t>
      </w:r>
      <w:r>
        <w:rPr>
          <w:lang w:val="en-US"/>
        </w:rPr>
        <w:t xml:space="preserve">of one-factor analysis </w:t>
      </w:r>
      <w:r w:rsidR="0025164F">
        <w:rPr>
          <w:lang w:val="en-US"/>
        </w:rPr>
        <w:t xml:space="preserve">is obtained </w:t>
      </w:r>
      <w:r>
        <w:rPr>
          <w:lang w:val="en-US"/>
        </w:rPr>
        <w:t xml:space="preserve">as in </w:t>
      </w:r>
      <w:r w:rsidRPr="007324CE">
        <w:rPr>
          <w:b/>
          <w:lang w:val="en-US"/>
        </w:rPr>
        <w:t>Table 2</w:t>
      </w:r>
      <w:r w:rsidRPr="007324CE">
        <w:rPr>
          <w:lang w:val="en-US"/>
        </w:rPr>
        <w:t>:</w:t>
      </w:r>
    </w:p>
    <w:p w:rsidR="007324CE" w:rsidRDefault="007324CE" w:rsidP="007324CE">
      <w:pPr>
        <w:rPr>
          <w:lang w:val="en-US"/>
        </w:rPr>
      </w:pPr>
    </w:p>
    <w:tbl>
      <w:tblPr>
        <w:tblStyle w:val="52"/>
        <w:tblW w:w="5000" w:type="pct"/>
        <w:tblLook w:val="04A0" w:firstRow="1" w:lastRow="0" w:firstColumn="1" w:lastColumn="0" w:noHBand="0" w:noVBand="1"/>
      </w:tblPr>
      <w:tblGrid>
        <w:gridCol w:w="3019"/>
        <w:gridCol w:w="1912"/>
        <w:gridCol w:w="1330"/>
        <w:gridCol w:w="1330"/>
        <w:gridCol w:w="1429"/>
      </w:tblGrid>
      <w:tr w:rsidR="007324CE" w:rsidRPr="00243CCC" w:rsidTr="007324CE">
        <w:trPr>
          <w:cnfStyle w:val="100000000000" w:firstRow="1" w:lastRow="0" w:firstColumn="0" w:lastColumn="0" w:oddVBand="0" w:evenVBand="0" w:oddHBand="0" w:evenHBand="0" w:firstRowFirstColumn="0" w:firstRowLastColumn="0" w:lastRowFirstColumn="0" w:lastRowLastColumn="0"/>
          <w:trHeight w:val="278"/>
        </w:trPr>
        <w:tc>
          <w:tcPr>
            <w:cnfStyle w:val="001000000100" w:firstRow="0" w:lastRow="0" w:firstColumn="1" w:lastColumn="0" w:oddVBand="0" w:evenVBand="0" w:oddHBand="0" w:evenHBand="0" w:firstRowFirstColumn="1" w:firstRowLastColumn="0" w:lastRowFirstColumn="0" w:lastRowLastColumn="0"/>
            <w:tcW w:w="1674" w:type="pct"/>
            <w:tcBorders>
              <w:top w:val="double" w:sz="4" w:space="0" w:color="auto"/>
            </w:tcBorders>
            <w:noWrap/>
            <w:hideMark/>
          </w:tcPr>
          <w:p w:rsidR="007324CE" w:rsidRPr="00243CCC" w:rsidRDefault="007324CE"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Stocks</w:t>
            </w:r>
          </w:p>
        </w:tc>
        <w:tc>
          <w:tcPr>
            <w:tcW w:w="1060" w:type="pct"/>
            <w:tcBorders>
              <w:top w:val="double" w:sz="4" w:space="0" w:color="auto"/>
            </w:tcBorders>
            <w:noWrap/>
            <w:hideMark/>
          </w:tcPr>
          <w:p w:rsidR="007324CE" w:rsidRPr="00243CCC" w:rsidRDefault="007324CE" w:rsidP="003E44E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Factor Loading</w:t>
            </w:r>
          </w:p>
        </w:tc>
        <w:tc>
          <w:tcPr>
            <w:tcW w:w="737" w:type="pct"/>
            <w:tcBorders>
              <w:top w:val="double" w:sz="4" w:space="0" w:color="auto"/>
            </w:tcBorders>
            <w:noWrap/>
            <w:hideMark/>
          </w:tcPr>
          <w:p w:rsidR="007324CE" w:rsidRPr="00243CCC" w:rsidRDefault="007324CE" w:rsidP="003E44E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vertAlign w:val="superscript"/>
              </w:rPr>
            </w:pPr>
            <w:r w:rsidRPr="00243CCC">
              <w:rPr>
                <w:rFonts w:ascii="DengXian" w:eastAsia="DengXian" w:hAnsi="DengXian" w:cs="SimSun" w:hint="eastAsia"/>
                <w:color w:val="000000"/>
                <w:kern w:val="0"/>
                <w:sz w:val="24"/>
                <w:szCs w:val="24"/>
              </w:rPr>
              <w:t>SER</w:t>
            </w:r>
            <w:r w:rsidRPr="00243CCC">
              <w:rPr>
                <w:rFonts w:ascii="DengXian" w:eastAsia="DengXian" w:hAnsi="DengXian" w:cs="SimSun"/>
                <w:color w:val="000000"/>
                <w:kern w:val="0"/>
                <w:sz w:val="24"/>
                <w:szCs w:val="24"/>
                <w:vertAlign w:val="superscript"/>
              </w:rPr>
              <w:t xml:space="preserve"> 2</w:t>
            </w:r>
          </w:p>
        </w:tc>
        <w:tc>
          <w:tcPr>
            <w:tcW w:w="737" w:type="pct"/>
            <w:tcBorders>
              <w:top w:val="double" w:sz="4" w:space="0" w:color="auto"/>
            </w:tcBorders>
            <w:noWrap/>
            <w:hideMark/>
          </w:tcPr>
          <w:p w:rsidR="007324CE" w:rsidRPr="00243CCC" w:rsidRDefault="007324CE" w:rsidP="003E44E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SER</w:t>
            </w:r>
          </w:p>
        </w:tc>
        <w:tc>
          <w:tcPr>
            <w:tcW w:w="792" w:type="pct"/>
            <w:tcBorders>
              <w:top w:val="double" w:sz="4" w:space="0" w:color="auto"/>
            </w:tcBorders>
            <w:noWrap/>
            <w:hideMark/>
          </w:tcPr>
          <w:p w:rsidR="007324CE" w:rsidRPr="00243CCC" w:rsidRDefault="007324CE" w:rsidP="003E44E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vertAlign w:val="superscript"/>
              </w:rPr>
            </w:pPr>
            <w:r w:rsidRPr="00243CCC">
              <w:rPr>
                <w:rFonts w:ascii="DengXian" w:eastAsia="DengXian" w:hAnsi="DengXian" w:cs="SimSun"/>
                <w:color w:val="000000"/>
                <w:kern w:val="0"/>
                <w:sz w:val="24"/>
                <w:szCs w:val="24"/>
              </w:rPr>
              <w:t xml:space="preserve">Adjusted </w:t>
            </w:r>
            <w:r w:rsidRPr="00243CCC">
              <w:rPr>
                <w:rFonts w:ascii="DengXian" w:eastAsia="DengXian" w:hAnsi="DengXian" w:cs="SimSun" w:hint="eastAsia"/>
                <w:color w:val="000000"/>
                <w:kern w:val="0"/>
                <w:sz w:val="24"/>
                <w:szCs w:val="24"/>
              </w:rPr>
              <w:t>R</w:t>
            </w:r>
            <w:r w:rsidRPr="00243CCC">
              <w:rPr>
                <w:rFonts w:ascii="DengXian" w:eastAsia="DengXian" w:hAnsi="DengXian" w:cs="SimSun"/>
                <w:color w:val="000000"/>
                <w:kern w:val="0"/>
                <w:sz w:val="24"/>
                <w:szCs w:val="24"/>
                <w:vertAlign w:val="superscript"/>
              </w:rPr>
              <w:t xml:space="preserve"> 2</w:t>
            </w:r>
          </w:p>
        </w:tc>
      </w:tr>
      <w:tr w:rsidR="007324CE" w:rsidRPr="00243CCC" w:rsidTr="007324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74" w:type="pct"/>
            <w:noWrap/>
            <w:hideMark/>
          </w:tcPr>
          <w:p w:rsidR="007324CE" w:rsidRPr="00243CCC" w:rsidRDefault="007324CE"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MSFT</w:t>
            </w:r>
          </w:p>
        </w:tc>
        <w:tc>
          <w:tcPr>
            <w:tcW w:w="1060" w:type="pct"/>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1.1262</w:t>
            </w:r>
          </w:p>
        </w:tc>
        <w:tc>
          <w:tcPr>
            <w:tcW w:w="737" w:type="pct"/>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1.460</w:t>
            </w:r>
            <w:r w:rsidRPr="00243CCC">
              <w:rPr>
                <w:rFonts w:ascii="DengXian" w:eastAsia="DengXian" w:hAnsi="DengXian" w:cs="SimSun"/>
                <w:color w:val="000000"/>
                <w:kern w:val="0"/>
                <w:sz w:val="24"/>
                <w:szCs w:val="24"/>
              </w:rPr>
              <w:t>9</w:t>
            </w:r>
          </w:p>
        </w:tc>
        <w:tc>
          <w:tcPr>
            <w:tcW w:w="737" w:type="pct"/>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1.208</w:t>
            </w:r>
            <w:r w:rsidRPr="00243CCC">
              <w:rPr>
                <w:rFonts w:ascii="DengXian" w:eastAsia="DengXian" w:hAnsi="DengXian" w:cs="SimSun"/>
                <w:color w:val="000000"/>
                <w:kern w:val="0"/>
                <w:sz w:val="24"/>
                <w:szCs w:val="24"/>
              </w:rPr>
              <w:t>7</w:t>
            </w:r>
          </w:p>
        </w:tc>
        <w:tc>
          <w:tcPr>
            <w:tcW w:w="792" w:type="pct"/>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0.4647</w:t>
            </w:r>
          </w:p>
        </w:tc>
      </w:tr>
      <w:tr w:rsidR="007324CE" w:rsidRPr="00243CCC" w:rsidTr="007324CE">
        <w:trPr>
          <w:trHeight w:val="278"/>
        </w:trPr>
        <w:tc>
          <w:tcPr>
            <w:cnfStyle w:val="001000000000" w:firstRow="0" w:lastRow="0" w:firstColumn="1" w:lastColumn="0" w:oddVBand="0" w:evenVBand="0" w:oddHBand="0" w:evenHBand="0" w:firstRowFirstColumn="0" w:firstRowLastColumn="0" w:lastRowFirstColumn="0" w:lastRowLastColumn="0"/>
            <w:tcW w:w="1674" w:type="pct"/>
            <w:noWrap/>
            <w:hideMark/>
          </w:tcPr>
          <w:p w:rsidR="007324CE" w:rsidRPr="00243CCC" w:rsidRDefault="007324CE"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JNJ</w:t>
            </w:r>
          </w:p>
        </w:tc>
        <w:tc>
          <w:tcPr>
            <w:tcW w:w="1060" w:type="pct"/>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0.7105</w:t>
            </w:r>
          </w:p>
        </w:tc>
        <w:tc>
          <w:tcPr>
            <w:tcW w:w="737" w:type="pct"/>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0.4911</w:t>
            </w:r>
          </w:p>
        </w:tc>
        <w:tc>
          <w:tcPr>
            <w:tcW w:w="737" w:type="pct"/>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0.7008</w:t>
            </w:r>
          </w:p>
        </w:tc>
        <w:tc>
          <w:tcPr>
            <w:tcW w:w="792" w:type="pct"/>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0.506</w:t>
            </w:r>
            <w:r w:rsidRPr="00243CCC">
              <w:rPr>
                <w:rFonts w:ascii="DengXian" w:eastAsia="DengXian" w:hAnsi="DengXian" w:cs="SimSun"/>
                <w:color w:val="000000"/>
                <w:kern w:val="0"/>
                <w:sz w:val="24"/>
                <w:szCs w:val="24"/>
              </w:rPr>
              <w:t>9</w:t>
            </w:r>
          </w:p>
        </w:tc>
      </w:tr>
      <w:tr w:rsidR="007324CE" w:rsidRPr="00243CCC" w:rsidTr="007324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74" w:type="pct"/>
            <w:noWrap/>
            <w:hideMark/>
          </w:tcPr>
          <w:p w:rsidR="007324CE" w:rsidRPr="00243CCC" w:rsidRDefault="007324CE"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KO</w:t>
            </w:r>
          </w:p>
        </w:tc>
        <w:tc>
          <w:tcPr>
            <w:tcW w:w="1060" w:type="pct"/>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0.7422</w:t>
            </w:r>
          </w:p>
        </w:tc>
        <w:tc>
          <w:tcPr>
            <w:tcW w:w="737" w:type="pct"/>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0.63</w:t>
            </w:r>
            <w:r w:rsidRPr="00243CCC">
              <w:rPr>
                <w:rFonts w:ascii="DengXian" w:eastAsia="DengXian" w:hAnsi="DengXian" w:cs="SimSun"/>
                <w:color w:val="000000"/>
                <w:kern w:val="0"/>
                <w:sz w:val="24"/>
                <w:szCs w:val="24"/>
              </w:rPr>
              <w:t>40</w:t>
            </w:r>
          </w:p>
        </w:tc>
        <w:tc>
          <w:tcPr>
            <w:tcW w:w="737" w:type="pct"/>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0.7962</w:t>
            </w:r>
          </w:p>
        </w:tc>
        <w:tc>
          <w:tcPr>
            <w:tcW w:w="792" w:type="pct"/>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0.4649</w:t>
            </w:r>
          </w:p>
        </w:tc>
      </w:tr>
      <w:tr w:rsidR="007324CE" w:rsidRPr="00243CCC" w:rsidTr="007324CE">
        <w:trPr>
          <w:trHeight w:val="278"/>
        </w:trPr>
        <w:tc>
          <w:tcPr>
            <w:cnfStyle w:val="001000000000" w:firstRow="0" w:lastRow="0" w:firstColumn="1" w:lastColumn="0" w:oddVBand="0" w:evenVBand="0" w:oddHBand="0" w:evenHBand="0" w:firstRowFirstColumn="0" w:firstRowLastColumn="0" w:lastRowFirstColumn="0" w:lastRowLastColumn="0"/>
            <w:tcW w:w="1674" w:type="pct"/>
            <w:noWrap/>
            <w:hideMark/>
          </w:tcPr>
          <w:p w:rsidR="007324CE" w:rsidRPr="00243CCC" w:rsidRDefault="007324CE"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PTR</w:t>
            </w:r>
          </w:p>
        </w:tc>
        <w:tc>
          <w:tcPr>
            <w:tcW w:w="1060" w:type="pct"/>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1.392</w:t>
            </w:r>
            <w:r w:rsidRPr="00243CCC">
              <w:rPr>
                <w:rFonts w:ascii="DengXian" w:eastAsia="DengXian" w:hAnsi="DengXian" w:cs="SimSun"/>
                <w:color w:val="000000"/>
                <w:kern w:val="0"/>
                <w:sz w:val="24"/>
                <w:szCs w:val="24"/>
              </w:rPr>
              <w:t>5</w:t>
            </w:r>
          </w:p>
        </w:tc>
        <w:tc>
          <w:tcPr>
            <w:tcW w:w="737" w:type="pct"/>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3.266</w:t>
            </w:r>
            <w:r w:rsidRPr="00243CCC">
              <w:rPr>
                <w:rFonts w:ascii="DengXian" w:eastAsia="DengXian" w:hAnsi="DengXian" w:cs="SimSun"/>
                <w:color w:val="000000"/>
                <w:kern w:val="0"/>
                <w:sz w:val="24"/>
                <w:szCs w:val="24"/>
              </w:rPr>
              <w:t>4</w:t>
            </w:r>
          </w:p>
        </w:tc>
        <w:tc>
          <w:tcPr>
            <w:tcW w:w="737" w:type="pct"/>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1.8073</w:t>
            </w:r>
          </w:p>
        </w:tc>
        <w:tc>
          <w:tcPr>
            <w:tcW w:w="792" w:type="pct"/>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0.3725</w:t>
            </w:r>
          </w:p>
        </w:tc>
      </w:tr>
      <w:tr w:rsidR="007324CE" w:rsidRPr="00243CCC" w:rsidTr="007324CE">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674" w:type="pct"/>
            <w:tcBorders>
              <w:bottom w:val="double" w:sz="4" w:space="0" w:color="auto"/>
            </w:tcBorders>
            <w:noWrap/>
            <w:hideMark/>
          </w:tcPr>
          <w:p w:rsidR="007324CE" w:rsidRPr="00243CCC" w:rsidRDefault="007324CE"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MMM</w:t>
            </w:r>
          </w:p>
        </w:tc>
        <w:tc>
          <w:tcPr>
            <w:tcW w:w="1060" w:type="pct"/>
            <w:tcBorders>
              <w:bottom w:val="double" w:sz="4" w:space="0" w:color="auto"/>
            </w:tcBorders>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1.0227</w:t>
            </w:r>
          </w:p>
        </w:tc>
        <w:tc>
          <w:tcPr>
            <w:tcW w:w="737" w:type="pct"/>
            <w:tcBorders>
              <w:bottom w:val="double" w:sz="4" w:space="0" w:color="auto"/>
            </w:tcBorders>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0.762</w:t>
            </w:r>
            <w:r w:rsidRPr="00243CCC">
              <w:rPr>
                <w:rFonts w:ascii="DengXian" w:eastAsia="DengXian" w:hAnsi="DengXian" w:cs="SimSun"/>
                <w:color w:val="000000"/>
                <w:kern w:val="0"/>
                <w:sz w:val="24"/>
                <w:szCs w:val="24"/>
              </w:rPr>
              <w:t>9</w:t>
            </w:r>
          </w:p>
        </w:tc>
        <w:tc>
          <w:tcPr>
            <w:tcW w:w="737" w:type="pct"/>
            <w:tcBorders>
              <w:bottom w:val="double" w:sz="4" w:space="0" w:color="auto"/>
            </w:tcBorders>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0.8734</w:t>
            </w:r>
          </w:p>
        </w:tc>
        <w:tc>
          <w:tcPr>
            <w:tcW w:w="792" w:type="pct"/>
            <w:tcBorders>
              <w:bottom w:val="double" w:sz="4" w:space="0" w:color="auto"/>
            </w:tcBorders>
            <w:noWrap/>
            <w:hideMark/>
          </w:tcPr>
          <w:p w:rsidR="007324CE" w:rsidRPr="00243CCC" w:rsidRDefault="007324CE"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0.5782</w:t>
            </w:r>
          </w:p>
        </w:tc>
      </w:tr>
      <w:tr w:rsidR="007324CE" w:rsidRPr="00243CCC" w:rsidTr="007324CE">
        <w:trPr>
          <w:trHeight w:val="278"/>
        </w:trPr>
        <w:tc>
          <w:tcPr>
            <w:cnfStyle w:val="001000000000" w:firstRow="0" w:lastRow="0" w:firstColumn="1" w:lastColumn="0" w:oddVBand="0" w:evenVBand="0" w:oddHBand="0" w:evenHBand="0" w:firstRowFirstColumn="0" w:firstRowLastColumn="0" w:lastRowFirstColumn="0" w:lastRowLastColumn="0"/>
            <w:tcW w:w="1674" w:type="pct"/>
            <w:tcBorders>
              <w:top w:val="double" w:sz="4" w:space="0" w:color="auto"/>
              <w:bottom w:val="double" w:sz="4" w:space="0" w:color="auto"/>
            </w:tcBorders>
            <w:noWrap/>
            <w:hideMark/>
          </w:tcPr>
          <w:p w:rsidR="007324CE" w:rsidRPr="00243CCC" w:rsidRDefault="007324CE"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Percentage (%) Variance</w:t>
            </w:r>
          </w:p>
        </w:tc>
        <w:tc>
          <w:tcPr>
            <w:tcW w:w="1060" w:type="pct"/>
            <w:tcBorders>
              <w:top w:val="double" w:sz="4" w:space="0" w:color="auto"/>
              <w:bottom w:val="double" w:sz="4" w:space="0" w:color="auto"/>
            </w:tcBorders>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45.52%</w:t>
            </w:r>
          </w:p>
        </w:tc>
        <w:tc>
          <w:tcPr>
            <w:tcW w:w="737" w:type="pct"/>
            <w:tcBorders>
              <w:top w:val="double" w:sz="4" w:space="0" w:color="auto"/>
              <w:bottom w:val="double" w:sz="4" w:space="0" w:color="auto"/>
            </w:tcBorders>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p>
        </w:tc>
        <w:tc>
          <w:tcPr>
            <w:tcW w:w="737" w:type="pct"/>
            <w:tcBorders>
              <w:top w:val="double" w:sz="4" w:space="0" w:color="auto"/>
              <w:bottom w:val="double" w:sz="4" w:space="0" w:color="auto"/>
            </w:tcBorders>
            <w:noWrap/>
            <w:hideMark/>
          </w:tcPr>
          <w:p w:rsidR="007324CE" w:rsidRPr="00243CCC" w:rsidRDefault="007324CE" w:rsidP="003E44E7">
            <w:pPr>
              <w:jc w:val="center"/>
              <w:cnfStyle w:val="000000000000" w:firstRow="0" w:lastRow="0" w:firstColumn="0" w:lastColumn="0" w:oddVBand="0" w:evenVBand="0" w:oddHBand="0" w:evenHBand="0" w:firstRowFirstColumn="0" w:firstRowLastColumn="0" w:lastRowFirstColumn="0" w:lastRowLastColumn="0"/>
              <w:rPr>
                <w:kern w:val="0"/>
                <w:sz w:val="24"/>
                <w:szCs w:val="24"/>
              </w:rPr>
            </w:pPr>
          </w:p>
        </w:tc>
        <w:tc>
          <w:tcPr>
            <w:tcW w:w="792" w:type="pct"/>
            <w:tcBorders>
              <w:top w:val="double" w:sz="4" w:space="0" w:color="auto"/>
              <w:bottom w:val="double" w:sz="4" w:space="0" w:color="auto"/>
            </w:tcBorders>
            <w:noWrap/>
            <w:hideMark/>
          </w:tcPr>
          <w:p w:rsidR="007324CE" w:rsidRPr="00243CCC" w:rsidRDefault="007324CE" w:rsidP="003E44E7">
            <w:pPr>
              <w:keepNext/>
              <w:jc w:val="center"/>
              <w:cnfStyle w:val="000000000000" w:firstRow="0" w:lastRow="0" w:firstColumn="0" w:lastColumn="0" w:oddVBand="0" w:evenVBand="0" w:oddHBand="0" w:evenHBand="0" w:firstRowFirstColumn="0" w:firstRowLastColumn="0" w:lastRowFirstColumn="0" w:lastRowLastColumn="0"/>
              <w:rPr>
                <w:kern w:val="0"/>
                <w:sz w:val="24"/>
                <w:szCs w:val="24"/>
              </w:rPr>
            </w:pPr>
          </w:p>
        </w:tc>
      </w:tr>
    </w:tbl>
    <w:p w:rsidR="007324CE" w:rsidRDefault="007324CE" w:rsidP="00CD68B3">
      <w:pPr>
        <w:jc w:val="center"/>
        <w:rPr>
          <w:lang w:val="en-US"/>
        </w:rPr>
      </w:pPr>
      <w:r w:rsidRPr="007324CE">
        <w:rPr>
          <w:b/>
          <w:lang w:val="en-US"/>
        </w:rPr>
        <w:t>Table 2</w:t>
      </w:r>
      <w:r w:rsidR="00F60999">
        <w:rPr>
          <w:lang w:val="en-US"/>
        </w:rPr>
        <w:t>: One-Factor Model Analysis</w:t>
      </w:r>
    </w:p>
    <w:p w:rsidR="007324CE" w:rsidRDefault="007324CE" w:rsidP="007324CE">
      <w:pPr>
        <w:rPr>
          <w:lang w:val="en-US"/>
        </w:rPr>
      </w:pPr>
    </w:p>
    <w:p w:rsidR="006E0283" w:rsidRDefault="00F60999" w:rsidP="00F60999">
      <w:pPr>
        <w:rPr>
          <w:lang w:val="en-US"/>
        </w:rPr>
      </w:pPr>
      <w:r>
        <w:rPr>
          <w:lang w:val="en-US"/>
        </w:rPr>
        <w:t>Table 2</w:t>
      </w:r>
      <w:r w:rsidRPr="00F60999">
        <w:rPr>
          <w:lang w:val="en-US"/>
        </w:rPr>
        <w:t xml:space="preserve"> indicates that factor loadings for five stocks are all around </w:t>
      </w:r>
      <w:r>
        <w:rPr>
          <w:lang w:val="en-US"/>
        </w:rPr>
        <w:t>1 with difference</w:t>
      </w:r>
      <w:r w:rsidRPr="00F60999">
        <w:rPr>
          <w:lang w:val="en-US"/>
        </w:rPr>
        <w:t xml:space="preserve"> no more than 0.4. PTR has the highest factor loading with 1.3925 while the JNJ has the lowest (0.7105). It makes sense to explain the single factor as market factor because it influences all five stocks positively to similar extent. Thus, factor loadings can be considered as sensitivity of stocks toward market variation. Stock from consumption industry like KO (Coca Cola) and from healthcare industry like JNJ are less sensitive to this factor with factor loadings around 0.7. MSFT from technology as well as PTR classified as “other” industry has </w:t>
      </w:r>
      <w:r>
        <w:rPr>
          <w:lang w:val="en-US"/>
        </w:rPr>
        <w:t xml:space="preserve">comparably higher </w:t>
      </w:r>
      <w:r w:rsidRPr="00F60999">
        <w:rPr>
          <w:lang w:val="en-US"/>
        </w:rPr>
        <w:t>factor loading</w:t>
      </w:r>
      <w:r>
        <w:rPr>
          <w:lang w:val="en-US"/>
        </w:rPr>
        <w:t>s of 1.1262 and 1.3925 respectively</w:t>
      </w:r>
      <w:r w:rsidRPr="00F60999">
        <w:rPr>
          <w:lang w:val="en-US"/>
        </w:rPr>
        <w:t xml:space="preserve"> indicating </w:t>
      </w:r>
      <w:r>
        <w:rPr>
          <w:lang w:val="en-US"/>
        </w:rPr>
        <w:t xml:space="preserve">that </w:t>
      </w:r>
      <w:r w:rsidRPr="00F60999">
        <w:rPr>
          <w:lang w:val="en-US"/>
        </w:rPr>
        <w:t xml:space="preserve">they are more </w:t>
      </w:r>
      <w:r>
        <w:rPr>
          <w:lang w:val="en-US"/>
        </w:rPr>
        <w:t>sensitive to this factor</w:t>
      </w:r>
      <w:r w:rsidRPr="00F60999">
        <w:rPr>
          <w:lang w:val="en-US"/>
        </w:rPr>
        <w:t xml:space="preserve"> than </w:t>
      </w:r>
      <w:r>
        <w:rPr>
          <w:lang w:val="en-US"/>
        </w:rPr>
        <w:t>the other assets</w:t>
      </w:r>
      <w:r w:rsidR="00B661A9">
        <w:rPr>
          <w:lang w:val="en-US"/>
        </w:rPr>
        <w:t xml:space="preserve">. </w:t>
      </w:r>
      <m:oMath>
        <m:r>
          <w:rPr>
            <w:rFonts w:ascii="Cambria Math" w:hAnsi="Cambria Math"/>
            <w:lang w:val="en-US"/>
          </w:rPr>
          <m:t>SE</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Pr="00F60999">
        <w:rPr>
          <w:lang w:val="en-US"/>
        </w:rPr>
        <w:t xml:space="preserve"> and </w:t>
      </w:r>
      <m:oMath>
        <m:r>
          <w:rPr>
            <w:rFonts w:ascii="Cambria Math" w:hAnsi="Cambria Math"/>
            <w:lang w:val="en-US"/>
          </w:rPr>
          <m:t>SER</m:t>
        </m:r>
      </m:oMath>
      <w:r w:rsidRPr="00F60999">
        <w:rPr>
          <w:lang w:val="en-US"/>
        </w:rPr>
        <w:t xml:space="preserve"> are specific error variance </w:t>
      </w:r>
      <w:r w:rsidR="005F75D8">
        <w:rPr>
          <w:lang w:val="en-US"/>
        </w:rPr>
        <w:t>not</w:t>
      </w:r>
      <w:r w:rsidRPr="00F60999">
        <w:rPr>
          <w:lang w:val="en-US"/>
        </w:rPr>
        <w:t xml:space="preserve"> explained by the factor. The factor does not explain individual stock returns ideally since SERs are between 0.7088% to 1.8073% while the standard deviation of stock returns are </w:t>
      </w:r>
      <w:r w:rsidR="00850567">
        <w:rPr>
          <w:lang w:val="en-US"/>
        </w:rPr>
        <w:t xml:space="preserve">in range of 0.9980% to 2.2815%. Also, daily </w:t>
      </w:r>
      <m:oMath>
        <m:r>
          <w:rPr>
            <w:rFonts w:ascii="Cambria Math" w:hAnsi="Cambria Math"/>
            <w:lang w:val="en-US"/>
          </w:rPr>
          <m:t>SER</m:t>
        </m:r>
      </m:oMath>
      <w:r w:rsidR="00850567">
        <w:rPr>
          <w:lang w:val="en-US"/>
        </w:rPr>
        <w:t xml:space="preserve"> of this scale is considered to be significant. </w:t>
      </w:r>
      <w:r w:rsidRPr="00F60999">
        <w:rPr>
          <w:lang w:val="en-US"/>
        </w:rPr>
        <w:t xml:space="preserve">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oMath>
      <w:r w:rsidRPr="00F60999">
        <w:rPr>
          <w:lang w:val="en-US"/>
        </w:rPr>
        <w:t>lead</w:t>
      </w:r>
      <w:r w:rsidR="005D4134">
        <w:rPr>
          <w:lang w:val="en-US"/>
        </w:rPr>
        <w:t>s</w:t>
      </w:r>
      <w:r w:rsidRPr="00F60999">
        <w:rPr>
          <w:lang w:val="en-US"/>
        </w:rPr>
        <w:t xml:space="preserve"> to same conclusion, since only around 50% of variances for individual stocks are explained by one-factor model. The factor explains stock PTR poorly for </w:t>
      </w:r>
      <w:r w:rsidR="005D4134" w:rsidRPr="00F60999">
        <w:rPr>
          <w:lang w:val="en-US"/>
        </w:rPr>
        <w:t xml:space="preserve">Adjusted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oMath>
      <w:r w:rsidRPr="00F60999">
        <w:rPr>
          <w:lang w:val="en-US"/>
        </w:rPr>
        <w:t xml:space="preserve"> being only 0.3725 and </w:t>
      </w:r>
      <m:oMath>
        <m:r>
          <w:rPr>
            <w:rFonts w:ascii="Cambria Math" w:hAnsi="Cambria Math"/>
            <w:lang w:val="en-US"/>
          </w:rPr>
          <m:t>SE</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oMath>
      <w:r w:rsidR="00ED7D07" w:rsidRPr="00F60999">
        <w:rPr>
          <w:lang w:val="en-US"/>
        </w:rPr>
        <w:t xml:space="preserve"> </w:t>
      </w:r>
      <w:r w:rsidRPr="00F60999">
        <w:rPr>
          <w:lang w:val="en-US"/>
        </w:rPr>
        <w:t>being the highest. Single factor only captures 45.52% of overall variance.</w:t>
      </w:r>
    </w:p>
    <w:p w:rsidR="006E0283" w:rsidRDefault="006E0283" w:rsidP="00F60999">
      <w:pPr>
        <w:rPr>
          <w:lang w:val="en-US"/>
        </w:rPr>
      </w:pPr>
      <w:r w:rsidRPr="00243CCC">
        <w:rPr>
          <w:noProof/>
        </w:rPr>
        <w:lastRenderedPageBreak/>
        <w:drawing>
          <wp:inline distT="0" distB="0" distL="0" distR="0" wp14:anchorId="0B15E6B9" wp14:editId="6240F5D0">
            <wp:extent cx="5274310" cy="2331720"/>
            <wp:effectExtent l="0" t="0" r="2540" b="0"/>
            <wp:docPr id="17" name="图片 2"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ctor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331720"/>
                    </a:xfrm>
                    <a:prstGeom prst="rect">
                      <a:avLst/>
                    </a:prstGeom>
                  </pic:spPr>
                </pic:pic>
              </a:graphicData>
            </a:graphic>
          </wp:inline>
        </w:drawing>
      </w:r>
    </w:p>
    <w:p w:rsidR="006E0283" w:rsidRDefault="006E0283" w:rsidP="006E0283">
      <w:pPr>
        <w:jc w:val="center"/>
      </w:pPr>
      <w:r w:rsidRPr="001A5FD8">
        <w:rPr>
          <w:b/>
          <w:lang w:val="en-US"/>
        </w:rPr>
        <w:t xml:space="preserve">Figure </w:t>
      </w:r>
      <w:r>
        <w:rPr>
          <w:b/>
          <w:lang w:val="en-US"/>
        </w:rPr>
        <w:t>3</w:t>
      </w:r>
      <w:r>
        <w:rPr>
          <w:lang w:val="en-US"/>
        </w:rPr>
        <w:t>: Variations explained by the 1</w:t>
      </w:r>
      <w:r w:rsidRPr="006E0283">
        <w:rPr>
          <w:vertAlign w:val="superscript"/>
          <w:lang w:val="en-US"/>
        </w:rPr>
        <w:t>st</w:t>
      </w:r>
      <w:r>
        <w:rPr>
          <w:lang w:val="en-US"/>
        </w:rPr>
        <w:t xml:space="preserve"> factor</w:t>
      </w:r>
    </w:p>
    <w:p w:rsidR="006E0283" w:rsidRDefault="006E0283" w:rsidP="00F60999">
      <w:pPr>
        <w:rPr>
          <w:lang w:val="en-US"/>
        </w:rPr>
      </w:pPr>
    </w:p>
    <w:p w:rsidR="006E0283" w:rsidRDefault="006E0283" w:rsidP="00F60999">
      <w:pPr>
        <w:rPr>
          <w:lang w:val="en-US"/>
        </w:rPr>
      </w:pPr>
      <w:r>
        <w:rPr>
          <w:lang w:val="en-US"/>
        </w:rPr>
        <w:t xml:space="preserve">As shown in </w:t>
      </w:r>
      <w:r w:rsidRPr="006E0283">
        <w:rPr>
          <w:b/>
          <w:lang w:val="en-US"/>
        </w:rPr>
        <w:t>Figure 3</w:t>
      </w:r>
      <w:r w:rsidRPr="006E0283">
        <w:rPr>
          <w:lang w:val="en-US"/>
        </w:rPr>
        <w:t>, the single factor captures rough overall fluctuations but does not capture some extreme changes of individual stock. For example, the MSFT has extreme returns which is</w:t>
      </w:r>
      <w:r>
        <w:rPr>
          <w:lang w:val="en-US"/>
        </w:rPr>
        <w:t xml:space="preserve"> not captured by factor at 400</w:t>
      </w:r>
      <w:r w:rsidRPr="006E0283">
        <w:rPr>
          <w:vertAlign w:val="superscript"/>
          <w:lang w:val="en-US"/>
        </w:rPr>
        <w:t>th</w:t>
      </w:r>
      <w:r>
        <w:rPr>
          <w:lang w:val="en-US"/>
        </w:rPr>
        <w:t>, 2100</w:t>
      </w:r>
      <w:r w:rsidRPr="006E0283">
        <w:rPr>
          <w:vertAlign w:val="superscript"/>
          <w:lang w:val="en-US"/>
        </w:rPr>
        <w:t>th</w:t>
      </w:r>
      <w:r>
        <w:rPr>
          <w:lang w:val="en-US"/>
        </w:rPr>
        <w:t>, 2500</w:t>
      </w:r>
      <w:r w:rsidRPr="006E0283">
        <w:rPr>
          <w:vertAlign w:val="superscript"/>
          <w:lang w:val="en-US"/>
        </w:rPr>
        <w:t>th</w:t>
      </w:r>
      <w:r>
        <w:rPr>
          <w:lang w:val="en-US"/>
        </w:rPr>
        <w:t>, 2700</w:t>
      </w:r>
      <w:r w:rsidRPr="006E0283">
        <w:rPr>
          <w:vertAlign w:val="superscript"/>
          <w:lang w:val="en-US"/>
        </w:rPr>
        <w:t>th</w:t>
      </w:r>
      <w:r w:rsidRPr="006E0283">
        <w:rPr>
          <w:lang w:val="en-US"/>
        </w:rPr>
        <w:t xml:space="preserve"> day.</w:t>
      </w:r>
    </w:p>
    <w:p w:rsidR="006E0283" w:rsidRPr="00F60999" w:rsidRDefault="006E0283" w:rsidP="00F60999">
      <w:pPr>
        <w:rPr>
          <w:lang w:val="en-US"/>
        </w:rPr>
      </w:pPr>
    </w:p>
    <w:p w:rsidR="00F60999" w:rsidRDefault="00763462" w:rsidP="00F60999">
      <w:pPr>
        <w:rPr>
          <w:lang w:val="en-US"/>
        </w:rPr>
      </w:pPr>
      <w:r>
        <w:rPr>
          <w:lang w:val="en-US"/>
        </w:rPr>
        <w:t>In addition, b</w:t>
      </w:r>
      <w:r w:rsidR="00F60999" w:rsidRPr="00F60999">
        <w:rPr>
          <w:lang w:val="en-US"/>
        </w:rPr>
        <w:t xml:space="preserve">y doing </w:t>
      </w:r>
      <w:r w:rsidR="001E5496">
        <w:rPr>
          <w:lang w:val="en-US"/>
        </w:rPr>
        <w:t xml:space="preserve">a </w:t>
      </w:r>
      <w:r w:rsidR="00F60999" w:rsidRPr="00F60999">
        <w:rPr>
          <w:lang w:val="en-US"/>
        </w:rPr>
        <w:t xml:space="preserve">hypothesis test, the null hypothesis of: the number of factors is equal to 1 is strongly rejected for p-value being </w:t>
      </w:r>
      <m:oMath>
        <m:r>
          <w:rPr>
            <w:rFonts w:ascii="Cambria Math" w:hAnsi="Cambria Math"/>
          </w:rPr>
          <m:t>7.5615×</m:t>
        </m:r>
        <m:sSup>
          <m:sSupPr>
            <m:ctrlPr>
              <w:rPr>
                <w:rFonts w:ascii="Cambria Math" w:hAnsi="Cambria Math"/>
                <w:i/>
              </w:rPr>
            </m:ctrlPr>
          </m:sSupPr>
          <m:e>
            <m:r>
              <w:rPr>
                <w:rFonts w:ascii="Cambria Math" w:hAnsi="Cambria Math"/>
              </w:rPr>
              <m:t>10</m:t>
            </m:r>
          </m:e>
          <m:sup>
            <m:r>
              <w:rPr>
                <w:rFonts w:ascii="Cambria Math" w:hAnsi="Cambria Math"/>
              </w:rPr>
              <m:t>-19</m:t>
            </m:r>
          </m:sup>
        </m:sSup>
        <m:r>
          <w:rPr>
            <w:rFonts w:ascii="Cambria Math" w:hAnsi="Cambria Math"/>
          </w:rPr>
          <m:t>≈0</m:t>
        </m:r>
      </m:oMath>
      <w:r w:rsidR="00F60999" w:rsidRPr="00F60999">
        <w:rPr>
          <w:lang w:val="en-US"/>
        </w:rPr>
        <w:t xml:space="preserve">. Thus, the 2-factor model </w:t>
      </w:r>
      <w:r w:rsidR="001E5496">
        <w:rPr>
          <w:lang w:val="en-US"/>
        </w:rPr>
        <w:t>is</w:t>
      </w:r>
      <w:r w:rsidR="00F60999" w:rsidRPr="00F60999">
        <w:rPr>
          <w:lang w:val="en-US"/>
        </w:rPr>
        <w:t xml:space="preserve"> necessary</w:t>
      </w:r>
      <w:r w:rsidR="001E5496">
        <w:rPr>
          <w:lang w:val="en-US"/>
        </w:rPr>
        <w:t xml:space="preserve"> to be further employed</w:t>
      </w:r>
      <w:r w:rsidR="00F60999" w:rsidRPr="00F60999">
        <w:rPr>
          <w:lang w:val="en-US"/>
        </w:rPr>
        <w:t>.</w:t>
      </w:r>
    </w:p>
    <w:p w:rsidR="006E0283" w:rsidRDefault="006E0283" w:rsidP="00F60999">
      <w:pPr>
        <w:rPr>
          <w:lang w:val="en-US"/>
        </w:rPr>
      </w:pPr>
    </w:p>
    <w:p w:rsidR="006E0283" w:rsidRDefault="006E0283" w:rsidP="006E0283">
      <w:pPr>
        <w:pStyle w:val="2"/>
        <w:numPr>
          <w:ilvl w:val="1"/>
          <w:numId w:val="1"/>
        </w:numPr>
        <w:rPr>
          <w:lang w:val="en-US"/>
        </w:rPr>
      </w:pPr>
      <w:r>
        <w:rPr>
          <w:lang w:val="en-US"/>
        </w:rPr>
        <w:t>Two Factor Analysis</w:t>
      </w:r>
    </w:p>
    <w:p w:rsidR="00423840" w:rsidRPr="00423840" w:rsidRDefault="00423840" w:rsidP="00423840">
      <w:pPr>
        <w:rPr>
          <w:lang w:val="en-US"/>
        </w:rPr>
      </w:pPr>
    </w:p>
    <w:tbl>
      <w:tblPr>
        <w:tblStyle w:val="52"/>
        <w:tblW w:w="5000" w:type="pct"/>
        <w:tblLook w:val="04A0" w:firstRow="1" w:lastRow="0" w:firstColumn="1" w:lastColumn="0" w:noHBand="0" w:noVBand="1"/>
      </w:tblPr>
      <w:tblGrid>
        <w:gridCol w:w="2711"/>
        <w:gridCol w:w="1463"/>
        <w:gridCol w:w="1512"/>
        <w:gridCol w:w="933"/>
        <w:gridCol w:w="933"/>
        <w:gridCol w:w="1468"/>
      </w:tblGrid>
      <w:tr w:rsidR="00423840" w:rsidRPr="00243CCC" w:rsidTr="00423840">
        <w:trPr>
          <w:cnfStyle w:val="100000000000" w:firstRow="1" w:lastRow="0" w:firstColumn="0" w:lastColumn="0" w:oddVBand="0" w:evenVBand="0" w:oddHBand="0" w:evenHBand="0" w:firstRowFirstColumn="0" w:firstRowLastColumn="0" w:lastRowFirstColumn="0" w:lastRowLastColumn="0"/>
          <w:trHeight w:val="278"/>
        </w:trPr>
        <w:tc>
          <w:tcPr>
            <w:cnfStyle w:val="001000000100" w:firstRow="0" w:lastRow="0" w:firstColumn="1" w:lastColumn="0" w:oddVBand="0" w:evenVBand="0" w:oddHBand="0" w:evenHBand="0" w:firstRowFirstColumn="1" w:firstRowLastColumn="0" w:lastRowFirstColumn="0" w:lastRowLastColumn="0"/>
            <w:tcW w:w="1503" w:type="pct"/>
            <w:tcBorders>
              <w:top w:val="double" w:sz="4" w:space="0" w:color="auto"/>
            </w:tcBorders>
            <w:noWrap/>
            <w:hideMark/>
          </w:tcPr>
          <w:p w:rsidR="00423840" w:rsidRPr="00243CCC" w:rsidRDefault="00423840"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Stocks</w:t>
            </w:r>
          </w:p>
        </w:tc>
        <w:tc>
          <w:tcPr>
            <w:tcW w:w="811" w:type="pct"/>
            <w:tcBorders>
              <w:top w:val="double" w:sz="4" w:space="0" w:color="auto"/>
            </w:tcBorders>
            <w:noWrap/>
            <w:hideMark/>
          </w:tcPr>
          <w:p w:rsidR="00423840" w:rsidRPr="00243CCC" w:rsidRDefault="00423840" w:rsidP="003E44E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color w:val="000000"/>
                <w:kern w:val="0"/>
                <w:sz w:val="24"/>
                <w:szCs w:val="24"/>
              </w:rPr>
              <w:t>1</w:t>
            </w:r>
            <w:r w:rsidRPr="00243CCC">
              <w:rPr>
                <w:rFonts w:ascii="DengXian" w:eastAsia="DengXian" w:hAnsi="DengXian" w:cs="SimSun"/>
                <w:color w:val="000000"/>
                <w:kern w:val="0"/>
                <w:sz w:val="24"/>
                <w:szCs w:val="24"/>
                <w:vertAlign w:val="superscript"/>
              </w:rPr>
              <w:t>st</w:t>
            </w:r>
            <w:r w:rsidRPr="00243CCC">
              <w:rPr>
                <w:rFonts w:ascii="DengXian" w:eastAsia="DengXian" w:hAnsi="DengXian" w:cs="SimSun" w:hint="eastAsia"/>
                <w:color w:val="000000"/>
                <w:kern w:val="0"/>
                <w:sz w:val="24"/>
                <w:szCs w:val="24"/>
              </w:rPr>
              <w:t xml:space="preserve"> Loading</w:t>
            </w:r>
            <w:r w:rsidRPr="00243CCC">
              <w:rPr>
                <w:rFonts w:ascii="DengXian" w:eastAsia="DengXian" w:hAnsi="DengXian" w:cs="SimSun"/>
                <w:color w:val="000000"/>
                <w:kern w:val="0"/>
                <w:sz w:val="24"/>
                <w:szCs w:val="24"/>
              </w:rPr>
              <w:t>s</w:t>
            </w:r>
          </w:p>
        </w:tc>
        <w:tc>
          <w:tcPr>
            <w:tcW w:w="838" w:type="pct"/>
            <w:tcBorders>
              <w:top w:val="double" w:sz="4" w:space="0" w:color="auto"/>
            </w:tcBorders>
          </w:tcPr>
          <w:p w:rsidR="00423840" w:rsidRPr="00243CCC" w:rsidRDefault="00423840" w:rsidP="003E44E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2</w:t>
            </w:r>
            <w:r w:rsidRPr="00243CCC">
              <w:rPr>
                <w:rFonts w:ascii="DengXian" w:eastAsia="DengXian" w:hAnsi="DengXian" w:cs="SimSun"/>
                <w:color w:val="000000"/>
                <w:kern w:val="0"/>
                <w:sz w:val="24"/>
                <w:szCs w:val="24"/>
                <w:vertAlign w:val="superscript"/>
              </w:rPr>
              <w:t>nd</w:t>
            </w:r>
            <w:r w:rsidRPr="00243CCC">
              <w:rPr>
                <w:rFonts w:ascii="DengXian" w:eastAsia="DengXian" w:hAnsi="DengXian" w:cs="SimSun"/>
                <w:color w:val="000000"/>
                <w:kern w:val="0"/>
                <w:sz w:val="24"/>
                <w:szCs w:val="24"/>
              </w:rPr>
              <w:t xml:space="preserve"> Loadings</w:t>
            </w:r>
          </w:p>
        </w:tc>
        <w:tc>
          <w:tcPr>
            <w:tcW w:w="517" w:type="pct"/>
            <w:tcBorders>
              <w:top w:val="double" w:sz="4" w:space="0" w:color="auto"/>
            </w:tcBorders>
            <w:noWrap/>
            <w:hideMark/>
          </w:tcPr>
          <w:p w:rsidR="00423840" w:rsidRPr="00243CCC" w:rsidRDefault="00423840" w:rsidP="003E44E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vertAlign w:val="superscript"/>
              </w:rPr>
            </w:pPr>
            <w:r w:rsidRPr="00243CCC">
              <w:rPr>
                <w:rFonts w:ascii="DengXian" w:eastAsia="DengXian" w:hAnsi="DengXian" w:cs="SimSun" w:hint="eastAsia"/>
                <w:color w:val="000000"/>
                <w:kern w:val="0"/>
                <w:sz w:val="24"/>
                <w:szCs w:val="24"/>
              </w:rPr>
              <w:t>SER</w:t>
            </w:r>
            <w:r w:rsidRPr="00243CCC">
              <w:rPr>
                <w:rFonts w:ascii="DengXian" w:eastAsia="DengXian" w:hAnsi="DengXian" w:cs="SimSun"/>
                <w:color w:val="000000"/>
                <w:kern w:val="0"/>
                <w:sz w:val="24"/>
                <w:szCs w:val="24"/>
                <w:vertAlign w:val="superscript"/>
              </w:rPr>
              <w:t xml:space="preserve"> 2</w:t>
            </w:r>
          </w:p>
        </w:tc>
        <w:tc>
          <w:tcPr>
            <w:tcW w:w="517" w:type="pct"/>
            <w:tcBorders>
              <w:top w:val="double" w:sz="4" w:space="0" w:color="auto"/>
            </w:tcBorders>
            <w:noWrap/>
            <w:hideMark/>
          </w:tcPr>
          <w:p w:rsidR="00423840" w:rsidRPr="00243CCC" w:rsidRDefault="00423840" w:rsidP="003E44E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SER</w:t>
            </w:r>
          </w:p>
        </w:tc>
        <w:tc>
          <w:tcPr>
            <w:tcW w:w="814" w:type="pct"/>
            <w:tcBorders>
              <w:top w:val="double" w:sz="4" w:space="0" w:color="auto"/>
            </w:tcBorders>
            <w:noWrap/>
            <w:hideMark/>
          </w:tcPr>
          <w:p w:rsidR="00423840" w:rsidRPr="00243CCC" w:rsidRDefault="00423840" w:rsidP="003E44E7">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vertAlign w:val="superscript"/>
              </w:rPr>
            </w:pPr>
            <w:r w:rsidRPr="00243CCC">
              <w:rPr>
                <w:rFonts w:ascii="DengXian" w:eastAsia="DengXian" w:hAnsi="DengXian" w:cs="SimSun"/>
                <w:color w:val="000000"/>
                <w:kern w:val="0"/>
                <w:sz w:val="24"/>
                <w:szCs w:val="24"/>
              </w:rPr>
              <w:t xml:space="preserve">Adjusted </w:t>
            </w:r>
            <w:r w:rsidRPr="00243CCC">
              <w:rPr>
                <w:rFonts w:ascii="DengXian" w:eastAsia="DengXian" w:hAnsi="DengXian" w:cs="SimSun" w:hint="eastAsia"/>
                <w:color w:val="000000"/>
                <w:kern w:val="0"/>
                <w:sz w:val="24"/>
                <w:szCs w:val="24"/>
              </w:rPr>
              <w:t>R</w:t>
            </w:r>
            <w:r w:rsidRPr="00243CCC">
              <w:rPr>
                <w:rFonts w:ascii="DengXian" w:eastAsia="DengXian" w:hAnsi="DengXian" w:cs="SimSun"/>
                <w:color w:val="000000"/>
                <w:kern w:val="0"/>
                <w:sz w:val="24"/>
                <w:szCs w:val="24"/>
                <w:vertAlign w:val="superscript"/>
              </w:rPr>
              <w:t xml:space="preserve"> 2</w:t>
            </w:r>
          </w:p>
        </w:tc>
      </w:tr>
      <w:tr w:rsidR="00423840" w:rsidRPr="00243CCC" w:rsidTr="0042384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03" w:type="pct"/>
            <w:noWrap/>
            <w:hideMark/>
          </w:tcPr>
          <w:p w:rsidR="00423840" w:rsidRPr="00243CCC" w:rsidRDefault="00423840"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MSFT</w:t>
            </w:r>
          </w:p>
        </w:tc>
        <w:tc>
          <w:tcPr>
            <w:tcW w:w="811" w:type="pct"/>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1.0902 </w:t>
            </w:r>
          </w:p>
        </w:tc>
        <w:tc>
          <w:tcPr>
            <w:tcW w:w="838" w:type="pct"/>
            <w:vAlign w:val="bottom"/>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0.4109 </w:t>
            </w:r>
          </w:p>
        </w:tc>
        <w:tc>
          <w:tcPr>
            <w:tcW w:w="517" w:type="pct"/>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1.3719 </w:t>
            </w:r>
          </w:p>
        </w:tc>
        <w:tc>
          <w:tcPr>
            <w:tcW w:w="517" w:type="pct"/>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1.1713 </w:t>
            </w:r>
          </w:p>
        </w:tc>
        <w:tc>
          <w:tcPr>
            <w:tcW w:w="814" w:type="pct"/>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0.4973 </w:t>
            </w:r>
          </w:p>
        </w:tc>
      </w:tr>
      <w:tr w:rsidR="00423840" w:rsidRPr="00243CCC" w:rsidTr="00423840">
        <w:trPr>
          <w:trHeight w:val="278"/>
        </w:trPr>
        <w:tc>
          <w:tcPr>
            <w:cnfStyle w:val="001000000000" w:firstRow="0" w:lastRow="0" w:firstColumn="1" w:lastColumn="0" w:oddVBand="0" w:evenVBand="0" w:oddHBand="0" w:evenHBand="0" w:firstRowFirstColumn="0" w:firstRowLastColumn="0" w:lastRowFirstColumn="0" w:lastRowLastColumn="0"/>
            <w:tcW w:w="1503" w:type="pct"/>
            <w:noWrap/>
            <w:hideMark/>
          </w:tcPr>
          <w:p w:rsidR="00423840" w:rsidRPr="00243CCC" w:rsidRDefault="00423840"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JNJ</w:t>
            </w:r>
          </w:p>
        </w:tc>
        <w:tc>
          <w:tcPr>
            <w:tcW w:w="811" w:type="pct"/>
            <w:noWrap/>
            <w:vAlign w:val="bottom"/>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0.3425 </w:t>
            </w:r>
          </w:p>
        </w:tc>
        <w:tc>
          <w:tcPr>
            <w:tcW w:w="838" w:type="pct"/>
            <w:vAlign w:val="bottom"/>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0.9347 </w:t>
            </w:r>
          </w:p>
        </w:tc>
        <w:tc>
          <w:tcPr>
            <w:tcW w:w="517" w:type="pct"/>
            <w:noWrap/>
            <w:vAlign w:val="bottom"/>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0.0050 </w:t>
            </w:r>
          </w:p>
        </w:tc>
        <w:tc>
          <w:tcPr>
            <w:tcW w:w="517" w:type="pct"/>
            <w:noWrap/>
            <w:vAlign w:val="bottom"/>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0.0706 </w:t>
            </w:r>
          </w:p>
        </w:tc>
        <w:tc>
          <w:tcPr>
            <w:tcW w:w="814" w:type="pct"/>
            <w:noWrap/>
            <w:vAlign w:val="bottom"/>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0.9950 </w:t>
            </w:r>
          </w:p>
        </w:tc>
      </w:tr>
      <w:tr w:rsidR="00423840" w:rsidRPr="00243CCC" w:rsidTr="0042384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03" w:type="pct"/>
            <w:noWrap/>
            <w:hideMark/>
          </w:tcPr>
          <w:p w:rsidR="00423840" w:rsidRPr="00243CCC" w:rsidRDefault="00423840"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KO</w:t>
            </w:r>
          </w:p>
        </w:tc>
        <w:tc>
          <w:tcPr>
            <w:tcW w:w="811" w:type="pct"/>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0.6048 </w:t>
            </w:r>
          </w:p>
        </w:tc>
        <w:tc>
          <w:tcPr>
            <w:tcW w:w="838" w:type="pct"/>
            <w:vAlign w:val="bottom"/>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0.3926 </w:t>
            </w:r>
          </w:p>
        </w:tc>
        <w:tc>
          <w:tcPr>
            <w:tcW w:w="517" w:type="pct"/>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0.6650 </w:t>
            </w:r>
          </w:p>
        </w:tc>
        <w:tc>
          <w:tcPr>
            <w:tcW w:w="517" w:type="pct"/>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0.8155 </w:t>
            </w:r>
          </w:p>
        </w:tc>
        <w:tc>
          <w:tcPr>
            <w:tcW w:w="814" w:type="pct"/>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0.4388 </w:t>
            </w:r>
          </w:p>
        </w:tc>
      </w:tr>
      <w:tr w:rsidR="00423840" w:rsidRPr="00243CCC" w:rsidTr="00423840">
        <w:trPr>
          <w:trHeight w:val="278"/>
        </w:trPr>
        <w:tc>
          <w:tcPr>
            <w:cnfStyle w:val="001000000000" w:firstRow="0" w:lastRow="0" w:firstColumn="1" w:lastColumn="0" w:oddVBand="0" w:evenVBand="0" w:oddHBand="0" w:evenHBand="0" w:firstRowFirstColumn="0" w:firstRowLastColumn="0" w:lastRowFirstColumn="0" w:lastRowLastColumn="0"/>
            <w:tcW w:w="1503" w:type="pct"/>
            <w:noWrap/>
            <w:hideMark/>
          </w:tcPr>
          <w:p w:rsidR="00423840" w:rsidRPr="00243CCC" w:rsidRDefault="00423840"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PTR</w:t>
            </w:r>
          </w:p>
        </w:tc>
        <w:tc>
          <w:tcPr>
            <w:tcW w:w="811" w:type="pct"/>
            <w:noWrap/>
            <w:vAlign w:val="bottom"/>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1.4292 </w:t>
            </w:r>
          </w:p>
        </w:tc>
        <w:tc>
          <w:tcPr>
            <w:tcW w:w="838" w:type="pct"/>
            <w:vAlign w:val="bottom"/>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0.4139 </w:t>
            </w:r>
          </w:p>
        </w:tc>
        <w:tc>
          <w:tcPr>
            <w:tcW w:w="517" w:type="pct"/>
            <w:noWrap/>
            <w:vAlign w:val="bottom"/>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2.9915 </w:t>
            </w:r>
          </w:p>
        </w:tc>
        <w:tc>
          <w:tcPr>
            <w:tcW w:w="517" w:type="pct"/>
            <w:noWrap/>
            <w:vAlign w:val="bottom"/>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1.7296 </w:t>
            </w:r>
          </w:p>
        </w:tc>
        <w:tc>
          <w:tcPr>
            <w:tcW w:w="814" w:type="pct"/>
            <w:noWrap/>
            <w:vAlign w:val="bottom"/>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0.4253 </w:t>
            </w:r>
          </w:p>
        </w:tc>
      </w:tr>
      <w:tr w:rsidR="00423840" w:rsidRPr="00243CCC" w:rsidTr="00423840">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03" w:type="pct"/>
            <w:tcBorders>
              <w:bottom w:val="double" w:sz="4" w:space="0" w:color="auto"/>
            </w:tcBorders>
            <w:noWrap/>
            <w:hideMark/>
          </w:tcPr>
          <w:p w:rsidR="00423840" w:rsidRPr="00243CCC" w:rsidRDefault="00423840"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MMM</w:t>
            </w:r>
          </w:p>
        </w:tc>
        <w:tc>
          <w:tcPr>
            <w:tcW w:w="811" w:type="pct"/>
            <w:tcBorders>
              <w:bottom w:val="double" w:sz="4" w:space="0" w:color="auto"/>
            </w:tcBorders>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0.8830 </w:t>
            </w:r>
          </w:p>
        </w:tc>
        <w:tc>
          <w:tcPr>
            <w:tcW w:w="838" w:type="pct"/>
            <w:tcBorders>
              <w:bottom w:val="double" w:sz="4" w:space="0" w:color="auto"/>
            </w:tcBorders>
            <w:vAlign w:val="bottom"/>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0.4750 </w:t>
            </w:r>
          </w:p>
        </w:tc>
        <w:tc>
          <w:tcPr>
            <w:tcW w:w="517" w:type="pct"/>
            <w:tcBorders>
              <w:bottom w:val="double" w:sz="4" w:space="0" w:color="auto"/>
            </w:tcBorders>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0.8035 </w:t>
            </w:r>
          </w:p>
        </w:tc>
        <w:tc>
          <w:tcPr>
            <w:tcW w:w="517" w:type="pct"/>
            <w:tcBorders>
              <w:bottom w:val="double" w:sz="4" w:space="0" w:color="auto"/>
            </w:tcBorders>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0.8964 </w:t>
            </w:r>
          </w:p>
        </w:tc>
        <w:tc>
          <w:tcPr>
            <w:tcW w:w="814" w:type="pct"/>
            <w:tcBorders>
              <w:bottom w:val="double" w:sz="4" w:space="0" w:color="auto"/>
            </w:tcBorders>
            <w:noWrap/>
            <w:vAlign w:val="bottom"/>
            <w:hideMark/>
          </w:tcPr>
          <w:p w:rsidR="00423840" w:rsidRPr="00243CCC" w:rsidRDefault="00423840" w:rsidP="003E44E7">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hint="eastAsia"/>
                <w:color w:val="000000"/>
                <w:sz w:val="24"/>
                <w:szCs w:val="24"/>
              </w:rPr>
              <w:t xml:space="preserve">0.5558 </w:t>
            </w:r>
          </w:p>
        </w:tc>
      </w:tr>
      <w:tr w:rsidR="00423840" w:rsidRPr="00243CCC" w:rsidTr="00423840">
        <w:trPr>
          <w:trHeight w:val="278"/>
        </w:trPr>
        <w:tc>
          <w:tcPr>
            <w:cnfStyle w:val="001000000000" w:firstRow="0" w:lastRow="0" w:firstColumn="1" w:lastColumn="0" w:oddVBand="0" w:evenVBand="0" w:oddHBand="0" w:evenHBand="0" w:firstRowFirstColumn="0" w:firstRowLastColumn="0" w:lastRowFirstColumn="0" w:lastRowLastColumn="0"/>
            <w:tcW w:w="1503" w:type="pct"/>
            <w:tcBorders>
              <w:top w:val="double" w:sz="4" w:space="0" w:color="auto"/>
              <w:bottom w:val="double" w:sz="4" w:space="0" w:color="auto"/>
            </w:tcBorders>
            <w:noWrap/>
            <w:hideMark/>
          </w:tcPr>
          <w:p w:rsidR="00423840" w:rsidRPr="00243CCC" w:rsidRDefault="00423840" w:rsidP="003E44E7">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Percentage (%) Variance</w:t>
            </w:r>
          </w:p>
        </w:tc>
        <w:tc>
          <w:tcPr>
            <w:tcW w:w="811" w:type="pct"/>
            <w:tcBorders>
              <w:top w:val="double" w:sz="4" w:space="0" w:color="auto"/>
              <w:bottom w:val="double" w:sz="4" w:space="0" w:color="auto"/>
            </w:tcBorders>
            <w:noWrap/>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color w:val="000000"/>
                <w:kern w:val="0"/>
                <w:sz w:val="24"/>
                <w:szCs w:val="24"/>
              </w:rPr>
              <w:t>51</w:t>
            </w:r>
            <w:r w:rsidRPr="00243CCC">
              <w:rPr>
                <w:rFonts w:ascii="DengXian" w:eastAsia="DengXian" w:hAnsi="DengXian" w:cs="SimSun" w:hint="eastAsia"/>
                <w:color w:val="000000"/>
                <w:kern w:val="0"/>
                <w:sz w:val="24"/>
                <w:szCs w:val="24"/>
              </w:rPr>
              <w:t>.</w:t>
            </w:r>
            <w:r w:rsidRPr="00243CCC">
              <w:rPr>
                <w:rFonts w:ascii="DengXian" w:eastAsia="DengXian" w:hAnsi="DengXian" w:cs="SimSun"/>
                <w:color w:val="000000"/>
                <w:kern w:val="0"/>
                <w:sz w:val="24"/>
                <w:szCs w:val="24"/>
              </w:rPr>
              <w:t>05</w:t>
            </w:r>
            <w:r w:rsidRPr="00243CCC">
              <w:rPr>
                <w:rFonts w:ascii="DengXian" w:eastAsia="DengXian" w:hAnsi="DengXian" w:cs="SimSun" w:hint="eastAsia"/>
                <w:color w:val="000000"/>
                <w:kern w:val="0"/>
                <w:sz w:val="24"/>
                <w:szCs w:val="24"/>
              </w:rPr>
              <w:t>%</w:t>
            </w:r>
          </w:p>
        </w:tc>
        <w:tc>
          <w:tcPr>
            <w:tcW w:w="838" w:type="pct"/>
            <w:tcBorders>
              <w:top w:val="double" w:sz="4" w:space="0" w:color="auto"/>
              <w:bottom w:val="double" w:sz="4" w:space="0" w:color="auto"/>
            </w:tcBorders>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p>
        </w:tc>
        <w:tc>
          <w:tcPr>
            <w:tcW w:w="517" w:type="pct"/>
            <w:tcBorders>
              <w:top w:val="double" w:sz="4" w:space="0" w:color="auto"/>
              <w:bottom w:val="double" w:sz="4" w:space="0" w:color="auto"/>
            </w:tcBorders>
            <w:noWrap/>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p>
        </w:tc>
        <w:tc>
          <w:tcPr>
            <w:tcW w:w="517" w:type="pct"/>
            <w:tcBorders>
              <w:top w:val="double" w:sz="4" w:space="0" w:color="auto"/>
              <w:bottom w:val="double" w:sz="4" w:space="0" w:color="auto"/>
            </w:tcBorders>
            <w:noWrap/>
            <w:hideMark/>
          </w:tcPr>
          <w:p w:rsidR="00423840" w:rsidRPr="00243CCC" w:rsidRDefault="00423840" w:rsidP="003E44E7">
            <w:pPr>
              <w:jc w:val="center"/>
              <w:cnfStyle w:val="000000000000" w:firstRow="0" w:lastRow="0" w:firstColumn="0" w:lastColumn="0" w:oddVBand="0" w:evenVBand="0" w:oddHBand="0" w:evenHBand="0" w:firstRowFirstColumn="0" w:firstRowLastColumn="0" w:lastRowFirstColumn="0" w:lastRowLastColumn="0"/>
              <w:rPr>
                <w:kern w:val="0"/>
                <w:sz w:val="24"/>
                <w:szCs w:val="24"/>
              </w:rPr>
            </w:pPr>
          </w:p>
        </w:tc>
        <w:tc>
          <w:tcPr>
            <w:tcW w:w="814" w:type="pct"/>
            <w:tcBorders>
              <w:top w:val="double" w:sz="4" w:space="0" w:color="auto"/>
              <w:bottom w:val="double" w:sz="4" w:space="0" w:color="auto"/>
            </w:tcBorders>
            <w:noWrap/>
            <w:hideMark/>
          </w:tcPr>
          <w:p w:rsidR="00423840" w:rsidRPr="00243CCC" w:rsidRDefault="00423840" w:rsidP="003E44E7">
            <w:pPr>
              <w:keepNext/>
              <w:jc w:val="center"/>
              <w:cnfStyle w:val="000000000000" w:firstRow="0" w:lastRow="0" w:firstColumn="0" w:lastColumn="0" w:oddVBand="0" w:evenVBand="0" w:oddHBand="0" w:evenHBand="0" w:firstRowFirstColumn="0" w:firstRowLastColumn="0" w:lastRowFirstColumn="0" w:lastRowLastColumn="0"/>
              <w:rPr>
                <w:kern w:val="0"/>
                <w:sz w:val="24"/>
                <w:szCs w:val="24"/>
              </w:rPr>
            </w:pPr>
          </w:p>
        </w:tc>
      </w:tr>
    </w:tbl>
    <w:p w:rsidR="00423840" w:rsidRPr="00F60999" w:rsidRDefault="00423840" w:rsidP="00423840">
      <w:pPr>
        <w:jc w:val="center"/>
        <w:rPr>
          <w:lang w:val="en-US"/>
        </w:rPr>
      </w:pPr>
      <w:r w:rsidRPr="007324CE">
        <w:rPr>
          <w:b/>
          <w:lang w:val="en-US"/>
        </w:rPr>
        <w:t xml:space="preserve">Table </w:t>
      </w:r>
      <w:r>
        <w:rPr>
          <w:b/>
          <w:lang w:val="en-US"/>
        </w:rPr>
        <w:t>3</w:t>
      </w:r>
      <w:r>
        <w:rPr>
          <w:lang w:val="en-US"/>
        </w:rPr>
        <w:t>: Two-Factor Model Analysis</w:t>
      </w:r>
    </w:p>
    <w:p w:rsidR="00423840" w:rsidRDefault="00423840" w:rsidP="00423840">
      <w:pPr>
        <w:rPr>
          <w:lang w:val="en-US"/>
        </w:rPr>
      </w:pPr>
    </w:p>
    <w:p w:rsidR="003E44E7" w:rsidRPr="00243CCC" w:rsidRDefault="003E44E7" w:rsidP="003E44E7">
      <w:r w:rsidRPr="00243CCC">
        <w:t xml:space="preserve">In factor analysis, adding the next factor would influence loadings of the first factor. As shown in </w:t>
      </w:r>
      <w:r w:rsidRPr="00243CCC">
        <w:fldChar w:fldCharType="begin"/>
      </w:r>
      <w:r w:rsidRPr="00243CCC">
        <w:instrText xml:space="preserve"> REF _Ref515808565 \h </w:instrText>
      </w:r>
      <w:r>
        <w:instrText xml:space="preserve"> \* MERGEFORMAT </w:instrText>
      </w:r>
      <w:r w:rsidRPr="00243CCC">
        <w:fldChar w:fldCharType="separate"/>
      </w:r>
      <w:r w:rsidRPr="00243CCC">
        <w:t xml:space="preserve">Table </w:t>
      </w:r>
      <w:r w:rsidRPr="00243CCC">
        <w:rPr>
          <w:noProof/>
        </w:rPr>
        <w:t>2</w:t>
      </w:r>
      <w:r w:rsidRPr="00243CCC">
        <w:fldChar w:fldCharType="end"/>
      </w:r>
      <w:r w:rsidRPr="00243CCC">
        <w:t>, the first factor again has a positive effect on individual stock returns. PTR still has the highest 1</w:t>
      </w:r>
      <w:r w:rsidRPr="00243CCC">
        <w:rPr>
          <w:vertAlign w:val="superscript"/>
        </w:rPr>
        <w:t>st</w:t>
      </w:r>
      <w:r w:rsidRPr="00243CCC">
        <w:t xml:space="preserve"> loadings, 1.4292 while JNJ has the lowest, 0.3425. It is hard to identify and interpret the first factor because the differences between the 1</w:t>
      </w:r>
      <w:r w:rsidRPr="00243CCC">
        <w:rPr>
          <w:vertAlign w:val="superscript"/>
        </w:rPr>
        <w:t>st</w:t>
      </w:r>
      <w:r w:rsidRPr="00243CCC">
        <w:t xml:space="preserve"> loadings of each stock, if ranked from the lowest to highest, are all approximately 0.2 to 0.3. A possible explanation is that the first factor distinguishes MSFT and PTR which have loadings larger than one from the other three stocks: JNJ, KO and MMM. Yet as for the second factor, JNJ shows the highest 2</w:t>
      </w:r>
      <w:r w:rsidRPr="00243CCC">
        <w:rPr>
          <w:vertAlign w:val="superscript"/>
        </w:rPr>
        <w:t>nd</w:t>
      </w:r>
      <w:r w:rsidRPr="00243CCC">
        <w:t xml:space="preserve"> loadings when the other four stocks all have values around 0.4. Thus, this is more like a factor driving return on healthcare stock or a healthcare-dominated factor.</w:t>
      </w:r>
    </w:p>
    <w:p w:rsidR="003E44E7" w:rsidRDefault="003E44E7" w:rsidP="00423840"/>
    <w:p w:rsidR="003E44E7" w:rsidRDefault="003E44E7" w:rsidP="003E44E7">
      <w:r w:rsidRPr="00243CCC">
        <w:t>In terms of SER</w:t>
      </w:r>
      <w:r w:rsidRPr="00243CCC">
        <w:rPr>
          <w:vertAlign w:val="superscript"/>
        </w:rPr>
        <w:t xml:space="preserve">2 </w:t>
      </w:r>
      <w:r w:rsidRPr="00243CCC">
        <w:t>and SER, PTR and JNJ each maintains the highest and lowest values respectively. It is worth noting that the SER of JNJ is close to zero indicating that the second factor has a very comprehensive explanation of JNJ’s returns. The adjusted R</w:t>
      </w:r>
      <w:r w:rsidRPr="00243CCC">
        <w:rPr>
          <w:vertAlign w:val="superscript"/>
        </w:rPr>
        <w:t>2</w:t>
      </w:r>
      <w:r w:rsidRPr="00243CCC">
        <w:t xml:space="preserve"> also shows that the second factor has a strong explanatory power for JNJ.</w:t>
      </w:r>
    </w:p>
    <w:p w:rsidR="00E638C9" w:rsidRPr="00243CCC" w:rsidRDefault="00E638C9" w:rsidP="003E44E7"/>
    <w:p w:rsidR="003E44E7" w:rsidRDefault="003E44E7" w:rsidP="003E44E7">
      <w:r w:rsidRPr="00243CCC">
        <w:t>The 2-factor model captures 51.05% of variation across 5 stock return series and is slightly improved comparing with 1-factor model.</w:t>
      </w:r>
    </w:p>
    <w:p w:rsidR="003E44E7" w:rsidRDefault="003E44E7" w:rsidP="003E44E7"/>
    <w:p w:rsidR="003E44E7" w:rsidRDefault="003E44E7" w:rsidP="003E44E7">
      <w:r w:rsidRPr="00243CCC">
        <w:rPr>
          <w:rFonts w:hint="eastAsia"/>
          <w:noProof/>
        </w:rPr>
        <w:drawing>
          <wp:inline distT="0" distB="0" distL="0" distR="0" wp14:anchorId="11E8F104" wp14:editId="3072E40C">
            <wp:extent cx="5185319" cy="1666754"/>
            <wp:effectExtent l="0" t="0" r="0" b="0"/>
            <wp:docPr id="3" name="图片 3"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actor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0084" cy="1674714"/>
                    </a:xfrm>
                    <a:prstGeom prst="rect">
                      <a:avLst/>
                    </a:prstGeom>
                  </pic:spPr>
                </pic:pic>
              </a:graphicData>
            </a:graphic>
          </wp:inline>
        </w:drawing>
      </w:r>
    </w:p>
    <w:p w:rsidR="003E44E7" w:rsidRDefault="003E44E7" w:rsidP="003E44E7">
      <w:pPr>
        <w:jc w:val="center"/>
      </w:pPr>
      <w:r w:rsidRPr="001A5FD8">
        <w:rPr>
          <w:b/>
          <w:lang w:val="en-US"/>
        </w:rPr>
        <w:t xml:space="preserve">Figure </w:t>
      </w:r>
      <w:r>
        <w:rPr>
          <w:b/>
          <w:lang w:val="en-US"/>
        </w:rPr>
        <w:t>4</w:t>
      </w:r>
      <w:r>
        <w:rPr>
          <w:lang w:val="en-US"/>
        </w:rPr>
        <w:t>: Variations explained by the 1</w:t>
      </w:r>
      <w:r w:rsidRPr="006E0283">
        <w:rPr>
          <w:vertAlign w:val="superscript"/>
          <w:lang w:val="en-US"/>
        </w:rPr>
        <w:t>st</w:t>
      </w:r>
      <w:r>
        <w:rPr>
          <w:lang w:val="en-US"/>
        </w:rPr>
        <w:t xml:space="preserve"> and 2</w:t>
      </w:r>
      <w:r w:rsidRPr="003E44E7">
        <w:rPr>
          <w:vertAlign w:val="superscript"/>
          <w:lang w:val="en-US"/>
        </w:rPr>
        <w:t>nd</w:t>
      </w:r>
      <w:r>
        <w:rPr>
          <w:lang w:val="en-US"/>
        </w:rPr>
        <w:t xml:space="preserve"> factor</w:t>
      </w:r>
    </w:p>
    <w:p w:rsidR="003E44E7" w:rsidRPr="00243CCC" w:rsidRDefault="003E44E7" w:rsidP="003E44E7"/>
    <w:p w:rsidR="003E44E7" w:rsidRPr="00243CCC" w:rsidRDefault="003E44E7" w:rsidP="003E44E7">
      <w:r w:rsidRPr="00243CCC">
        <w:rPr>
          <w:rFonts w:hint="eastAsia"/>
        </w:rPr>
        <w:t>A</w:t>
      </w:r>
      <w:r w:rsidRPr="00243CCC">
        <w:t xml:space="preserve">s illustrated by </w:t>
      </w:r>
      <w:r w:rsidR="00E638C9" w:rsidRPr="001A5FD8">
        <w:rPr>
          <w:b/>
          <w:lang w:val="en-US"/>
        </w:rPr>
        <w:t xml:space="preserve">Figure </w:t>
      </w:r>
      <w:r w:rsidR="00E638C9">
        <w:rPr>
          <w:b/>
          <w:lang w:val="en-US"/>
        </w:rPr>
        <w:t>4</w:t>
      </w:r>
      <w:r w:rsidRPr="00243CCC">
        <w:t>, the first factor has relatively big variation around 1000</w:t>
      </w:r>
      <w:r w:rsidRPr="00243CCC">
        <w:rPr>
          <w:vertAlign w:val="superscript"/>
        </w:rPr>
        <w:t>th</w:t>
      </w:r>
      <w:r w:rsidRPr="00243CCC">
        <w:t xml:space="preserve"> day and 1700</w:t>
      </w:r>
      <w:r w:rsidRPr="00243CCC">
        <w:rPr>
          <w:vertAlign w:val="superscript"/>
        </w:rPr>
        <w:t>th</w:t>
      </w:r>
      <w:r w:rsidRPr="00243CCC">
        <w:t xml:space="preserve"> day, which is close to MMM stock return variation shown in the first panel. This observation explains reason why MMM has 1</w:t>
      </w:r>
      <w:r w:rsidRPr="00243CCC">
        <w:rPr>
          <w:vertAlign w:val="superscript"/>
        </w:rPr>
        <w:t>st</w:t>
      </w:r>
      <w:r w:rsidRPr="00243CCC">
        <w:t xml:space="preserve"> factor loading being close to 1. The second factor has less variation because it captures nearly 100% variation in JNJ returns which have almost no extreme value shown by the first panel in </w:t>
      </w:r>
      <w:r w:rsidR="00E638C9" w:rsidRPr="001A5FD8">
        <w:rPr>
          <w:b/>
          <w:lang w:val="en-US"/>
        </w:rPr>
        <w:t xml:space="preserve">Figure </w:t>
      </w:r>
      <w:r w:rsidR="00E638C9">
        <w:rPr>
          <w:b/>
          <w:lang w:val="en-US"/>
        </w:rPr>
        <w:t>4</w:t>
      </w:r>
      <w:r w:rsidRPr="00243CCC">
        <w:t>.</w:t>
      </w:r>
    </w:p>
    <w:p w:rsidR="003E44E7" w:rsidRPr="00243CCC" w:rsidRDefault="003E44E7" w:rsidP="003E44E7"/>
    <w:p w:rsidR="003E44E7" w:rsidRPr="00243CCC" w:rsidRDefault="003E44E7" w:rsidP="003E44E7">
      <w:r w:rsidRPr="00243CCC">
        <w:rPr>
          <w:rFonts w:hint="eastAsia"/>
        </w:rPr>
        <w:t>T</w:t>
      </w:r>
      <w:r w:rsidRPr="00243CCC">
        <w:t>he correlation between factor 1 and 2 is calculated and it is equal to -0.1397 indicating that these two factors are negatively correlated and are not independent to each other. Although the relationship between two factors is not strong, the result violates assumption of factor independence to some extent.</w:t>
      </w:r>
    </w:p>
    <w:p w:rsidR="003E44E7" w:rsidRDefault="003E44E7" w:rsidP="00423840"/>
    <w:p w:rsidR="004855F3" w:rsidRPr="003E44E7" w:rsidRDefault="009056E0" w:rsidP="00423840">
      <w:r>
        <w:t>As can be seen in Table 3, the variances explained are only 51.05%, thus we tried to employ the third factor to give more explanations. However, MATLAB</w:t>
      </w:r>
      <w:r w:rsidR="003E44E7" w:rsidRPr="00243CCC">
        <w:t xml:space="preserve"> shows that “The number of factors requested, M, is too large for the number of the observed variables.” Thus, </w:t>
      </w:r>
      <w:r w:rsidR="004855F3">
        <w:rPr>
          <w:rFonts w:hint="eastAsia"/>
        </w:rPr>
        <w:t>unfortunately</w:t>
      </w:r>
      <w:r w:rsidR="004855F3">
        <w:rPr>
          <w:lang w:val="en-US"/>
        </w:rPr>
        <w:t xml:space="preserve">, </w:t>
      </w:r>
      <w:r w:rsidR="003E44E7" w:rsidRPr="00243CCC">
        <w:t>we cannot conduct three factor model analysis.</w:t>
      </w:r>
    </w:p>
    <w:p w:rsidR="003E44E7" w:rsidRDefault="003E44E7" w:rsidP="00423840">
      <w:pPr>
        <w:rPr>
          <w:lang w:val="en-US"/>
        </w:rPr>
      </w:pPr>
    </w:p>
    <w:p w:rsidR="004855F3" w:rsidRPr="00CD68B3" w:rsidRDefault="00423840" w:rsidP="00F60999">
      <w:pPr>
        <w:pStyle w:val="2"/>
        <w:numPr>
          <w:ilvl w:val="1"/>
          <w:numId w:val="1"/>
        </w:numPr>
        <w:rPr>
          <w:lang w:val="en-US"/>
        </w:rPr>
      </w:pPr>
      <w:r>
        <w:rPr>
          <w:lang w:val="en-US"/>
        </w:rPr>
        <w:t>Comparison between one-factor and two-factor model</w:t>
      </w:r>
    </w:p>
    <w:p w:rsidR="004855F3" w:rsidRDefault="004855F3" w:rsidP="00F60999">
      <w:pPr>
        <w:rPr>
          <w:lang w:val="en-US"/>
        </w:rPr>
      </w:pPr>
    </w:p>
    <w:tbl>
      <w:tblPr>
        <w:tblStyle w:val="32"/>
        <w:tblW w:w="5000" w:type="pct"/>
        <w:tblLook w:val="04A0" w:firstRow="1" w:lastRow="0" w:firstColumn="1" w:lastColumn="0" w:noHBand="0" w:noVBand="1"/>
      </w:tblPr>
      <w:tblGrid>
        <w:gridCol w:w="3525"/>
        <w:gridCol w:w="1099"/>
        <w:gridCol w:w="1099"/>
        <w:gridCol w:w="1099"/>
        <w:gridCol w:w="1099"/>
        <w:gridCol w:w="1099"/>
      </w:tblGrid>
      <w:tr w:rsidR="004855F3" w:rsidRPr="00243CCC" w:rsidTr="004855F3">
        <w:trPr>
          <w:cnfStyle w:val="100000000000" w:firstRow="1" w:lastRow="0" w:firstColumn="0" w:lastColumn="0" w:oddVBand="0" w:evenVBand="0" w:oddHBand="0" w:evenHBand="0" w:firstRowFirstColumn="0" w:firstRowLastColumn="0" w:lastRowFirstColumn="0" w:lastRowLastColumn="0"/>
          <w:trHeight w:val="278"/>
        </w:trPr>
        <w:tc>
          <w:tcPr>
            <w:cnfStyle w:val="001000000100" w:firstRow="0" w:lastRow="0" w:firstColumn="1" w:lastColumn="0" w:oddVBand="0" w:evenVBand="0" w:oddHBand="0" w:evenHBand="0" w:firstRowFirstColumn="1" w:firstRowLastColumn="0" w:lastRowFirstColumn="0" w:lastRowLastColumn="0"/>
            <w:tcW w:w="1954" w:type="pct"/>
            <w:noWrap/>
            <w:hideMark/>
          </w:tcPr>
          <w:p w:rsidR="004855F3" w:rsidRPr="00243CCC" w:rsidRDefault="004855F3" w:rsidP="00F8021F">
            <w:pPr>
              <w:jc w:val="center"/>
              <w:rPr>
                <w:rFonts w:ascii="SimSun" w:eastAsia="SimSun" w:hAnsi="SimSun" w:cs="SimSun"/>
                <w:kern w:val="0"/>
                <w:sz w:val="24"/>
                <w:szCs w:val="24"/>
              </w:rPr>
            </w:pPr>
          </w:p>
        </w:tc>
        <w:tc>
          <w:tcPr>
            <w:tcW w:w="609" w:type="pct"/>
            <w:noWrap/>
            <w:hideMark/>
          </w:tcPr>
          <w:p w:rsidR="004855F3" w:rsidRPr="00243CCC" w:rsidRDefault="004855F3" w:rsidP="00F8021F">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MSFT</w:t>
            </w:r>
          </w:p>
        </w:tc>
        <w:tc>
          <w:tcPr>
            <w:tcW w:w="609" w:type="pct"/>
            <w:noWrap/>
            <w:hideMark/>
          </w:tcPr>
          <w:p w:rsidR="004855F3" w:rsidRPr="00243CCC" w:rsidRDefault="004855F3" w:rsidP="00F8021F">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JNJ</w:t>
            </w:r>
          </w:p>
        </w:tc>
        <w:tc>
          <w:tcPr>
            <w:tcW w:w="609" w:type="pct"/>
            <w:noWrap/>
            <w:hideMark/>
          </w:tcPr>
          <w:p w:rsidR="004855F3" w:rsidRPr="00243CCC" w:rsidRDefault="004855F3" w:rsidP="00F8021F">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KO</w:t>
            </w:r>
          </w:p>
        </w:tc>
        <w:tc>
          <w:tcPr>
            <w:tcW w:w="609" w:type="pct"/>
            <w:noWrap/>
            <w:hideMark/>
          </w:tcPr>
          <w:p w:rsidR="004855F3" w:rsidRPr="00243CCC" w:rsidRDefault="004855F3" w:rsidP="00F8021F">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PTR</w:t>
            </w:r>
          </w:p>
        </w:tc>
        <w:tc>
          <w:tcPr>
            <w:tcW w:w="609" w:type="pct"/>
            <w:noWrap/>
            <w:hideMark/>
          </w:tcPr>
          <w:p w:rsidR="004855F3" w:rsidRPr="00243CCC" w:rsidRDefault="004855F3" w:rsidP="00F8021F">
            <w:pPr>
              <w:jc w:val="center"/>
              <w:cnfStyle w:val="100000000000" w:firstRow="1"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MMM</w:t>
            </w:r>
          </w:p>
        </w:tc>
      </w:tr>
      <w:tr w:rsidR="004855F3" w:rsidRPr="00243CCC" w:rsidTr="004855F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54" w:type="pct"/>
            <w:noWrap/>
            <w:hideMark/>
          </w:tcPr>
          <w:p w:rsidR="004855F3" w:rsidRPr="00243CCC" w:rsidRDefault="004855F3" w:rsidP="00F8021F">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std of stock returns</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1.6521</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0.9980</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1.0885</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2.2815</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1.3449</w:t>
            </w:r>
          </w:p>
        </w:tc>
      </w:tr>
      <w:tr w:rsidR="004855F3" w:rsidRPr="00243CCC" w:rsidTr="004855F3">
        <w:trPr>
          <w:trHeight w:val="278"/>
        </w:trPr>
        <w:tc>
          <w:tcPr>
            <w:cnfStyle w:val="001000000000" w:firstRow="0" w:lastRow="0" w:firstColumn="1" w:lastColumn="0" w:oddVBand="0" w:evenVBand="0" w:oddHBand="0" w:evenHBand="0" w:firstRowFirstColumn="0" w:firstRowLastColumn="0" w:lastRowFirstColumn="0" w:lastRowLastColumn="0"/>
            <w:tcW w:w="1954" w:type="pct"/>
            <w:noWrap/>
            <w:hideMark/>
          </w:tcPr>
          <w:p w:rsidR="004855F3" w:rsidRPr="00243CCC" w:rsidRDefault="004855F3" w:rsidP="00F8021F">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SER(m=1)</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1.2087</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0.7008</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0.7962</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1.8073</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0.8734</w:t>
            </w:r>
          </w:p>
        </w:tc>
      </w:tr>
      <w:tr w:rsidR="004855F3" w:rsidRPr="00243CCC" w:rsidTr="004855F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54" w:type="pct"/>
            <w:noWrap/>
            <w:hideMark/>
          </w:tcPr>
          <w:p w:rsidR="004855F3" w:rsidRPr="00243CCC" w:rsidRDefault="004855F3" w:rsidP="00F8021F">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SER(m=2)</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1.1713</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0.0706</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0.8155</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1.7296</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0.8964</w:t>
            </w:r>
          </w:p>
        </w:tc>
      </w:tr>
      <w:tr w:rsidR="004855F3" w:rsidRPr="00243CCC" w:rsidTr="004855F3">
        <w:trPr>
          <w:trHeight w:val="278"/>
        </w:trPr>
        <w:tc>
          <w:tcPr>
            <w:cnfStyle w:val="001000000000" w:firstRow="0" w:lastRow="0" w:firstColumn="1" w:lastColumn="0" w:oddVBand="0" w:evenVBand="0" w:oddHBand="0" w:evenHBand="0" w:firstRowFirstColumn="0" w:firstRowLastColumn="0" w:lastRowFirstColumn="0" w:lastRowLastColumn="0"/>
            <w:tcW w:w="1954" w:type="pct"/>
            <w:noWrap/>
            <w:hideMark/>
          </w:tcPr>
          <w:p w:rsidR="004855F3" w:rsidRPr="00243CCC" w:rsidRDefault="004855F3" w:rsidP="00F8021F">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R</w:t>
            </w:r>
            <w:r w:rsidRPr="00243CCC">
              <w:rPr>
                <w:rFonts w:ascii="DengXian" w:eastAsia="DengXian" w:hAnsi="DengXian" w:cs="SimSun"/>
                <w:color w:val="000000"/>
                <w:kern w:val="0"/>
                <w:sz w:val="24"/>
                <w:szCs w:val="24"/>
                <w:vertAlign w:val="superscript"/>
              </w:rPr>
              <w:t>2</w:t>
            </w:r>
            <w:r w:rsidRPr="00243CCC">
              <w:rPr>
                <w:rFonts w:ascii="DengXian" w:eastAsia="DengXian" w:hAnsi="DengXian" w:cs="SimSun" w:hint="eastAsia"/>
                <w:color w:val="000000"/>
                <w:kern w:val="0"/>
                <w:sz w:val="24"/>
                <w:szCs w:val="24"/>
              </w:rPr>
              <w:t>(m=1)</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0.4647</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0.5069</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0.4649</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0.3725</w:t>
            </w:r>
          </w:p>
        </w:tc>
        <w:tc>
          <w:tcPr>
            <w:tcW w:w="609" w:type="pct"/>
            <w:noWrap/>
            <w:hideMark/>
          </w:tcPr>
          <w:p w:rsidR="004855F3" w:rsidRPr="00243CCC" w:rsidRDefault="004855F3" w:rsidP="00F8021F">
            <w:pPr>
              <w:jc w:val="center"/>
              <w:cnfStyle w:val="000000000000" w:firstRow="0" w:lastRow="0" w:firstColumn="0" w:lastColumn="0" w:oddVBand="0" w:evenVBand="0" w:oddHBand="0"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0.5783</w:t>
            </w:r>
          </w:p>
        </w:tc>
      </w:tr>
      <w:tr w:rsidR="004855F3" w:rsidRPr="00243CCC" w:rsidTr="004855F3">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54" w:type="pct"/>
            <w:noWrap/>
            <w:hideMark/>
          </w:tcPr>
          <w:p w:rsidR="004855F3" w:rsidRPr="00243CCC" w:rsidRDefault="004855F3" w:rsidP="00F8021F">
            <w:pPr>
              <w:jc w:val="center"/>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R</w:t>
            </w:r>
            <w:r w:rsidRPr="00243CCC">
              <w:rPr>
                <w:rFonts w:ascii="DengXian" w:eastAsia="DengXian" w:hAnsi="DengXian" w:cs="SimSun"/>
                <w:color w:val="000000"/>
                <w:kern w:val="0"/>
                <w:sz w:val="24"/>
                <w:szCs w:val="24"/>
                <w:vertAlign w:val="superscript"/>
              </w:rPr>
              <w:t>2</w:t>
            </w:r>
            <w:r w:rsidRPr="00243CCC">
              <w:rPr>
                <w:rFonts w:ascii="DengXian" w:eastAsia="DengXian" w:hAnsi="DengXian" w:cs="SimSun" w:hint="eastAsia"/>
                <w:color w:val="000000"/>
                <w:kern w:val="0"/>
                <w:sz w:val="24"/>
                <w:szCs w:val="24"/>
              </w:rPr>
              <w:t>(m=2)</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0.4973</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0.9950</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0.4388</w:t>
            </w:r>
          </w:p>
        </w:tc>
        <w:tc>
          <w:tcPr>
            <w:tcW w:w="609" w:type="pct"/>
            <w:noWrap/>
            <w:hideMark/>
          </w:tcPr>
          <w:p w:rsidR="004855F3" w:rsidRPr="00243CCC" w:rsidRDefault="004855F3" w:rsidP="00F8021F">
            <w:pPr>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0.4253</w:t>
            </w:r>
          </w:p>
        </w:tc>
        <w:tc>
          <w:tcPr>
            <w:tcW w:w="609" w:type="pct"/>
            <w:noWrap/>
            <w:hideMark/>
          </w:tcPr>
          <w:p w:rsidR="004855F3" w:rsidRPr="00243CCC" w:rsidRDefault="004855F3" w:rsidP="00F8021F">
            <w:pPr>
              <w:keepNext/>
              <w:jc w:val="center"/>
              <w:cnfStyle w:val="000000100000" w:firstRow="0" w:lastRow="0" w:firstColumn="0" w:lastColumn="0" w:oddVBand="0" w:evenVBand="0" w:oddHBand="1" w:evenHBand="0" w:firstRowFirstColumn="0" w:firstRowLastColumn="0" w:lastRowFirstColumn="0" w:lastRowLastColumn="0"/>
              <w:rPr>
                <w:rFonts w:ascii="DengXian" w:eastAsia="DengXian" w:hAnsi="DengXian" w:cs="SimSun"/>
                <w:color w:val="000000"/>
                <w:kern w:val="0"/>
                <w:sz w:val="24"/>
                <w:szCs w:val="24"/>
              </w:rPr>
            </w:pPr>
            <w:r w:rsidRPr="00243CCC">
              <w:rPr>
                <w:rFonts w:ascii="DengXian" w:eastAsia="DengXian" w:hAnsi="DengXian" w:cs="SimSun" w:hint="eastAsia"/>
                <w:color w:val="000000"/>
                <w:kern w:val="0"/>
                <w:sz w:val="24"/>
                <w:szCs w:val="24"/>
              </w:rPr>
              <w:t>0.5558</w:t>
            </w:r>
          </w:p>
        </w:tc>
      </w:tr>
    </w:tbl>
    <w:p w:rsidR="004855F3" w:rsidRPr="00F60999" w:rsidRDefault="004855F3" w:rsidP="004855F3">
      <w:pPr>
        <w:jc w:val="center"/>
        <w:rPr>
          <w:lang w:val="en-US"/>
        </w:rPr>
      </w:pPr>
      <w:r w:rsidRPr="007324CE">
        <w:rPr>
          <w:b/>
          <w:lang w:val="en-US"/>
        </w:rPr>
        <w:t xml:space="preserve">Table </w:t>
      </w:r>
      <w:r>
        <w:rPr>
          <w:b/>
          <w:lang w:val="en-US"/>
        </w:rPr>
        <w:t>4</w:t>
      </w:r>
      <w:r>
        <w:rPr>
          <w:lang w:val="en-US"/>
        </w:rPr>
        <w:t>: Comparison between 1-factor and 2-factor modelling</w:t>
      </w:r>
    </w:p>
    <w:p w:rsidR="004855F3" w:rsidRDefault="004855F3" w:rsidP="00F60999">
      <w:pPr>
        <w:rPr>
          <w:lang w:val="en-US"/>
        </w:rPr>
      </w:pPr>
    </w:p>
    <w:p w:rsidR="004855F3" w:rsidRDefault="004855F3" w:rsidP="004855F3">
      <w:r w:rsidRPr="00243CCC">
        <w:rPr>
          <w:rFonts w:hint="eastAsia"/>
        </w:rPr>
        <w:t>A</w:t>
      </w:r>
      <w:r w:rsidRPr="00243CCC">
        <w:t>s shown in</w:t>
      </w:r>
      <w:r w:rsidR="007226B2">
        <w:t xml:space="preserve"> </w:t>
      </w:r>
      <w:r w:rsidR="007226B2" w:rsidRPr="007226B2">
        <w:rPr>
          <w:b/>
        </w:rPr>
        <w:t>Table 4</w:t>
      </w:r>
      <w:r w:rsidRPr="00243CCC">
        <w:t xml:space="preserve">, one factor model has specific error standard deviation being only about 0.4 less than original standard deviation of individual stocks. In addition </w:t>
      </w:r>
      <w:r w:rsidRPr="00243CCC">
        <w:rPr>
          <w:rFonts w:ascii="DengXian" w:eastAsia="DengXian" w:hAnsi="DengXian" w:cs="SimSun" w:hint="eastAsia"/>
          <w:color w:val="000000"/>
        </w:rPr>
        <w:t>R</w:t>
      </w:r>
      <w:r w:rsidRPr="00243CCC">
        <w:rPr>
          <w:rFonts w:ascii="DengXian" w:eastAsia="DengXian" w:hAnsi="DengXian" w:cs="SimSun"/>
          <w:color w:val="000000"/>
          <w:vertAlign w:val="superscript"/>
        </w:rPr>
        <w:t>2</w:t>
      </w:r>
      <w:r w:rsidRPr="00243CCC">
        <w:rPr>
          <w:rFonts w:ascii="DengXian" w:eastAsia="DengXian" w:hAnsi="DengXian" w:cs="SimSun"/>
          <w:color w:val="000000"/>
        </w:rPr>
        <w:t xml:space="preserve">s </w:t>
      </w:r>
      <w:r w:rsidRPr="004855F3">
        <w:t xml:space="preserve">of one-factor model are around 0.5 or less. These two criteria indicate that one factor model has poor explanation of stock returns. Comparing with one-factor model, two-factor model has lower SER and higher </w:t>
      </w:r>
      <w:r w:rsidRPr="00243CCC">
        <w:rPr>
          <w:rFonts w:ascii="DengXian" w:eastAsia="DengXian" w:hAnsi="DengXian" w:cs="SimSun"/>
          <w:color w:val="000000"/>
        </w:rPr>
        <w:t>R</w:t>
      </w:r>
      <w:r w:rsidRPr="00243CCC">
        <w:rPr>
          <w:rFonts w:ascii="DengXian" w:eastAsia="DengXian" w:hAnsi="DengXian" w:cs="SimSun"/>
          <w:color w:val="000000"/>
          <w:vertAlign w:val="superscript"/>
        </w:rPr>
        <w:t>2</w:t>
      </w:r>
      <w:r w:rsidRPr="00243CCC">
        <w:rPr>
          <w:rFonts w:ascii="DengXian" w:eastAsia="DengXian" w:hAnsi="DengXian" w:cs="SimSun"/>
          <w:color w:val="000000"/>
        </w:rPr>
        <w:t xml:space="preserve"> </w:t>
      </w:r>
      <w:r w:rsidRPr="004855F3">
        <w:t xml:space="preserve">for MSFT, PTR and especially JNJ while the opposite situation happens for KO and MMM. Although it is hard to see that model 2 is improved compared to model 1 </w:t>
      </w:r>
      <w:r w:rsidRPr="004855F3">
        <w:lastRenderedPageBreak/>
        <w:t xml:space="preserve">based on </w:t>
      </w:r>
      <w:r w:rsidR="00616A03" w:rsidRPr="007226B2">
        <w:rPr>
          <w:b/>
        </w:rPr>
        <w:t>Table 4</w:t>
      </w:r>
      <w:r w:rsidRPr="004855F3">
        <w:t xml:space="preserve">, the overall </w:t>
      </w:r>
      <w:r w:rsidRPr="00243CCC">
        <w:rPr>
          <w:rFonts w:ascii="DengXian" w:eastAsia="DengXian" w:hAnsi="DengXian" w:cs="SimSun" w:hint="eastAsia"/>
          <w:color w:val="000000"/>
        </w:rPr>
        <w:t>R</w:t>
      </w:r>
      <w:r w:rsidRPr="00243CCC">
        <w:rPr>
          <w:rFonts w:ascii="DengXian" w:eastAsia="DengXian" w:hAnsi="DengXian" w:cs="SimSun"/>
          <w:color w:val="000000"/>
          <w:vertAlign w:val="superscript"/>
        </w:rPr>
        <w:t>2</w:t>
      </w:r>
      <w:r w:rsidRPr="00243CCC">
        <w:rPr>
          <w:rFonts w:ascii="DengXian" w:eastAsia="DengXian" w:hAnsi="DengXian" w:cs="SimSun"/>
          <w:color w:val="000000"/>
        </w:rPr>
        <w:t xml:space="preserve"> </w:t>
      </w:r>
      <w:r w:rsidRPr="004855F3">
        <w:t>for two-factor model is 51.05% which is 5.53% higher than one-factor model.</w:t>
      </w:r>
    </w:p>
    <w:p w:rsidR="007036E1" w:rsidRPr="004855F3" w:rsidRDefault="007036E1" w:rsidP="004855F3"/>
    <w:p w:rsidR="004855F3" w:rsidRPr="00243CCC" w:rsidRDefault="004855F3" w:rsidP="004855F3">
      <w:r w:rsidRPr="00243CCC">
        <w:rPr>
          <w:rFonts w:hint="eastAsia"/>
        </w:rPr>
        <w:t>A</w:t>
      </w:r>
      <w:r w:rsidRPr="00243CCC">
        <w:t xml:space="preserve">s a result, two-factor model is preferred because it can almost perfectly explain JNJ returns and </w:t>
      </w:r>
      <w:r w:rsidR="006A54E1">
        <w:t>it is the best strategy we can formulate given the 3</w:t>
      </w:r>
      <w:r w:rsidR="006A54E1" w:rsidRPr="006A54E1">
        <w:rPr>
          <w:vertAlign w:val="superscript"/>
        </w:rPr>
        <w:t>rd</w:t>
      </w:r>
      <w:r w:rsidR="006A54E1">
        <w:t xml:space="preserve"> factor cannot be generated using MATLAB.</w:t>
      </w:r>
    </w:p>
    <w:p w:rsidR="004855F3" w:rsidRPr="004855F3" w:rsidRDefault="004855F3" w:rsidP="00F60999"/>
    <w:p w:rsidR="00DF48E1" w:rsidRDefault="00DF48E1" w:rsidP="00DF48E1">
      <w:pPr>
        <w:pStyle w:val="2"/>
        <w:numPr>
          <w:ilvl w:val="1"/>
          <w:numId w:val="1"/>
        </w:numPr>
        <w:rPr>
          <w:lang w:val="en-US"/>
        </w:rPr>
      </w:pPr>
      <w:r>
        <w:rPr>
          <w:lang w:val="en-US"/>
        </w:rPr>
        <w:t>Factor Rotations</w:t>
      </w:r>
    </w:p>
    <w:p w:rsidR="00DF48E1" w:rsidRDefault="00DF48E1" w:rsidP="00DF48E1">
      <w:pPr>
        <w:rPr>
          <w:lang w:val="en-US"/>
        </w:rPr>
      </w:pPr>
    </w:p>
    <w:p w:rsidR="00DF48E1" w:rsidRDefault="00BD6230" w:rsidP="00DF48E1">
      <w:pPr>
        <w:rPr>
          <w:lang w:val="en-US"/>
        </w:rPr>
      </w:pPr>
      <w:r>
        <w:rPr>
          <w:lang w:val="en-US"/>
        </w:rPr>
        <w:t>The benefit of factor rotation is the better interpretabili</w:t>
      </w:r>
      <w:r w:rsidR="00616A03">
        <w:rPr>
          <w:lang w:val="en-US"/>
        </w:rPr>
        <w:t xml:space="preserve">ty. As we can see from </w:t>
      </w:r>
      <w:r w:rsidR="00A9621D" w:rsidRPr="00A9621D">
        <w:rPr>
          <w:b/>
          <w:lang w:val="en-US"/>
        </w:rPr>
        <w:t>Figure 5</w:t>
      </w:r>
      <w:r w:rsidR="00A9621D">
        <w:rPr>
          <w:lang w:val="en-US"/>
        </w:rPr>
        <w:t xml:space="preserve"> and </w:t>
      </w:r>
      <w:r w:rsidR="00616A03" w:rsidRPr="007226B2">
        <w:rPr>
          <w:b/>
        </w:rPr>
        <w:t xml:space="preserve">Table </w:t>
      </w:r>
      <w:r w:rsidR="00616A03">
        <w:rPr>
          <w:b/>
        </w:rPr>
        <w:t>5</w:t>
      </w:r>
      <w:r>
        <w:rPr>
          <w:lang w:val="en-US"/>
        </w:rPr>
        <w:t>, the JNJ is more clearly separated out according to the second factor, with all other</w:t>
      </w:r>
      <w:r w:rsidR="00CD3C3A">
        <w:rPr>
          <w:lang w:val="en-US"/>
        </w:rPr>
        <w:t xml:space="preserve"> stocks</w:t>
      </w:r>
      <w:r w:rsidR="004D42B1">
        <w:rPr>
          <w:lang w:val="en-US"/>
        </w:rPr>
        <w:t>’ loading close to zero.</w:t>
      </w:r>
      <w:r w:rsidR="00930E3F">
        <w:rPr>
          <w:lang w:val="en-US"/>
        </w:rPr>
        <w:t xml:space="preserve"> This thus improve the interpretability of the second factor to be more distinguishing JNJ from other assets</w:t>
      </w:r>
      <w:r w:rsidR="009103F1">
        <w:rPr>
          <w:lang w:val="en-US"/>
        </w:rPr>
        <w:t>.</w:t>
      </w:r>
    </w:p>
    <w:p w:rsidR="00B61A8E" w:rsidRDefault="00B61A8E" w:rsidP="00DF48E1">
      <w:pPr>
        <w:rPr>
          <w:lang w:val="en-US"/>
        </w:rPr>
      </w:pPr>
    </w:p>
    <w:p w:rsidR="00B61A8E" w:rsidRDefault="00B61A8E" w:rsidP="00DF48E1">
      <w:pPr>
        <w:rPr>
          <w:lang w:val="en-US"/>
        </w:rPr>
      </w:pPr>
      <w:r>
        <w:rPr>
          <w:lang w:val="en-US"/>
        </w:rPr>
        <w:t>Another benefit from the rotation is that compared with the original 2-factor modelling, this rotated one has a better interpretable 1</w:t>
      </w:r>
      <w:r w:rsidRPr="00B61A8E">
        <w:rPr>
          <w:vertAlign w:val="superscript"/>
          <w:lang w:val="en-US"/>
        </w:rPr>
        <w:t>st</w:t>
      </w:r>
      <w:r>
        <w:rPr>
          <w:lang w:val="en-US"/>
        </w:rPr>
        <w:t xml:space="preserve"> factor. As the loadings are more equally weighted, the 1</w:t>
      </w:r>
      <w:r w:rsidRPr="00B61A8E">
        <w:rPr>
          <w:vertAlign w:val="superscript"/>
          <w:lang w:val="en-US"/>
        </w:rPr>
        <w:t>st</w:t>
      </w:r>
      <w:r>
        <w:rPr>
          <w:lang w:val="en-US"/>
        </w:rPr>
        <w:t xml:space="preserve"> factor acts more as the role of market factor.</w:t>
      </w:r>
    </w:p>
    <w:p w:rsidR="009103F1" w:rsidRDefault="009103F1" w:rsidP="00CD68B3">
      <w:pPr>
        <w:rPr>
          <w:lang w:val="en-US"/>
        </w:rPr>
      </w:pPr>
    </w:p>
    <w:p w:rsidR="009103F1" w:rsidRDefault="009103F1" w:rsidP="00DF48E1">
      <w:pPr>
        <w:jc w:val="center"/>
        <w:rPr>
          <w:lang w:val="en-US"/>
        </w:rPr>
      </w:pPr>
    </w:p>
    <w:tbl>
      <w:tblPr>
        <w:tblW w:w="3948" w:type="dxa"/>
        <w:jc w:val="center"/>
        <w:tblLook w:val="04A0" w:firstRow="1" w:lastRow="0" w:firstColumn="1" w:lastColumn="0" w:noHBand="0" w:noVBand="1"/>
      </w:tblPr>
      <w:tblGrid>
        <w:gridCol w:w="1316"/>
        <w:gridCol w:w="1316"/>
        <w:gridCol w:w="1316"/>
      </w:tblGrid>
      <w:tr w:rsidR="00DF48E1" w:rsidRPr="00DF48E1" w:rsidTr="00DF48E1">
        <w:trPr>
          <w:trHeight w:val="340"/>
          <w:jc w:val="center"/>
        </w:trPr>
        <w:tc>
          <w:tcPr>
            <w:tcW w:w="1316" w:type="dxa"/>
            <w:tcBorders>
              <w:top w:val="single" w:sz="4" w:space="0" w:color="auto"/>
              <w:left w:val="nil"/>
              <w:bottom w:val="single" w:sz="8" w:space="0" w:color="auto"/>
              <w:right w:val="nil"/>
            </w:tcBorders>
            <w:shd w:val="clear" w:color="auto" w:fill="auto"/>
            <w:noWrap/>
            <w:vAlign w:val="center"/>
            <w:hideMark/>
          </w:tcPr>
          <w:p w:rsidR="00DF48E1" w:rsidRPr="00DF48E1" w:rsidRDefault="00DF48E1" w:rsidP="00DF48E1">
            <w:pPr>
              <w:jc w:val="center"/>
              <w:rPr>
                <w:rFonts w:ascii="Calibri" w:hAnsi="Calibri" w:cs="Calibri"/>
                <w:b/>
                <w:bCs/>
                <w:color w:val="000000"/>
              </w:rPr>
            </w:pPr>
            <w:r w:rsidRPr="00DF48E1">
              <w:rPr>
                <w:rFonts w:ascii="Calibri" w:hAnsi="Calibri" w:cs="Calibri"/>
                <w:b/>
                <w:bCs/>
                <w:color w:val="000000"/>
              </w:rPr>
              <w:t>Loadings</w:t>
            </w:r>
          </w:p>
        </w:tc>
        <w:tc>
          <w:tcPr>
            <w:tcW w:w="1316" w:type="dxa"/>
            <w:tcBorders>
              <w:top w:val="single" w:sz="4" w:space="0" w:color="auto"/>
              <w:left w:val="nil"/>
              <w:bottom w:val="single" w:sz="8" w:space="0" w:color="auto"/>
              <w:right w:val="nil"/>
            </w:tcBorders>
            <w:shd w:val="clear" w:color="auto" w:fill="auto"/>
            <w:noWrap/>
            <w:vAlign w:val="center"/>
            <w:hideMark/>
          </w:tcPr>
          <w:p w:rsidR="00DF48E1" w:rsidRPr="00DF48E1" w:rsidRDefault="00DF48E1" w:rsidP="00DF48E1">
            <w:pPr>
              <w:jc w:val="center"/>
              <w:rPr>
                <w:rFonts w:ascii="Calibri" w:hAnsi="Calibri" w:cs="Calibri"/>
                <w:b/>
                <w:bCs/>
                <w:color w:val="000000"/>
              </w:rPr>
            </w:pPr>
            <w:r w:rsidRPr="00DF48E1">
              <w:rPr>
                <w:rFonts w:ascii="Calibri" w:hAnsi="Calibri" w:cs="Calibri"/>
                <w:b/>
                <w:bCs/>
                <w:color w:val="000000"/>
              </w:rPr>
              <w:t>Factor 1</w:t>
            </w:r>
          </w:p>
        </w:tc>
        <w:tc>
          <w:tcPr>
            <w:tcW w:w="1316" w:type="dxa"/>
            <w:tcBorders>
              <w:top w:val="single" w:sz="4" w:space="0" w:color="auto"/>
              <w:left w:val="nil"/>
              <w:bottom w:val="single" w:sz="8" w:space="0" w:color="auto"/>
              <w:right w:val="nil"/>
            </w:tcBorders>
            <w:shd w:val="clear" w:color="auto" w:fill="auto"/>
            <w:noWrap/>
            <w:vAlign w:val="center"/>
            <w:hideMark/>
          </w:tcPr>
          <w:p w:rsidR="00DF48E1" w:rsidRPr="00DF48E1" w:rsidRDefault="00DF48E1" w:rsidP="00DF48E1">
            <w:pPr>
              <w:jc w:val="center"/>
              <w:rPr>
                <w:rFonts w:ascii="Calibri" w:hAnsi="Calibri" w:cs="Calibri"/>
                <w:b/>
                <w:bCs/>
                <w:color w:val="000000"/>
              </w:rPr>
            </w:pPr>
            <w:r w:rsidRPr="00DF48E1">
              <w:rPr>
                <w:rFonts w:ascii="Calibri" w:hAnsi="Calibri" w:cs="Calibri"/>
                <w:b/>
                <w:bCs/>
                <w:color w:val="000000"/>
              </w:rPr>
              <w:t>Factor 2</w:t>
            </w:r>
          </w:p>
        </w:tc>
      </w:tr>
      <w:tr w:rsidR="00DF48E1" w:rsidRPr="00DF48E1" w:rsidTr="00DF48E1">
        <w:trPr>
          <w:trHeight w:val="320"/>
          <w:jc w:val="center"/>
        </w:trPr>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b/>
                <w:bCs/>
                <w:color w:val="000000"/>
              </w:rPr>
            </w:pPr>
            <w:r w:rsidRPr="00DF48E1">
              <w:rPr>
                <w:rFonts w:ascii="Calibri" w:hAnsi="Calibri" w:cs="Calibri"/>
                <w:b/>
                <w:bCs/>
                <w:color w:val="000000"/>
              </w:rPr>
              <w:t>MSFT</w:t>
            </w:r>
          </w:p>
        </w:tc>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1.1626</w:t>
            </w:r>
          </w:p>
        </w:tc>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-0.0756</w:t>
            </w:r>
          </w:p>
        </w:tc>
      </w:tr>
      <w:tr w:rsidR="00DF48E1" w:rsidRPr="00DF48E1" w:rsidTr="00DF48E1">
        <w:trPr>
          <w:trHeight w:val="320"/>
          <w:jc w:val="center"/>
        </w:trPr>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b/>
                <w:bCs/>
                <w:color w:val="000000"/>
              </w:rPr>
            </w:pPr>
            <w:r w:rsidRPr="00DF48E1">
              <w:rPr>
                <w:rFonts w:ascii="Calibri" w:hAnsi="Calibri" w:cs="Calibri"/>
                <w:b/>
                <w:bCs/>
                <w:color w:val="000000"/>
              </w:rPr>
              <w:t>JNJ</w:t>
            </w:r>
          </w:p>
        </w:tc>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0.6977</w:t>
            </w:r>
          </w:p>
        </w:tc>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0.7101</w:t>
            </w:r>
          </w:p>
        </w:tc>
      </w:tr>
      <w:tr w:rsidR="00DF48E1" w:rsidRPr="00DF48E1" w:rsidTr="00DF48E1">
        <w:trPr>
          <w:trHeight w:val="320"/>
          <w:jc w:val="center"/>
        </w:trPr>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b/>
                <w:bCs/>
                <w:color w:val="000000"/>
              </w:rPr>
            </w:pPr>
            <w:r w:rsidRPr="00DF48E1">
              <w:rPr>
                <w:rFonts w:ascii="Calibri" w:hAnsi="Calibri" w:cs="Calibri"/>
                <w:b/>
                <w:bCs/>
                <w:color w:val="000000"/>
              </w:rPr>
              <w:t>KO</w:t>
            </w:r>
          </w:p>
        </w:tc>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0.7129</w:t>
            </w:r>
          </w:p>
        </w:tc>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0.1080</w:t>
            </w:r>
          </w:p>
        </w:tc>
      </w:tr>
      <w:tr w:rsidR="00DF48E1" w:rsidRPr="00DF48E1" w:rsidTr="00DF48E1">
        <w:trPr>
          <w:trHeight w:val="320"/>
          <w:jc w:val="center"/>
        </w:trPr>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b/>
                <w:bCs/>
                <w:color w:val="000000"/>
              </w:rPr>
            </w:pPr>
            <w:r w:rsidRPr="00DF48E1">
              <w:rPr>
                <w:rFonts w:ascii="Calibri" w:hAnsi="Calibri" w:cs="Calibri"/>
                <w:b/>
                <w:bCs/>
                <w:color w:val="000000"/>
              </w:rPr>
              <w:t>PTR</w:t>
            </w:r>
          </w:p>
        </w:tc>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1.4726</w:t>
            </w:r>
          </w:p>
        </w:tc>
        <w:tc>
          <w:tcPr>
            <w:tcW w:w="1316" w:type="dxa"/>
            <w:tcBorders>
              <w:top w:val="nil"/>
              <w:left w:val="nil"/>
              <w:bottom w:val="nil"/>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-0.2127</w:t>
            </w:r>
          </w:p>
        </w:tc>
      </w:tr>
      <w:tr w:rsidR="00DF48E1" w:rsidRPr="00DF48E1" w:rsidTr="00DF48E1">
        <w:trPr>
          <w:trHeight w:val="340"/>
          <w:jc w:val="center"/>
        </w:trPr>
        <w:tc>
          <w:tcPr>
            <w:tcW w:w="1316" w:type="dxa"/>
            <w:tcBorders>
              <w:top w:val="nil"/>
              <w:left w:val="nil"/>
              <w:bottom w:val="single" w:sz="8" w:space="0" w:color="auto"/>
              <w:right w:val="nil"/>
            </w:tcBorders>
            <w:shd w:val="clear" w:color="auto" w:fill="auto"/>
            <w:noWrap/>
            <w:vAlign w:val="center"/>
            <w:hideMark/>
          </w:tcPr>
          <w:p w:rsidR="00DF48E1" w:rsidRPr="00DF48E1" w:rsidRDefault="00DF48E1" w:rsidP="00DF48E1">
            <w:pPr>
              <w:jc w:val="center"/>
              <w:rPr>
                <w:rFonts w:ascii="Calibri" w:hAnsi="Calibri" w:cs="Calibri"/>
                <w:b/>
                <w:bCs/>
                <w:color w:val="000000"/>
              </w:rPr>
            </w:pPr>
            <w:r w:rsidRPr="00DF48E1">
              <w:rPr>
                <w:rFonts w:ascii="Calibri" w:hAnsi="Calibri" w:cs="Calibri"/>
                <w:b/>
                <w:bCs/>
                <w:color w:val="000000"/>
              </w:rPr>
              <w:t>MMM</w:t>
            </w:r>
          </w:p>
        </w:tc>
        <w:tc>
          <w:tcPr>
            <w:tcW w:w="1316" w:type="dxa"/>
            <w:tcBorders>
              <w:top w:val="nil"/>
              <w:left w:val="nil"/>
              <w:bottom w:val="single" w:sz="8" w:space="0" w:color="auto"/>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1.0003</w:t>
            </w:r>
          </w:p>
        </w:tc>
        <w:tc>
          <w:tcPr>
            <w:tcW w:w="1316" w:type="dxa"/>
            <w:tcBorders>
              <w:top w:val="nil"/>
              <w:left w:val="nil"/>
              <w:bottom w:val="single" w:sz="8" w:space="0" w:color="auto"/>
              <w:right w:val="nil"/>
            </w:tcBorders>
            <w:shd w:val="clear" w:color="auto" w:fill="auto"/>
            <w:noWrap/>
            <w:vAlign w:val="center"/>
            <w:hideMark/>
          </w:tcPr>
          <w:p w:rsidR="00DF48E1" w:rsidRPr="00DF48E1" w:rsidRDefault="00DF48E1" w:rsidP="00DF48E1">
            <w:pPr>
              <w:jc w:val="center"/>
              <w:rPr>
                <w:rFonts w:ascii="Calibri" w:hAnsi="Calibri" w:cs="Calibri"/>
                <w:color w:val="000000"/>
              </w:rPr>
            </w:pPr>
            <w:r w:rsidRPr="00DF48E1">
              <w:rPr>
                <w:rFonts w:ascii="Calibri" w:hAnsi="Calibri" w:cs="Calibri"/>
                <w:color w:val="000000"/>
              </w:rPr>
              <w:t>0.0683</w:t>
            </w:r>
          </w:p>
        </w:tc>
      </w:tr>
    </w:tbl>
    <w:p w:rsidR="00DF48E1" w:rsidRDefault="00DF48E1" w:rsidP="00DF48E1">
      <w:pPr>
        <w:jc w:val="center"/>
        <w:rPr>
          <w:lang w:val="en-US"/>
        </w:rPr>
      </w:pPr>
    </w:p>
    <w:p w:rsidR="00DF48E1" w:rsidRDefault="00DF48E1" w:rsidP="00DF48E1">
      <w:pPr>
        <w:jc w:val="center"/>
        <w:rPr>
          <w:lang w:val="en-US"/>
        </w:rPr>
      </w:pPr>
      <w:r w:rsidRPr="00DF48E1">
        <w:rPr>
          <w:b/>
          <w:lang w:val="en-US"/>
        </w:rPr>
        <w:t xml:space="preserve">Table </w:t>
      </w:r>
      <w:r w:rsidR="00616A03">
        <w:rPr>
          <w:b/>
          <w:lang w:val="en-US"/>
        </w:rPr>
        <w:t>5</w:t>
      </w:r>
      <w:r>
        <w:rPr>
          <w:lang w:val="en-US"/>
        </w:rPr>
        <w:t>: Factor Loading after Rotation</w:t>
      </w:r>
    </w:p>
    <w:p w:rsidR="000D0C5C" w:rsidRDefault="000D0C5C" w:rsidP="00DF48E1">
      <w:pPr>
        <w:jc w:val="center"/>
        <w:rPr>
          <w:lang w:val="en-US"/>
        </w:rPr>
      </w:pPr>
    </w:p>
    <w:p w:rsidR="000D0C5C" w:rsidRDefault="000D0C5C" w:rsidP="00DF48E1">
      <w:pPr>
        <w:jc w:val="center"/>
        <w:rPr>
          <w:lang w:val="en-US"/>
        </w:rPr>
      </w:pPr>
      <w:r>
        <w:rPr>
          <w:noProof/>
          <w:lang w:val="en-US"/>
        </w:rPr>
        <w:drawing>
          <wp:inline distT="0" distB="0" distL="0" distR="0">
            <wp:extent cx="4320000" cy="324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rsidR="000D0C5C" w:rsidRPr="000D0C5C" w:rsidRDefault="000D0C5C" w:rsidP="000D0C5C">
      <w:pPr>
        <w:pStyle w:val="a9"/>
        <w:ind w:left="360"/>
        <w:jc w:val="center"/>
        <w:rPr>
          <w:lang w:val="en-US"/>
        </w:rPr>
      </w:pPr>
      <w:r>
        <w:rPr>
          <w:b/>
          <w:lang w:val="en-US"/>
        </w:rPr>
        <w:t>Figure</w:t>
      </w:r>
      <w:r w:rsidR="00616A03">
        <w:rPr>
          <w:b/>
          <w:lang w:val="en-US"/>
        </w:rPr>
        <w:t xml:space="preserve"> 5</w:t>
      </w:r>
      <w:r w:rsidRPr="000D0C5C">
        <w:rPr>
          <w:lang w:val="en-US"/>
        </w:rPr>
        <w:t>: Factor Loading after Rotation</w:t>
      </w:r>
    </w:p>
    <w:p w:rsidR="000F2460" w:rsidRDefault="00856616" w:rsidP="000F2460">
      <w:pPr>
        <w:pStyle w:val="1"/>
        <w:numPr>
          <w:ilvl w:val="0"/>
          <w:numId w:val="1"/>
        </w:numPr>
        <w:rPr>
          <w:lang w:val="en-US"/>
        </w:rPr>
      </w:pPr>
      <w:r>
        <w:rPr>
          <w:lang w:val="en-US"/>
        </w:rPr>
        <w:lastRenderedPageBreak/>
        <w:t>Methodologies</w:t>
      </w:r>
    </w:p>
    <w:p w:rsidR="00FC35B9" w:rsidRDefault="00FC35B9" w:rsidP="00FC35B9">
      <w:pPr>
        <w:pStyle w:val="2"/>
        <w:numPr>
          <w:ilvl w:val="1"/>
          <w:numId w:val="1"/>
        </w:numPr>
        <w:rPr>
          <w:lang w:val="en-US"/>
        </w:rPr>
      </w:pPr>
      <w:r>
        <w:rPr>
          <w:lang w:val="en-US"/>
        </w:rPr>
        <w:t>Motivations for Model Selections</w:t>
      </w:r>
    </w:p>
    <w:p w:rsidR="0038109B" w:rsidRDefault="0038109B" w:rsidP="0038109B">
      <w:r>
        <w:t xml:space="preserve">Financial time series data are normally expected to have the properties of autocorrelations and heteroskedasticity. For our five chosen assets, the ACF plots of the log-returns and squared log-returns suggest that there are significant autocorrelations and ARCH effects among all the assets. Therefore, we introduce mean and volatility equations to capture them. </w:t>
      </w:r>
    </w:p>
    <w:p w:rsidR="0038109B" w:rsidRDefault="0038109B" w:rsidP="0038109B"/>
    <w:p w:rsidR="0038109B" w:rsidRDefault="0038109B" w:rsidP="0038109B">
      <w:r>
        <w:t xml:space="preserve">For the mean equations, the AR type models are used to capture the mean processes in the assets by including the lagged log-return terms. As for the volatility equations, the GARCH, GJR-GARCH and IGARCH are employed in order to capture the volatility processes in the assets. The GARCH model is a generalized GARCH type model in modelling the volatility of the time series data by including lagged innovation terms and lagged variance terms. The GJR-GARCH models are employed here to capture the leverage or asymmetric effects in the assets since normally volatility seems to be negatively correlated with prices. The IGARCH models are simplified version of GARCH models since the parameters in the models add up to 1. Given that IGARCH generally performs well in forecasting the volatility of assets, we include it in our models only for volatility forecasts. </w:t>
      </w:r>
    </w:p>
    <w:p w:rsidR="0038109B" w:rsidRDefault="0038109B" w:rsidP="0038109B"/>
    <w:p w:rsidR="0038109B" w:rsidRPr="00CA3BAE" w:rsidRDefault="0038109B" w:rsidP="0038109B">
      <w:r>
        <w:t xml:space="preserve">Since financial time series data are usually expected to have fat tails, we assume the errors in the GARCH and GJR-GARCH models to have t-distribution so as to better model the volatility processes in the assets. </w:t>
      </w:r>
    </w:p>
    <w:p w:rsidR="0038109B" w:rsidRPr="0038109B" w:rsidRDefault="0038109B" w:rsidP="0038109B"/>
    <w:p w:rsidR="00FC35B9" w:rsidRDefault="00856616" w:rsidP="00FC35B9">
      <w:pPr>
        <w:pStyle w:val="2"/>
        <w:numPr>
          <w:ilvl w:val="1"/>
          <w:numId w:val="1"/>
        </w:numPr>
        <w:rPr>
          <w:lang w:val="en-US"/>
        </w:rPr>
      </w:pPr>
      <w:r>
        <w:rPr>
          <w:lang w:val="en-US"/>
        </w:rPr>
        <w:t>Models Selected for Forecasting</w:t>
      </w:r>
    </w:p>
    <w:p w:rsidR="0038109B" w:rsidRDefault="0038109B" w:rsidP="0038109B">
      <w:r>
        <w:t xml:space="preserve">We only include one autoregressive term in each of the models and there are several reasons. First, in most of the models, the AR terms are insignificant. Besides, the results of AIC and SIC in most time suggest the order of AR(1) and include more lagged terms in the models might introduce the problem of overfitting. Consider that we are more interested in forecasting the volatility of the assets, we want to simply the mean equations. For the purpose of the forecasting returns, we decide to use AR(1) as the mean equation for the models. </w:t>
      </w:r>
    </w:p>
    <w:p w:rsidR="0038109B" w:rsidRPr="00A07751" w:rsidRDefault="0038109B" w:rsidP="0038109B">
      <w:r>
        <w:t>The order selection for the volatility equation is also based on the results of AIC and SIC, which indicate the choice of GARCH(1,1) for all the models. Therefore, for each of the assets, we use AR(1)-GARCH(1,1)-t and AR(1)-GJR-GARCH(1,1)-t. LB tests on the standardised residuals and squared standardised residuals ae conducted to test if the mean and volatility equations are well specified and JB test is also conducted to test the t-distribution assumption of the errors. The modelling results of the assets will also be discussed in the following and only COKE will be discussed in detail for demonstration.</w:t>
      </w:r>
    </w:p>
    <w:p w:rsidR="0038109B" w:rsidRPr="0038109B" w:rsidRDefault="0038109B" w:rsidP="0038109B"/>
    <w:p w:rsidR="0038109B" w:rsidRPr="0038109B" w:rsidRDefault="0038109B" w:rsidP="0038109B">
      <w:pPr>
        <w:pStyle w:val="a9"/>
        <w:numPr>
          <w:ilvl w:val="2"/>
          <w:numId w:val="1"/>
        </w:numPr>
        <w:rPr>
          <w:rFonts w:asciiTheme="majorHAnsi" w:eastAsiaTheme="majorEastAsia" w:hAnsiTheme="majorHAnsi" w:cstheme="majorBidi"/>
          <w:color w:val="1F3763" w:themeColor="accent1" w:themeShade="7F"/>
          <w:lang w:val="en-US"/>
        </w:rPr>
      </w:pPr>
      <w:r w:rsidRPr="0038109B">
        <w:rPr>
          <w:rFonts w:asciiTheme="majorHAnsi" w:eastAsiaTheme="majorEastAsia" w:hAnsiTheme="majorHAnsi" w:cstheme="majorBidi"/>
          <w:color w:val="1F3763" w:themeColor="accent1" w:themeShade="7F"/>
          <w:lang w:val="en-US"/>
        </w:rPr>
        <w:t>AR(1)-GARCH-t Model</w:t>
      </w:r>
    </w:p>
    <w:p w:rsidR="0038109B" w:rsidRDefault="0038109B" w:rsidP="0038109B">
      <w:pPr>
        <w:rPr>
          <w:rFonts w:asciiTheme="majorHAnsi" w:eastAsiaTheme="majorEastAsia" w:hAnsiTheme="majorHAnsi" w:cstheme="majorBidi"/>
          <w:color w:val="1F3763" w:themeColor="accent1" w:themeShade="7F"/>
          <w:lang w:val="en-US"/>
        </w:rPr>
      </w:pPr>
    </w:p>
    <w:p w:rsidR="0038109B" w:rsidRDefault="0038109B" w:rsidP="0038109B">
      <w:pPr>
        <w:jc w:val="center"/>
      </w:pPr>
      <w:r>
        <w:rPr>
          <w:noProof/>
        </w:rPr>
        <w:drawing>
          <wp:inline distT="0" distB="0" distL="0" distR="0" wp14:anchorId="07059341" wp14:editId="7BEED53D">
            <wp:extent cx="2309750" cy="1732175"/>
            <wp:effectExtent l="0" t="0" r="0" b="1905"/>
            <wp:docPr id="32" name="Picture 32" descr="C:\Users\macei\AppData\Local\Microsoft\Windows\INetCache\Content.Word\acf_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cei\AppData\Local\Microsoft\Windows\INetCache\Content.Word\acf_r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4428" cy="1743182"/>
                    </a:xfrm>
                    <a:prstGeom prst="rect">
                      <a:avLst/>
                    </a:prstGeom>
                    <a:noFill/>
                    <a:ln>
                      <a:noFill/>
                    </a:ln>
                  </pic:spPr>
                </pic:pic>
              </a:graphicData>
            </a:graphic>
          </wp:inline>
        </w:drawing>
      </w:r>
      <w:r>
        <w:rPr>
          <w:noProof/>
        </w:rPr>
        <w:drawing>
          <wp:inline distT="0" distB="0" distL="0" distR="0" wp14:anchorId="147780F2" wp14:editId="479A7A16">
            <wp:extent cx="2338728" cy="1753907"/>
            <wp:effectExtent l="0" t="0" r="4445" b="0"/>
            <wp:docPr id="33" name="Picture 33" descr="C:\Users\macei\AppData\Local\Microsoft\Windows\INetCache\Content.Word\acf_rt_squa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acei\AppData\Local\Microsoft\Windows\INetCache\Content.Word\acf_rt_squar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8772" cy="1761439"/>
                    </a:xfrm>
                    <a:prstGeom prst="rect">
                      <a:avLst/>
                    </a:prstGeom>
                    <a:noFill/>
                    <a:ln>
                      <a:noFill/>
                    </a:ln>
                  </pic:spPr>
                </pic:pic>
              </a:graphicData>
            </a:graphic>
          </wp:inline>
        </w:drawing>
      </w:r>
    </w:p>
    <w:p w:rsidR="0038109B" w:rsidRPr="0038109B" w:rsidRDefault="0038109B" w:rsidP="0038109B">
      <w:pPr>
        <w:jc w:val="center"/>
        <w:rPr>
          <w:b/>
        </w:rPr>
      </w:pPr>
      <w:r w:rsidRPr="0038109B">
        <w:rPr>
          <w:b/>
        </w:rPr>
        <w:lastRenderedPageBreak/>
        <w:t>Figure 6</w:t>
      </w:r>
    </w:p>
    <w:p w:rsidR="0038109B" w:rsidRDefault="0038109B" w:rsidP="0038109B"/>
    <w:p w:rsidR="0038109B" w:rsidRDefault="0038109B" w:rsidP="0038109B">
      <w:r>
        <w:t xml:space="preserve">The ACF plots in </w:t>
      </w:r>
      <w:r w:rsidRPr="0038109B">
        <w:rPr>
          <w:b/>
        </w:rPr>
        <w:t>Figure 6</w:t>
      </w:r>
      <w:r>
        <w:t xml:space="preserve"> for the return series and the squared return series suggest that there are significant autocorrelations and significant ARCH effects in the log-returns.</w:t>
      </w:r>
    </w:p>
    <w:p w:rsidR="0038109B" w:rsidRDefault="0038109B" w:rsidP="0038109B">
      <w:r>
        <w:t xml:space="preserve">Since we already decide to choose AR(1) as the mean equation, SIC and AIC are used to find the optimal order for GARCH in the range of 1 to 5 lagged squared shocks and 1 to 5 lagged conditional variances. As is seen in the result, both AIC and SIC prefer the choice of GARCH(1,1). </w:t>
      </w:r>
    </w:p>
    <w:p w:rsidR="0038109B" w:rsidRDefault="0038109B" w:rsidP="0038109B"/>
    <w:p w:rsidR="0038109B" w:rsidRDefault="0038109B" w:rsidP="0038109B">
      <w:pPr>
        <w:jc w:val="center"/>
      </w:pPr>
      <w:r w:rsidRPr="00AC1ABF">
        <w:rPr>
          <w:noProof/>
        </w:rPr>
        <w:drawing>
          <wp:inline distT="0" distB="0" distL="0" distR="0" wp14:anchorId="0C4A8459" wp14:editId="21C40275">
            <wp:extent cx="2545237" cy="1908549"/>
            <wp:effectExtent l="0" t="0" r="7620" b="0"/>
            <wp:docPr id="1" name="Picture 1" descr="C:\Users\macei\AppData\Local\Temp\WeChat Files\537311975083794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ei\AppData\Local\Temp\WeChat Files\53731197508379445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6906" cy="1917299"/>
                    </a:xfrm>
                    <a:prstGeom prst="rect">
                      <a:avLst/>
                    </a:prstGeom>
                    <a:noFill/>
                    <a:ln>
                      <a:noFill/>
                    </a:ln>
                  </pic:spPr>
                </pic:pic>
              </a:graphicData>
            </a:graphic>
          </wp:inline>
        </w:drawing>
      </w:r>
    </w:p>
    <w:p w:rsidR="0038109B" w:rsidRPr="00975D51" w:rsidRDefault="0038109B" w:rsidP="0038109B">
      <w:pPr>
        <w:jc w:val="center"/>
        <w:rPr>
          <w:b/>
          <w:lang w:val="en-US"/>
        </w:rPr>
      </w:pPr>
      <w:r>
        <w:rPr>
          <w:b/>
        </w:rPr>
        <w:t>Figure 7</w:t>
      </w:r>
    </w:p>
    <w:p w:rsidR="0038109B" w:rsidRDefault="0038109B" w:rsidP="0038109B"/>
    <w:p w:rsidR="0038109B" w:rsidRDefault="0038109B" w:rsidP="0038109B"/>
    <w:p w:rsidR="0038109B" w:rsidRDefault="0038109B" w:rsidP="0038109B">
      <w:r>
        <w:t>Therefore, we fit a AR(1)-GARCH(1,1)-t for COKE: (values in the brackets are the standard error)</w:t>
      </w:r>
    </w:p>
    <w:p w:rsidR="00975D51" w:rsidRDefault="00975D51" w:rsidP="0038109B"/>
    <w:p w:rsidR="0038109B" w:rsidRPr="00213400" w:rsidRDefault="006050C2" w:rsidP="0038109B">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=-0.0053-0.0800</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38109B">
        <w:t xml:space="preserve">, </w:t>
      </w:r>
      <w:r w:rsidR="0038109B">
        <w:tab/>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4.35</m:t>
            </m:r>
          </m:sub>
        </m:sSub>
        <m:r>
          <w:rPr>
            <w:rFonts w:ascii="Cambria Math" w:hAnsi="Cambria Math"/>
          </w:rPr>
          <m:t>(0,1)</m:t>
        </m:r>
      </m:oMath>
    </w:p>
    <w:p w:rsidR="0038109B" w:rsidRPr="00522AEE" w:rsidRDefault="0038109B" w:rsidP="0038109B">
      <w:r w:rsidRPr="00522AEE">
        <w:t xml:space="preserve">       </w:t>
      </w:r>
      <w:r>
        <w:t xml:space="preserve">  </w:t>
      </w:r>
      <w:r w:rsidRPr="00522AEE">
        <w:t xml:space="preserve">  </w:t>
      </w:r>
      <w:r>
        <w:t>(0.0259)    (0.0205</w:t>
      </w:r>
      <w:r w:rsidRPr="00522AEE">
        <w:t>)</w:t>
      </w:r>
      <w:r w:rsidRPr="00D95CA2">
        <w:t xml:space="preserve">     </w:t>
      </w:r>
    </w:p>
    <w:p w:rsidR="0038109B" w:rsidRPr="00522AEE" w:rsidRDefault="006050C2" w:rsidP="0038109B">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hint="eastAsia"/>
            </w:rPr>
            <m:t>0.1791+</m:t>
          </m:r>
          <m:r>
            <w:rPr>
              <w:rFonts w:ascii="Cambria Math" w:hAnsi="Cambria Math"/>
            </w:rPr>
            <m:t>0.1700</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+0.7931</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38109B" w:rsidRDefault="0038109B" w:rsidP="0038109B">
      <w:r>
        <w:t xml:space="preserve">          (0.0401)   (0.0257</w:t>
      </w:r>
      <w:r w:rsidRPr="00522AEE">
        <w:t xml:space="preserve">)  </w:t>
      </w:r>
      <w:r>
        <w:t xml:space="preserve">           (0.0269</w:t>
      </w:r>
      <w:r w:rsidRPr="00522AEE">
        <w:t>)</w:t>
      </w:r>
    </w:p>
    <w:p w:rsidR="0038109B" w:rsidRDefault="0038109B" w:rsidP="0038109B">
      <w:r>
        <w:t xml:space="preserve">All the parameters are significantly different from zero except the constant term in the mean equation. The absolute value of the AR parameter is less than 1 and the volatility persistence is estimated 0.9631, which is also less than 1, indicating the requirement of stationarity is met. The high volatility persistence indicates strong persistence in volatility and slow mean reversion. Low degrees of freedom of 4.35 implies that the tail </w:t>
      </w:r>
      <w:proofErr w:type="spellStart"/>
      <w:r>
        <w:t>behavior</w:t>
      </w:r>
      <w:proofErr w:type="spellEnd"/>
      <w:r>
        <w:t xml:space="preserve"> in the innovations is much heavier than that of Gaussian.</w:t>
      </w:r>
    </w:p>
    <w:p w:rsidR="0038109B" w:rsidRDefault="0038109B" w:rsidP="0038109B">
      <w:pPr>
        <w:keepNext/>
        <w:jc w:val="center"/>
      </w:pPr>
      <w:r w:rsidRPr="0038086C">
        <w:rPr>
          <w:noProof/>
        </w:rPr>
        <w:lastRenderedPageBreak/>
        <w:drawing>
          <wp:inline distT="0" distB="0" distL="0" distR="0" wp14:anchorId="779EF7DA" wp14:editId="28974CA0">
            <wp:extent cx="3467595" cy="2600593"/>
            <wp:effectExtent l="0" t="0" r="0" b="0"/>
            <wp:docPr id="63" name="Picture 63" descr="C:\Users\macei\AppData\Local\Temp\WeChat Files\476421010878579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macei\AppData\Local\Temp\WeChat Files\47642101087857938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75336" cy="2606399"/>
                    </a:xfrm>
                    <a:prstGeom prst="rect">
                      <a:avLst/>
                    </a:prstGeom>
                    <a:noFill/>
                    <a:ln>
                      <a:noFill/>
                    </a:ln>
                  </pic:spPr>
                </pic:pic>
              </a:graphicData>
            </a:graphic>
          </wp:inline>
        </w:drawing>
      </w:r>
    </w:p>
    <w:p w:rsidR="00975D51" w:rsidRDefault="00975D51" w:rsidP="00975D51">
      <w:pPr>
        <w:jc w:val="center"/>
        <w:rPr>
          <w:b/>
        </w:rPr>
      </w:pPr>
      <w:r>
        <w:rPr>
          <w:b/>
        </w:rPr>
        <w:t>Figure 8</w:t>
      </w:r>
    </w:p>
    <w:p w:rsidR="00975D51" w:rsidRPr="00975D51" w:rsidRDefault="00975D51" w:rsidP="00975D51">
      <w:pPr>
        <w:jc w:val="center"/>
        <w:rPr>
          <w:b/>
          <w:lang w:val="en-US"/>
        </w:rPr>
      </w:pPr>
    </w:p>
    <w:p w:rsidR="0038109B" w:rsidRDefault="0038109B" w:rsidP="0038109B">
      <w:pPr>
        <w:keepNext/>
        <w:jc w:val="center"/>
      </w:pPr>
      <w:r w:rsidRPr="0038086C">
        <w:rPr>
          <w:noProof/>
        </w:rPr>
        <w:drawing>
          <wp:inline distT="0" distB="0" distL="0" distR="0" wp14:anchorId="4F63554A" wp14:editId="30CBD672">
            <wp:extent cx="3525625" cy="2644114"/>
            <wp:effectExtent l="0" t="0" r="0" b="4445"/>
            <wp:docPr id="65" name="Picture 65" descr="C:\Users\macei\AppData\Local\Temp\WeChat Files\7435911304092606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macei\AppData\Local\Temp\WeChat Files\74359113040926069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3693" cy="2650164"/>
                    </a:xfrm>
                    <a:prstGeom prst="rect">
                      <a:avLst/>
                    </a:prstGeom>
                    <a:noFill/>
                    <a:ln>
                      <a:noFill/>
                    </a:ln>
                  </pic:spPr>
                </pic:pic>
              </a:graphicData>
            </a:graphic>
          </wp:inline>
        </w:drawing>
      </w:r>
    </w:p>
    <w:p w:rsidR="00975D51" w:rsidRDefault="00975D51" w:rsidP="00975D51">
      <w:pPr>
        <w:jc w:val="center"/>
        <w:rPr>
          <w:b/>
        </w:rPr>
      </w:pPr>
      <w:r>
        <w:rPr>
          <w:b/>
        </w:rPr>
        <w:t>Figure 9</w:t>
      </w:r>
    </w:p>
    <w:p w:rsidR="00975D51" w:rsidRDefault="00975D51" w:rsidP="00975D51">
      <w:pPr>
        <w:rPr>
          <w:b/>
        </w:rPr>
      </w:pPr>
    </w:p>
    <w:p w:rsidR="00975D51" w:rsidRPr="00975D51" w:rsidRDefault="00975D51" w:rsidP="00975D51">
      <w:pPr>
        <w:rPr>
          <w:b/>
          <w:lang w:val="en-US"/>
        </w:rPr>
      </w:pPr>
      <w:r>
        <w:rPr>
          <w:b/>
        </w:rPr>
        <w:t>Figure 8</w:t>
      </w:r>
      <w:r w:rsidR="0038109B" w:rsidRPr="006E1712">
        <w:rPr>
          <w:b/>
        </w:rPr>
        <w:t xml:space="preserve"> </w:t>
      </w:r>
      <w:r w:rsidR="0038109B">
        <w:t xml:space="preserve">shows the innovations, conditional standard deviation and the log-returns. </w:t>
      </w:r>
      <w:r>
        <w:rPr>
          <w:b/>
        </w:rPr>
        <w:t>Figure 9</w:t>
      </w:r>
    </w:p>
    <w:p w:rsidR="0038109B" w:rsidRDefault="0038109B" w:rsidP="0038109B">
      <w:r>
        <w:t>plots the conditional standard deviation against the log-returns. As can be seen from the graphs, the conditional standard deviation seems nice and smooth and sits nicely “on the shoulder” of the returns.</w:t>
      </w:r>
    </w:p>
    <w:p w:rsidR="0038109B" w:rsidRDefault="0038109B" w:rsidP="0038109B">
      <w:pPr>
        <w:jc w:val="center"/>
      </w:pPr>
      <w:r w:rsidRPr="0038086C">
        <w:rPr>
          <w:noProof/>
        </w:rPr>
        <w:drawing>
          <wp:inline distT="0" distB="0" distL="0" distR="0" wp14:anchorId="16EE8FBC" wp14:editId="590CDB3D">
            <wp:extent cx="4376361" cy="1304578"/>
            <wp:effectExtent l="0" t="0" r="5715" b="0"/>
            <wp:docPr id="58" name="Picture 58" descr="C:\Users\macei\AppData\Local\Temp\WeChat Files\289891225534525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acei\AppData\Local\Temp\WeChat Files\289891225534525119.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0252"/>
                    <a:stretch/>
                  </pic:blipFill>
                  <pic:spPr bwMode="auto">
                    <a:xfrm>
                      <a:off x="0" y="0"/>
                      <a:ext cx="4392735" cy="1309459"/>
                    </a:xfrm>
                    <a:prstGeom prst="rect">
                      <a:avLst/>
                    </a:prstGeom>
                    <a:noFill/>
                    <a:ln>
                      <a:noFill/>
                    </a:ln>
                    <a:extLst>
                      <a:ext uri="{53640926-AAD7-44D8-BBD7-CCE9431645EC}">
                        <a14:shadowObscured xmlns:a14="http://schemas.microsoft.com/office/drawing/2010/main"/>
                      </a:ext>
                    </a:extLst>
                  </pic:spPr>
                </pic:pic>
              </a:graphicData>
            </a:graphic>
          </wp:inline>
        </w:drawing>
      </w:r>
    </w:p>
    <w:p w:rsidR="00975D51" w:rsidRPr="00975D51" w:rsidRDefault="00975D51" w:rsidP="0038109B">
      <w:pPr>
        <w:jc w:val="center"/>
        <w:rPr>
          <w:b/>
        </w:rPr>
      </w:pPr>
      <w:r w:rsidRPr="00975D51">
        <w:rPr>
          <w:b/>
        </w:rPr>
        <w:t>Figure 10</w:t>
      </w:r>
    </w:p>
    <w:p w:rsidR="0038109B" w:rsidRDefault="0038109B" w:rsidP="0038109B">
      <w:pPr>
        <w:jc w:val="center"/>
      </w:pPr>
      <w:r w:rsidRPr="0038086C">
        <w:rPr>
          <w:noProof/>
        </w:rPr>
        <w:lastRenderedPageBreak/>
        <w:drawing>
          <wp:inline distT="0" distB="0" distL="0" distR="0" wp14:anchorId="5D4398FC" wp14:editId="0550F5FC">
            <wp:extent cx="2307803" cy="1730784"/>
            <wp:effectExtent l="0" t="0" r="0" b="3175"/>
            <wp:docPr id="60" name="Picture 60" descr="C:\Users\macei\AppData\Local\Temp\WeChat Files\419843005107154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macei\AppData\Local\Temp\WeChat Files\41984300510715404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11699" cy="1733706"/>
                    </a:xfrm>
                    <a:prstGeom prst="rect">
                      <a:avLst/>
                    </a:prstGeom>
                    <a:noFill/>
                    <a:ln>
                      <a:noFill/>
                    </a:ln>
                  </pic:spPr>
                </pic:pic>
              </a:graphicData>
            </a:graphic>
          </wp:inline>
        </w:drawing>
      </w:r>
      <w:r w:rsidRPr="0038086C">
        <w:rPr>
          <w:noProof/>
        </w:rPr>
        <w:drawing>
          <wp:inline distT="0" distB="0" distL="0" distR="0" wp14:anchorId="0DF97062" wp14:editId="35591D0B">
            <wp:extent cx="2284284" cy="1713145"/>
            <wp:effectExtent l="0" t="0" r="1905" b="1905"/>
            <wp:docPr id="61" name="Picture 61" descr="C:\Users\macei\AppData\Local\Temp\WeChat Files\1349719832825750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macei\AppData\Local\Temp\WeChat Files\13497198328257504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1137" cy="1718285"/>
                    </a:xfrm>
                    <a:prstGeom prst="rect">
                      <a:avLst/>
                    </a:prstGeom>
                    <a:noFill/>
                    <a:ln>
                      <a:noFill/>
                    </a:ln>
                  </pic:spPr>
                </pic:pic>
              </a:graphicData>
            </a:graphic>
          </wp:inline>
        </w:drawing>
      </w:r>
    </w:p>
    <w:p w:rsidR="00975D51" w:rsidRPr="00975D51" w:rsidRDefault="00975D51" w:rsidP="0038109B">
      <w:pPr>
        <w:jc w:val="center"/>
        <w:rPr>
          <w:b/>
        </w:rPr>
      </w:pPr>
      <w:r w:rsidRPr="00975D51">
        <w:rPr>
          <w:b/>
        </w:rPr>
        <w:t>Figure 11</w:t>
      </w:r>
    </w:p>
    <w:p w:rsidR="00975D51" w:rsidRDefault="00975D51" w:rsidP="0038109B"/>
    <w:p w:rsidR="0038109B" w:rsidRDefault="0038109B" w:rsidP="0038109B">
      <w:r>
        <w:t xml:space="preserve">We proceed to assess the standardised residuals </w:t>
      </w:r>
      <m:oMath>
        <m:f>
          <m:fPr>
            <m:type m:val="lin"/>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t</m:t>
                    </m:r>
                  </m:sub>
                </m:sSub>
              </m:e>
            </m:acc>
          </m:num>
          <m:den>
            <m:acc>
              <m:accPr>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t</m:t>
                    </m:r>
                  </m:sub>
                </m:sSub>
              </m:e>
            </m:acc>
          </m:den>
        </m:f>
      </m:oMath>
      <w:r>
        <w:t>, which is plotted below together with its ACF and the ACF of the squared residuals. The standardised residuals seem nice and smooth, although with some outliers and appear to show little remaining autocorrelations or obvious heteroskedasticity, which is also true in the squared standardised residuals as all the points are within the confidence interval. These all suggest that both the mean and volatility equations are well specified, which can be verified by the LB test:</w:t>
      </w:r>
    </w:p>
    <w:p w:rsidR="0038109B" w:rsidRPr="006E5CDA" w:rsidRDefault="006050C2" w:rsidP="0038109B">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m:t>
              </m:r>
            </m:sub>
          </m:sSub>
          <m:r>
            <w:rPr>
              <w:rFonts w:ascii="Cambria Math" w:hAnsi="Cambria Math"/>
            </w:rPr>
            <m:t>=0</m:t>
          </m:r>
        </m:oMath>
      </m:oMathPara>
    </w:p>
    <w:p w:rsidR="0038109B" w:rsidRPr="006E5CDA" w:rsidRDefault="006050C2" w:rsidP="0038109B">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m:t>
          </m:r>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≠0 (i=1,2…m)</m:t>
          </m:r>
        </m:oMath>
      </m:oMathPara>
    </w:p>
    <w:p w:rsidR="0038109B" w:rsidRDefault="0038109B" w:rsidP="0038109B">
      <w:pPr>
        <w:pStyle w:val="ac"/>
        <w:keepNext/>
      </w:pPr>
    </w:p>
    <w:tbl>
      <w:tblPr>
        <w:tblW w:w="5954" w:type="dxa"/>
        <w:jc w:val="center"/>
        <w:tblLook w:val="04A0" w:firstRow="1" w:lastRow="0" w:firstColumn="1" w:lastColumn="0" w:noHBand="0" w:noVBand="1"/>
      </w:tblPr>
      <w:tblGrid>
        <w:gridCol w:w="3261"/>
        <w:gridCol w:w="1275"/>
        <w:gridCol w:w="1418"/>
      </w:tblGrid>
      <w:tr w:rsidR="0038109B" w:rsidRPr="00C43B25" w:rsidTr="00975D51">
        <w:trPr>
          <w:trHeight w:val="285"/>
          <w:jc w:val="center"/>
        </w:trPr>
        <w:tc>
          <w:tcPr>
            <w:tcW w:w="3261" w:type="dxa"/>
            <w:tcBorders>
              <w:top w:val="single" w:sz="4" w:space="0" w:color="auto"/>
              <w:left w:val="nil"/>
              <w:bottom w:val="single" w:sz="4" w:space="0" w:color="auto"/>
              <w:right w:val="nil"/>
            </w:tcBorders>
            <w:shd w:val="clear" w:color="auto" w:fill="auto"/>
            <w:noWrap/>
            <w:vAlign w:val="bottom"/>
            <w:hideMark/>
          </w:tcPr>
          <w:p w:rsidR="0038109B" w:rsidRPr="00C43B25" w:rsidRDefault="0038109B" w:rsidP="00F8021F">
            <w:pPr>
              <w:rPr>
                <w:rFonts w:cs="Calibri"/>
                <w:color w:val="000000"/>
              </w:rPr>
            </w:pPr>
            <w:r w:rsidRPr="00C43B25">
              <w:rPr>
                <w:rFonts w:cs="Calibri"/>
                <w:color w:val="000000"/>
              </w:rPr>
              <w:t>p-value</w:t>
            </w:r>
          </w:p>
        </w:tc>
        <w:tc>
          <w:tcPr>
            <w:tcW w:w="1275" w:type="dxa"/>
            <w:tcBorders>
              <w:top w:val="single" w:sz="4" w:space="0" w:color="auto"/>
              <w:left w:val="nil"/>
              <w:bottom w:val="single" w:sz="4" w:space="0" w:color="auto"/>
              <w:right w:val="nil"/>
            </w:tcBorders>
            <w:shd w:val="clear" w:color="auto" w:fill="auto"/>
            <w:noWrap/>
            <w:vAlign w:val="bottom"/>
            <w:hideMark/>
          </w:tcPr>
          <w:p w:rsidR="0038109B" w:rsidRPr="00C43B25" w:rsidRDefault="0038109B" w:rsidP="00F8021F">
            <w:pPr>
              <w:rPr>
                <w:rFonts w:cs="Calibri"/>
                <w:color w:val="000000"/>
              </w:rPr>
            </w:pPr>
            <w:r>
              <w:rPr>
                <w:rFonts w:cs="Calibri"/>
                <w:color w:val="000000"/>
              </w:rPr>
              <w:t>m=9</w:t>
            </w:r>
            <w:r w:rsidRPr="00C43B25">
              <w:rPr>
                <w:rFonts w:cs="Calibri"/>
                <w:color w:val="000000"/>
              </w:rPr>
              <w:t xml:space="preserve">, </w:t>
            </w:r>
            <w:proofErr w:type="spellStart"/>
            <w:r w:rsidRPr="00C43B25">
              <w:rPr>
                <w:rFonts w:cs="Calibri"/>
                <w:color w:val="000000"/>
              </w:rPr>
              <w:t>d.f</w:t>
            </w:r>
            <w:proofErr w:type="spellEnd"/>
            <w:r w:rsidRPr="00C43B25">
              <w:rPr>
                <w:rFonts w:cs="Calibri"/>
                <w:color w:val="000000"/>
              </w:rPr>
              <w:t>=5</w:t>
            </w:r>
          </w:p>
        </w:tc>
        <w:tc>
          <w:tcPr>
            <w:tcW w:w="1418" w:type="dxa"/>
            <w:tcBorders>
              <w:top w:val="single" w:sz="4" w:space="0" w:color="auto"/>
              <w:left w:val="nil"/>
              <w:bottom w:val="single" w:sz="4" w:space="0" w:color="auto"/>
              <w:right w:val="nil"/>
            </w:tcBorders>
            <w:shd w:val="clear" w:color="auto" w:fill="auto"/>
            <w:noWrap/>
            <w:vAlign w:val="bottom"/>
            <w:hideMark/>
          </w:tcPr>
          <w:p w:rsidR="0038109B" w:rsidRPr="00C43B25" w:rsidRDefault="0038109B" w:rsidP="00F8021F">
            <w:pPr>
              <w:rPr>
                <w:rFonts w:cs="Calibri"/>
                <w:color w:val="000000"/>
              </w:rPr>
            </w:pPr>
            <w:r>
              <w:rPr>
                <w:rFonts w:cs="Calibri"/>
                <w:color w:val="000000"/>
              </w:rPr>
              <w:t>m=14</w:t>
            </w:r>
            <w:r w:rsidRPr="00C43B25">
              <w:rPr>
                <w:rFonts w:cs="Calibri"/>
                <w:color w:val="000000"/>
              </w:rPr>
              <w:t xml:space="preserve">, </w:t>
            </w:r>
            <w:proofErr w:type="spellStart"/>
            <w:r w:rsidRPr="00C43B25">
              <w:rPr>
                <w:rFonts w:cs="Calibri"/>
                <w:color w:val="000000"/>
              </w:rPr>
              <w:t>d.f</w:t>
            </w:r>
            <w:proofErr w:type="spellEnd"/>
            <w:r w:rsidRPr="00C43B25">
              <w:rPr>
                <w:rFonts w:cs="Calibri"/>
                <w:color w:val="000000"/>
              </w:rPr>
              <w:t>=10</w:t>
            </w:r>
          </w:p>
        </w:tc>
      </w:tr>
      <w:tr w:rsidR="0038109B" w:rsidRPr="00C43B25" w:rsidTr="00975D51">
        <w:trPr>
          <w:trHeight w:val="285"/>
          <w:jc w:val="center"/>
        </w:trPr>
        <w:tc>
          <w:tcPr>
            <w:tcW w:w="3261" w:type="dxa"/>
            <w:tcBorders>
              <w:top w:val="nil"/>
              <w:left w:val="nil"/>
              <w:bottom w:val="nil"/>
              <w:right w:val="nil"/>
            </w:tcBorders>
            <w:shd w:val="clear" w:color="auto" w:fill="auto"/>
            <w:noWrap/>
            <w:vAlign w:val="bottom"/>
            <w:hideMark/>
          </w:tcPr>
          <w:p w:rsidR="0038109B" w:rsidRPr="00C43B25" w:rsidRDefault="0038109B" w:rsidP="00F8021F">
            <w:pPr>
              <w:rPr>
                <w:rFonts w:cs="Calibri"/>
                <w:color w:val="000000"/>
              </w:rPr>
            </w:pPr>
            <w:r w:rsidRPr="00C43B25">
              <w:rPr>
                <w:rFonts w:cs="Calibri"/>
                <w:color w:val="000000"/>
              </w:rPr>
              <w:t>Standardized Residuals</w:t>
            </w:r>
          </w:p>
        </w:tc>
        <w:tc>
          <w:tcPr>
            <w:tcW w:w="1275" w:type="dxa"/>
            <w:tcBorders>
              <w:top w:val="nil"/>
              <w:left w:val="nil"/>
              <w:bottom w:val="nil"/>
              <w:right w:val="nil"/>
            </w:tcBorders>
            <w:shd w:val="clear" w:color="auto" w:fill="auto"/>
            <w:noWrap/>
            <w:vAlign w:val="bottom"/>
            <w:hideMark/>
          </w:tcPr>
          <w:p w:rsidR="0038109B" w:rsidRPr="00C43B25" w:rsidRDefault="0038109B" w:rsidP="00F8021F">
            <w:pPr>
              <w:jc w:val="right"/>
              <w:rPr>
                <w:rFonts w:cs="Calibri"/>
                <w:color w:val="000000"/>
              </w:rPr>
            </w:pPr>
            <w:r>
              <w:t xml:space="preserve">0.1120    </w:t>
            </w:r>
          </w:p>
        </w:tc>
        <w:tc>
          <w:tcPr>
            <w:tcW w:w="1418" w:type="dxa"/>
            <w:tcBorders>
              <w:top w:val="nil"/>
              <w:left w:val="nil"/>
              <w:bottom w:val="nil"/>
              <w:right w:val="nil"/>
            </w:tcBorders>
            <w:shd w:val="clear" w:color="auto" w:fill="auto"/>
            <w:noWrap/>
            <w:vAlign w:val="bottom"/>
            <w:hideMark/>
          </w:tcPr>
          <w:p w:rsidR="0038109B" w:rsidRPr="00C43B25" w:rsidRDefault="0038109B" w:rsidP="00F8021F">
            <w:pPr>
              <w:jc w:val="right"/>
              <w:rPr>
                <w:rFonts w:cs="Calibri"/>
                <w:color w:val="000000"/>
              </w:rPr>
            </w:pPr>
            <w:r>
              <w:t>0.2442</w:t>
            </w:r>
          </w:p>
        </w:tc>
      </w:tr>
      <w:tr w:rsidR="0038109B" w:rsidRPr="00C43B25" w:rsidTr="00975D51">
        <w:trPr>
          <w:trHeight w:val="285"/>
          <w:jc w:val="center"/>
        </w:trPr>
        <w:tc>
          <w:tcPr>
            <w:tcW w:w="3261" w:type="dxa"/>
            <w:tcBorders>
              <w:top w:val="nil"/>
              <w:left w:val="nil"/>
              <w:bottom w:val="single" w:sz="4" w:space="0" w:color="auto"/>
              <w:right w:val="nil"/>
            </w:tcBorders>
            <w:shd w:val="clear" w:color="auto" w:fill="auto"/>
            <w:noWrap/>
            <w:vAlign w:val="bottom"/>
            <w:hideMark/>
          </w:tcPr>
          <w:p w:rsidR="0038109B" w:rsidRPr="00C43B25" w:rsidRDefault="0038109B" w:rsidP="00F8021F">
            <w:pPr>
              <w:rPr>
                <w:rFonts w:cs="Calibri"/>
                <w:color w:val="000000"/>
              </w:rPr>
            </w:pPr>
            <w:r w:rsidRPr="00C43B25">
              <w:rPr>
                <w:rFonts w:cs="Calibri"/>
                <w:color w:val="000000"/>
              </w:rPr>
              <w:t>Squared Standardized Residuals</w:t>
            </w:r>
          </w:p>
        </w:tc>
        <w:tc>
          <w:tcPr>
            <w:tcW w:w="1275" w:type="dxa"/>
            <w:tcBorders>
              <w:top w:val="nil"/>
              <w:left w:val="nil"/>
              <w:bottom w:val="single" w:sz="4" w:space="0" w:color="auto"/>
              <w:right w:val="nil"/>
            </w:tcBorders>
            <w:shd w:val="clear" w:color="auto" w:fill="auto"/>
            <w:noWrap/>
            <w:vAlign w:val="bottom"/>
            <w:hideMark/>
          </w:tcPr>
          <w:p w:rsidR="0038109B" w:rsidRPr="00C43B25" w:rsidRDefault="0038109B" w:rsidP="00F8021F">
            <w:pPr>
              <w:jc w:val="right"/>
              <w:rPr>
                <w:rFonts w:cs="Calibri"/>
                <w:color w:val="000000"/>
              </w:rPr>
            </w:pPr>
            <w:r w:rsidRPr="00D95CA2">
              <w:t xml:space="preserve">0.2851    </w:t>
            </w:r>
          </w:p>
        </w:tc>
        <w:tc>
          <w:tcPr>
            <w:tcW w:w="1418" w:type="dxa"/>
            <w:tcBorders>
              <w:top w:val="nil"/>
              <w:left w:val="nil"/>
              <w:bottom w:val="single" w:sz="4" w:space="0" w:color="auto"/>
              <w:right w:val="nil"/>
            </w:tcBorders>
            <w:shd w:val="clear" w:color="auto" w:fill="auto"/>
            <w:noWrap/>
            <w:vAlign w:val="bottom"/>
            <w:hideMark/>
          </w:tcPr>
          <w:p w:rsidR="0038109B" w:rsidRPr="00C43B25" w:rsidRDefault="0038109B" w:rsidP="00F8021F">
            <w:pPr>
              <w:jc w:val="right"/>
              <w:rPr>
                <w:rFonts w:cs="Calibri"/>
                <w:color w:val="000000"/>
              </w:rPr>
            </w:pPr>
            <w:r w:rsidRPr="00D95CA2">
              <w:t>0.7831</w:t>
            </w:r>
          </w:p>
        </w:tc>
      </w:tr>
    </w:tbl>
    <w:p w:rsidR="0038109B" w:rsidRPr="00975D51" w:rsidRDefault="00975D51" w:rsidP="00975D51">
      <w:pPr>
        <w:jc w:val="center"/>
      </w:pPr>
      <w:r w:rsidRPr="00975D51">
        <w:rPr>
          <w:b/>
        </w:rPr>
        <w:t>Table 6</w:t>
      </w:r>
      <w:r>
        <w:t xml:space="preserve">: </w:t>
      </w:r>
      <w:r w:rsidRPr="00975D51">
        <w:t>LB test results on the standardized and squared standardized residuals</w:t>
      </w:r>
    </w:p>
    <w:p w:rsidR="00975D51" w:rsidRDefault="00975D51" w:rsidP="0038109B"/>
    <w:p w:rsidR="0038109B" w:rsidRDefault="0038109B" w:rsidP="0038109B">
      <w:r>
        <w:t>All the p-values in the test are greater than 0.05, we therefore do not reject the null hypothesis of no autocorrelations in the standardised and squared standardised residuals, which confirms the conclusion that the mean and volatility equations are well specified.</w:t>
      </w:r>
    </w:p>
    <w:p w:rsidR="0038109B" w:rsidRDefault="0038109B" w:rsidP="0038109B">
      <w:r>
        <w:t xml:space="preserve">The histogram of the transformed standardised residuals appears to be more fat-tailed than Gaussian distribution with some outliers. But the </w:t>
      </w:r>
      <w:proofErr w:type="spellStart"/>
      <w:r>
        <w:t>qq</w:t>
      </w:r>
      <w:proofErr w:type="spellEnd"/>
      <w:r>
        <w:t>-plot of both tails do not departure from normality.</w:t>
      </w:r>
    </w:p>
    <w:p w:rsidR="0038109B" w:rsidRDefault="0038109B" w:rsidP="009B0CE2">
      <w:pPr>
        <w:jc w:val="center"/>
      </w:pPr>
      <w:r w:rsidRPr="0038086C">
        <w:rPr>
          <w:noProof/>
        </w:rPr>
        <w:drawing>
          <wp:inline distT="0" distB="0" distL="0" distR="0" wp14:anchorId="36BC06BD" wp14:editId="665B4F08">
            <wp:extent cx="2992700" cy="2244436"/>
            <wp:effectExtent l="0" t="0" r="0" b="3810"/>
            <wp:docPr id="64" name="Picture 64" descr="C:\Users\macei\AppData\Local\Temp\WeChat Files\494695286524551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macei\AppData\Local\Temp\WeChat Files\49469528652455196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6863" cy="2247558"/>
                    </a:xfrm>
                    <a:prstGeom prst="rect">
                      <a:avLst/>
                    </a:prstGeom>
                    <a:noFill/>
                    <a:ln>
                      <a:noFill/>
                    </a:ln>
                  </pic:spPr>
                </pic:pic>
              </a:graphicData>
            </a:graphic>
          </wp:inline>
        </w:drawing>
      </w:r>
    </w:p>
    <w:p w:rsidR="009B0CE2" w:rsidRPr="00975D51" w:rsidRDefault="009B0CE2" w:rsidP="009B0CE2">
      <w:pPr>
        <w:jc w:val="center"/>
        <w:rPr>
          <w:b/>
        </w:rPr>
      </w:pPr>
      <w:r>
        <w:rPr>
          <w:b/>
        </w:rPr>
        <w:t>Figure 12</w:t>
      </w:r>
    </w:p>
    <w:p w:rsidR="009B0CE2" w:rsidRDefault="009B0CE2" w:rsidP="0038109B"/>
    <w:p w:rsidR="0038109B" w:rsidRDefault="0038109B" w:rsidP="0038109B">
      <w:r>
        <w:lastRenderedPageBreak/>
        <w:t>Furthermore, JB test is conducted to check if the t-distribution assumption on the errors is satisfied:</w:t>
      </w:r>
    </w:p>
    <w:p w:rsidR="0038109B" w:rsidRPr="005207EF" w:rsidRDefault="006050C2" w:rsidP="0038109B">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:skewness=0 AND kurtosis=3</m:t>
          </m:r>
        </m:oMath>
      </m:oMathPara>
    </w:p>
    <w:p w:rsidR="0038109B" w:rsidRPr="005207EF" w:rsidRDefault="006050C2" w:rsidP="0038109B">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:the distribution is not normal</m:t>
          </m:r>
        </m:oMath>
      </m:oMathPara>
    </w:p>
    <w:p w:rsidR="0038109B" w:rsidRDefault="0038109B" w:rsidP="0038109B">
      <w:r>
        <w:t>The p-value of the test is 0.5000, we therefore do not reject the null hypothesis of normal distribution of the errors and can conclude that the t-distribution assumption on the normal errors is satisfied.</w:t>
      </w:r>
    </w:p>
    <w:p w:rsidR="0038109B" w:rsidRPr="00A07751" w:rsidRDefault="0038109B" w:rsidP="0038109B">
      <w:r>
        <w:t>In summary, the model of AR(1)-GARCH(1,1)-t has reasonably well captured the mean and volatility processes of the COKE returns.</w:t>
      </w:r>
    </w:p>
    <w:p w:rsidR="0038109B" w:rsidRPr="0038109B" w:rsidRDefault="0038109B" w:rsidP="0038109B">
      <w:pPr>
        <w:rPr>
          <w:rFonts w:asciiTheme="majorHAnsi" w:eastAsiaTheme="majorEastAsia" w:hAnsiTheme="majorHAnsi" w:cstheme="majorBidi"/>
          <w:color w:val="1F3763" w:themeColor="accent1" w:themeShade="7F"/>
          <w:lang w:val="en-US"/>
        </w:rPr>
      </w:pPr>
    </w:p>
    <w:p w:rsidR="00FC35B9" w:rsidRPr="00353F9E" w:rsidRDefault="009B0CE2" w:rsidP="00353F9E">
      <w:pPr>
        <w:pStyle w:val="a9"/>
        <w:numPr>
          <w:ilvl w:val="2"/>
          <w:numId w:val="1"/>
        </w:numPr>
        <w:rPr>
          <w:rFonts w:asciiTheme="majorHAnsi" w:eastAsiaTheme="majorEastAsia" w:hAnsiTheme="majorHAnsi" w:cstheme="majorBidi"/>
          <w:color w:val="1F3763" w:themeColor="accent1" w:themeShade="7F"/>
          <w:lang w:val="en-US"/>
        </w:rPr>
      </w:pPr>
      <w:r w:rsidRPr="009B0CE2">
        <w:rPr>
          <w:rFonts w:asciiTheme="majorHAnsi" w:eastAsiaTheme="majorEastAsia" w:hAnsiTheme="majorHAnsi" w:cstheme="majorBidi"/>
          <w:color w:val="1F3763" w:themeColor="accent1" w:themeShade="7F"/>
          <w:lang w:val="en-US"/>
        </w:rPr>
        <w:t>AR(1)-GJR-GARCH-t Model</w:t>
      </w:r>
    </w:p>
    <w:p w:rsidR="009B0CE2" w:rsidRDefault="009B0CE2" w:rsidP="009B0CE2">
      <w:pPr>
        <w:rPr>
          <w:lang w:val="en-US"/>
        </w:rPr>
      </w:pPr>
    </w:p>
    <w:p w:rsidR="009B0CE2" w:rsidRDefault="009B0CE2" w:rsidP="009B0CE2">
      <w:r>
        <w:t>The fitting of AR(1)-GJR-GARCH-t m</w:t>
      </w:r>
      <w:r w:rsidRPr="00030C3F">
        <w:t>odel</w:t>
      </w:r>
      <w:r>
        <w:t xml:space="preserve"> follows the same step as the AR(1)-GARCH-t m</w:t>
      </w:r>
      <w:r w:rsidRPr="00030C3F">
        <w:t>odel</w:t>
      </w:r>
      <w:r>
        <w:t>. Again, the AIC and SIC suggest the order of (1,1) for the GARCH part of the model. Therefore, we fit a AR(1)-GJR-GARCH(1,1)-t for COKE: (values in the brackets are the standard error)</w:t>
      </w:r>
    </w:p>
    <w:p w:rsidR="009B0CE2" w:rsidRPr="00213400" w:rsidRDefault="006050C2" w:rsidP="009B0CE2">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=-0.0127-0.0776</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9B0CE2">
        <w:t xml:space="preserve">, </w:t>
      </w:r>
      <w:r w:rsidR="009B0CE2">
        <w:tab/>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4.53</m:t>
            </m:r>
          </m:sub>
        </m:sSub>
        <m:r>
          <w:rPr>
            <w:rFonts w:ascii="Cambria Math" w:hAnsi="Cambria Math"/>
          </w:rPr>
          <m:t>(0,1)</m:t>
        </m:r>
      </m:oMath>
    </w:p>
    <w:p w:rsidR="009B0CE2" w:rsidRPr="00522AEE" w:rsidRDefault="009B0CE2" w:rsidP="009B0CE2">
      <w:r>
        <w:t xml:space="preserve">            (0.0262)    (0.0201)</w:t>
      </w:r>
    </w:p>
    <w:p w:rsidR="009B0CE2" w:rsidRPr="00522AEE" w:rsidRDefault="006050C2" w:rsidP="009B0CE2">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hint="eastAsia"/>
            </w:rPr>
            <m:t>0.1579+</m:t>
          </m:r>
          <m:d>
            <m:dPr>
              <m:ctrlPr>
                <w:rPr>
                  <w:rFonts w:ascii="Cambria Math" w:hAnsi="Cambria Math"/>
                  <w:i/>
                </w:rPr>
              </m:ctrlPr>
            </m:dPr>
            <m:e>
              <m:r>
                <w:rPr>
                  <w:rFonts w:ascii="Cambria Math" w:hAnsi="Cambria Math"/>
                </w:rPr>
                <m:t>0.0762+0.1921</m:t>
              </m:r>
              <m:sSub>
                <m:sSubPr>
                  <m:ctrlPr>
                    <w:rPr>
                      <w:rFonts w:ascii="Cambria Math" w:hAnsi="Cambria Math"/>
                      <w:i/>
                    </w:rPr>
                  </m:ctrlPr>
                </m:sSubPr>
                <m:e>
                  <m:r>
                    <w:rPr>
                      <w:rFonts w:ascii="Cambria Math" w:hAnsi="Cambria Math"/>
                    </w:rPr>
                    <m:t>I</m:t>
                  </m:r>
                </m:e>
                <m:sub>
                  <m:r>
                    <w:rPr>
                      <w:rFonts w:ascii="Cambria Math" w:hAnsi="Cambria Math"/>
                    </w:rPr>
                    <m:t>t-1</m:t>
                  </m:r>
                </m:sub>
              </m:sSub>
            </m:e>
          </m:d>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+0.8035</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9B0CE2" w:rsidRDefault="009B0CE2" w:rsidP="009B0CE2">
      <w:r>
        <w:t xml:space="preserve">           (0.0353)    (0.0194)    (0.0399)                     (0.0252)</w:t>
      </w:r>
    </w:p>
    <w:p w:rsidR="009B0CE2" w:rsidRDefault="009B0CE2" w:rsidP="009B0CE2">
      <w:r>
        <w:t xml:space="preserve">All the parameters are significantly different from zero except the constant term in the mean equation and the requirement of stationarity is also met. Low degrees of freedom of 4.53 implies that the tail </w:t>
      </w:r>
      <w:proofErr w:type="spellStart"/>
      <w:r>
        <w:t>behavior</w:t>
      </w:r>
      <w:proofErr w:type="spellEnd"/>
      <w:r>
        <w:t xml:space="preserve"> in the innovations is much heavier than that of Gaussian. </w:t>
      </w:r>
    </w:p>
    <w:p w:rsidR="009B0CE2" w:rsidRDefault="009B0CE2" w:rsidP="009B0CE2">
      <w:pPr>
        <w:keepNext/>
        <w:jc w:val="center"/>
      </w:pPr>
      <w:r w:rsidRPr="00F1352B">
        <w:rPr>
          <w:noProof/>
        </w:rPr>
        <w:drawing>
          <wp:inline distT="0" distB="0" distL="0" distR="0" wp14:anchorId="4E763048" wp14:editId="272715CC">
            <wp:extent cx="2644219" cy="1983006"/>
            <wp:effectExtent l="0" t="0" r="3810" b="0"/>
            <wp:docPr id="41" name="Picture 41" descr="C:\Users\macei\AppData\Local\Temp\WeChat Files\2605086122603153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acei\AppData\Local\Temp\WeChat Files\26050861226031534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2794" cy="1996936"/>
                    </a:xfrm>
                    <a:prstGeom prst="rect">
                      <a:avLst/>
                    </a:prstGeom>
                    <a:noFill/>
                    <a:ln>
                      <a:noFill/>
                    </a:ln>
                  </pic:spPr>
                </pic:pic>
              </a:graphicData>
            </a:graphic>
          </wp:inline>
        </w:drawing>
      </w:r>
    </w:p>
    <w:p w:rsidR="009B0CE2" w:rsidRDefault="009B0CE2" w:rsidP="009B0CE2">
      <w:pPr>
        <w:jc w:val="center"/>
        <w:rPr>
          <w:b/>
        </w:rPr>
      </w:pPr>
      <w:r>
        <w:rPr>
          <w:b/>
        </w:rPr>
        <w:t>Figure 13</w:t>
      </w:r>
    </w:p>
    <w:p w:rsidR="009B0CE2" w:rsidRPr="00975D51" w:rsidRDefault="009B0CE2" w:rsidP="009B0CE2">
      <w:pPr>
        <w:jc w:val="center"/>
        <w:rPr>
          <w:b/>
        </w:rPr>
      </w:pPr>
    </w:p>
    <w:p w:rsidR="009B0CE2" w:rsidRDefault="009B0CE2" w:rsidP="009B0CE2">
      <w:r w:rsidRPr="00493B1F">
        <w:rPr>
          <w:b/>
        </w:rPr>
        <w:t xml:space="preserve">Figure </w:t>
      </w:r>
      <w:r>
        <w:rPr>
          <w:b/>
        </w:rPr>
        <w:t>1</w:t>
      </w:r>
      <w:r w:rsidRPr="00493B1F">
        <w:rPr>
          <w:b/>
        </w:rPr>
        <w:t>3</w:t>
      </w:r>
      <w:r>
        <w:t xml:space="preserve"> is new impact curve for the AR(1)-GJR-GARCH(1,1)-t. The average volatility in each regime is estimated as: </w:t>
      </w:r>
    </w:p>
    <w:p w:rsidR="009B0CE2" w:rsidRDefault="009B0CE2" w:rsidP="009B0CE2">
      <w:pPr>
        <w:jc w:val="center"/>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≤0</m:t>
            </m:r>
          </m:e>
        </m:d>
        <m:r>
          <w:rPr>
            <w:rFonts w:ascii="Cambria Math" w:hAnsi="Cambria Math"/>
          </w:rPr>
          <m:t>=</m:t>
        </m:r>
        <m:r>
          <m:rPr>
            <m:sty m:val="p"/>
          </m:rPr>
          <w:rPr>
            <w:rFonts w:ascii="Cambria Math" w:hAnsi="Cambria Math"/>
          </w:rPr>
          <m:t>-2.1970</m:t>
        </m:r>
      </m:oMath>
      <w:r>
        <w:t>;</w:t>
      </w:r>
      <w:r>
        <w:tab/>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&gt;0</m:t>
            </m:r>
          </m:e>
        </m:d>
        <m:r>
          <w:rPr>
            <w:rFonts w:ascii="Cambria Math" w:hAnsi="Cambria Math"/>
          </w:rPr>
          <m:t>=</m:t>
        </m:r>
        <m:r>
          <m:rPr>
            <m:sty m:val="p"/>
          </m:rPr>
          <w:rPr>
            <w:rFonts w:ascii="Cambria Math" w:hAnsi="Cambria Math"/>
          </w:rPr>
          <m:t>1.3128</m:t>
        </m:r>
      </m:oMath>
    </w:p>
    <w:p w:rsidR="009B0CE2" w:rsidRDefault="009B0CE2" w:rsidP="009B0CE2">
      <w:r>
        <w:t>And the volatility persistence in each regime is estimated as:</w:t>
      </w:r>
    </w:p>
    <w:p w:rsidR="009B0CE2" w:rsidRPr="00493B1F" w:rsidRDefault="009B0CE2" w:rsidP="009B0CE2">
      <w:pPr>
        <w:jc w:val="center"/>
      </w:pPr>
      <m:oMath>
        <m:r>
          <m:rPr>
            <m:sty m:val="p"/>
          </m:rPr>
          <w:rPr>
            <w:rFonts w:ascii="Cambria Math" w:hAnsi="Cambria Math"/>
          </w:rPr>
          <m:t>1.0719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≤0)</m:t>
        </m:r>
      </m:oMath>
      <w:r>
        <w:t xml:space="preserve">; </w:t>
      </w:r>
      <w:r>
        <w:tab/>
      </w:r>
      <m:oMath>
        <m:r>
          <m:rPr>
            <m:sty m:val="p"/>
          </m:rPr>
          <w:rPr>
            <w:rFonts w:ascii="Cambria Math" w:hAnsi="Cambria Math"/>
          </w:rPr>
          <m:t>0.8797 )</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&gt;0)</m:t>
        </m:r>
      </m:oMath>
    </w:p>
    <w:p w:rsidR="009B0CE2" w:rsidRDefault="009B0CE2" w:rsidP="009B0CE2">
      <w:r>
        <w:t>The ratio of negative volatility against positive volatility is estimated as:</w:t>
      </w:r>
    </w:p>
    <w:p w:rsidR="009B0CE2" w:rsidRPr="00D51CF1" w:rsidRDefault="006050C2" w:rsidP="009B0CE2">
      <m:oMathPara>
        <m:oMath>
          <m:f>
            <m:fPr>
              <m:ctrlPr>
                <w:rPr>
                  <w:rFonts w:ascii="Cambria Math" w:hAnsi="Cambria Math"/>
                  <w:i/>
                </w:rPr>
              </m:ctrlPr>
            </m:fPr>
            <m:num>
              <m:acc>
                <m:accPr>
                  <m:ctrlPr>
                    <w:rPr>
                      <w:rFonts w:ascii="Cambria Math" w:hAnsi="Cambria Math"/>
                      <w:i/>
                    </w:rPr>
                  </m:ctrlPr>
                </m:accPr>
                <m:e>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=-2]</m:t>
              </m:r>
            </m:num>
            <m:den>
              <m:acc>
                <m:accPr>
                  <m:ctrlPr>
                    <w:rPr>
                      <w:rFonts w:ascii="Cambria Math" w:hAnsi="Cambria Math"/>
                      <w:i/>
                    </w:rPr>
                  </m:ctrlPr>
                </m:accPr>
                <m:e>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=2]</m:t>
              </m:r>
            </m:den>
          </m:f>
          <m:r>
            <w:rPr>
              <w:rFonts w:ascii="Cambria Math" w:hAnsi="Cambria Math"/>
            </w:rPr>
            <m:t>=1.2768</m:t>
          </m:r>
        </m:oMath>
      </m:oMathPara>
    </w:p>
    <w:p w:rsidR="009B0CE2" w:rsidRDefault="009B0CE2" w:rsidP="009B0CE2">
      <w:r>
        <w:t>The average volatility in negative regime is negative, which indicates infinite volatility and it is also estimated as explosive following negative shocks since the persistence is higher than 1. More than that, volatility is estimated to be 27.68% higher for shocks of -2% compared to those of 2%, indicating very large GJR effects, which leads to significantly strong volatility asymmetry in the asset of COKE.</w:t>
      </w:r>
    </w:p>
    <w:p w:rsidR="009B0CE2" w:rsidRDefault="009B0CE2" w:rsidP="009B0CE2"/>
    <w:p w:rsidR="009B0CE2" w:rsidRDefault="009B0CE2" w:rsidP="009B0CE2">
      <w:pPr>
        <w:keepNext/>
        <w:jc w:val="center"/>
      </w:pPr>
      <w:r w:rsidRPr="001E72E2">
        <w:rPr>
          <w:noProof/>
        </w:rPr>
        <w:drawing>
          <wp:inline distT="0" distB="0" distL="0" distR="0" wp14:anchorId="217BEC35" wp14:editId="2A217077">
            <wp:extent cx="3186516" cy="2389695"/>
            <wp:effectExtent l="0" t="0" r="0" b="0"/>
            <wp:docPr id="47" name="Picture 47" descr="C:\Users\macei\AppData\Local\Temp\WeChat Files\76966801406239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macei\AppData\Local\Temp\WeChat Files\7696680140623922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1865" cy="2408706"/>
                    </a:xfrm>
                    <a:prstGeom prst="rect">
                      <a:avLst/>
                    </a:prstGeom>
                    <a:noFill/>
                    <a:ln>
                      <a:noFill/>
                    </a:ln>
                  </pic:spPr>
                </pic:pic>
              </a:graphicData>
            </a:graphic>
          </wp:inline>
        </w:drawing>
      </w:r>
    </w:p>
    <w:p w:rsidR="009B0CE2" w:rsidRPr="00975D51" w:rsidRDefault="009B0CE2" w:rsidP="009B0CE2">
      <w:pPr>
        <w:jc w:val="center"/>
        <w:rPr>
          <w:b/>
        </w:rPr>
      </w:pPr>
      <w:r>
        <w:rPr>
          <w:b/>
        </w:rPr>
        <w:t>Figure 14</w:t>
      </w:r>
    </w:p>
    <w:p w:rsidR="009B0CE2" w:rsidRDefault="009B0CE2" w:rsidP="009B0CE2">
      <w:pPr>
        <w:keepNext/>
        <w:jc w:val="center"/>
      </w:pPr>
      <w:r w:rsidRPr="001E72E2">
        <w:rPr>
          <w:noProof/>
        </w:rPr>
        <w:drawing>
          <wp:inline distT="0" distB="0" distL="0" distR="0" wp14:anchorId="5FE45C72" wp14:editId="56BB6BBC">
            <wp:extent cx="3248916" cy="2318994"/>
            <wp:effectExtent l="0" t="0" r="8890" b="5715"/>
            <wp:docPr id="46" name="Picture 46" descr="C:\Users\macei\AppData\Local\Temp\WeChat Files\282151405147017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cei\AppData\Local\Temp\WeChat Files\28215140514701762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822"/>
                    <a:stretch/>
                  </pic:blipFill>
                  <pic:spPr bwMode="auto">
                    <a:xfrm>
                      <a:off x="0" y="0"/>
                      <a:ext cx="3256850" cy="2324657"/>
                    </a:xfrm>
                    <a:prstGeom prst="rect">
                      <a:avLst/>
                    </a:prstGeom>
                    <a:noFill/>
                    <a:ln>
                      <a:noFill/>
                    </a:ln>
                    <a:extLst>
                      <a:ext uri="{53640926-AAD7-44D8-BBD7-CCE9431645EC}">
                        <a14:shadowObscured xmlns:a14="http://schemas.microsoft.com/office/drawing/2010/main"/>
                      </a:ext>
                    </a:extLst>
                  </pic:spPr>
                </pic:pic>
              </a:graphicData>
            </a:graphic>
          </wp:inline>
        </w:drawing>
      </w:r>
    </w:p>
    <w:p w:rsidR="009B0CE2" w:rsidRDefault="009B0CE2" w:rsidP="009B0CE2">
      <w:pPr>
        <w:jc w:val="center"/>
        <w:rPr>
          <w:b/>
        </w:rPr>
      </w:pPr>
      <w:r>
        <w:rPr>
          <w:b/>
        </w:rPr>
        <w:t>Figure 15</w:t>
      </w:r>
    </w:p>
    <w:p w:rsidR="009B0CE2" w:rsidRDefault="009B0CE2" w:rsidP="009B0CE2">
      <w:pPr>
        <w:jc w:val="center"/>
        <w:rPr>
          <w:b/>
        </w:rPr>
      </w:pPr>
    </w:p>
    <w:p w:rsidR="009B0CE2" w:rsidRPr="009B0CE2" w:rsidRDefault="009B0CE2" w:rsidP="009B0CE2">
      <w:pPr>
        <w:rPr>
          <w:b/>
        </w:rPr>
      </w:pPr>
      <w:r w:rsidRPr="006E1712">
        <w:rPr>
          <w:b/>
        </w:rPr>
        <w:t xml:space="preserve">Figure </w:t>
      </w:r>
      <w:r>
        <w:rPr>
          <w:b/>
        </w:rPr>
        <w:t>14</w:t>
      </w:r>
      <w:r w:rsidRPr="006E1712">
        <w:rPr>
          <w:b/>
        </w:rPr>
        <w:t xml:space="preserve"> </w:t>
      </w:r>
      <w:r>
        <w:t xml:space="preserve">shows the innovations, conditional standard deviation and the log-returns. </w:t>
      </w:r>
      <w:r>
        <w:rPr>
          <w:b/>
        </w:rPr>
        <w:t xml:space="preserve">Figure 15 </w:t>
      </w:r>
      <w:r>
        <w:t>plots the conditional standard deviation against the log-returns. As can be seen from the graphs, the conditional standard deviation seems nice and smooth and sits nicely “on the shoulder” of the returns.</w:t>
      </w:r>
    </w:p>
    <w:p w:rsidR="009B0CE2" w:rsidRDefault="009B0CE2" w:rsidP="009B0CE2">
      <w:pPr>
        <w:keepNext/>
        <w:jc w:val="center"/>
      </w:pPr>
      <w:r w:rsidRPr="00924F71">
        <w:rPr>
          <w:noProof/>
        </w:rPr>
        <w:lastRenderedPageBreak/>
        <w:drawing>
          <wp:inline distT="0" distB="0" distL="0" distR="0" wp14:anchorId="6F2101D5" wp14:editId="60502FDA">
            <wp:extent cx="3861745" cy="1147351"/>
            <wp:effectExtent l="0" t="0" r="5715" b="0"/>
            <wp:docPr id="37" name="Picture 37" descr="C:\Users\macei\AppData\Local\Temp\WeChat Files\70924516596234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cei\AppData\Local\Temp\WeChat Files\70924516596234622.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60382"/>
                    <a:stretch/>
                  </pic:blipFill>
                  <pic:spPr bwMode="auto">
                    <a:xfrm>
                      <a:off x="0" y="0"/>
                      <a:ext cx="3882936" cy="1153647"/>
                    </a:xfrm>
                    <a:prstGeom prst="rect">
                      <a:avLst/>
                    </a:prstGeom>
                    <a:noFill/>
                    <a:ln>
                      <a:noFill/>
                    </a:ln>
                    <a:extLst>
                      <a:ext uri="{53640926-AAD7-44D8-BBD7-CCE9431645EC}">
                        <a14:shadowObscured xmlns:a14="http://schemas.microsoft.com/office/drawing/2010/main"/>
                      </a:ext>
                    </a:extLst>
                  </pic:spPr>
                </pic:pic>
              </a:graphicData>
            </a:graphic>
          </wp:inline>
        </w:drawing>
      </w:r>
    </w:p>
    <w:p w:rsidR="009B0CE2" w:rsidRDefault="009B0CE2" w:rsidP="009B0CE2">
      <w:pPr>
        <w:keepNext/>
        <w:jc w:val="center"/>
      </w:pPr>
      <w:r>
        <w:rPr>
          <w:b/>
        </w:rPr>
        <w:t>Figure 16</w:t>
      </w:r>
    </w:p>
    <w:p w:rsidR="009B0CE2" w:rsidRDefault="009B0CE2" w:rsidP="009B0CE2">
      <w:pPr>
        <w:rPr>
          <w:snapToGrid w:val="0"/>
          <w:color w:val="000000"/>
          <w:w w:val="0"/>
          <w:sz w:val="0"/>
          <w:szCs w:val="0"/>
          <w:u w:color="000000"/>
          <w:bdr w:val="none" w:sz="0" w:space="0" w:color="000000"/>
          <w:shd w:val="clear" w:color="000000" w:fill="000000"/>
          <w:lang w:val="x-none" w:eastAsia="x-none" w:bidi="x-none"/>
        </w:rPr>
      </w:pPr>
      <w:r w:rsidRPr="00FB4F73">
        <w:rPr>
          <w:noProof/>
        </w:rPr>
        <w:drawing>
          <wp:inline distT="0" distB="0" distL="0" distR="0" wp14:anchorId="7F48B88D" wp14:editId="23DCEAD1">
            <wp:extent cx="2366128" cy="1774455"/>
            <wp:effectExtent l="0" t="0" r="0" b="0"/>
            <wp:docPr id="39" name="Picture 39" descr="C:\Users\macei\AppData\Local\Temp\WeChat Files\894424192668837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acei\AppData\Local\Temp\WeChat Files\89442419266883737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73206" cy="1779763"/>
                    </a:xfrm>
                    <a:prstGeom prst="rect">
                      <a:avLst/>
                    </a:prstGeom>
                    <a:noFill/>
                    <a:ln>
                      <a:noFill/>
                    </a:ln>
                  </pic:spPr>
                </pic:pic>
              </a:graphicData>
            </a:graphic>
          </wp:inline>
        </w:drawing>
      </w:r>
      <w:r w:rsidRPr="00FB4F73">
        <w:rPr>
          <w:snapToGrid w:val="0"/>
          <w:color w:val="000000"/>
          <w:w w:val="0"/>
          <w:sz w:val="0"/>
          <w:szCs w:val="0"/>
          <w:u w:color="000000"/>
          <w:bdr w:val="none" w:sz="0" w:space="0" w:color="000000"/>
          <w:shd w:val="clear" w:color="000000" w:fill="000000"/>
          <w:lang w:val="x-none" w:eastAsia="x-none" w:bidi="x-none"/>
        </w:rPr>
        <w:t xml:space="preserve"> </w:t>
      </w:r>
      <w:r w:rsidRPr="00FB4F73">
        <w:rPr>
          <w:noProof/>
        </w:rPr>
        <w:drawing>
          <wp:inline distT="0" distB="0" distL="0" distR="0" wp14:anchorId="6D29157C" wp14:editId="5C2A33C6">
            <wp:extent cx="2363097" cy="1772182"/>
            <wp:effectExtent l="0" t="0" r="0" b="0"/>
            <wp:docPr id="40" name="Picture 40" descr="C:\Users\macei\AppData\Local\Temp\WeChat Files\107024445324698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acei\AppData\Local\Temp\WeChat Files\10702444532469847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68790" cy="1776451"/>
                    </a:xfrm>
                    <a:prstGeom prst="rect">
                      <a:avLst/>
                    </a:prstGeom>
                    <a:noFill/>
                    <a:ln>
                      <a:noFill/>
                    </a:ln>
                  </pic:spPr>
                </pic:pic>
              </a:graphicData>
            </a:graphic>
          </wp:inline>
        </w:drawing>
      </w:r>
    </w:p>
    <w:p w:rsidR="009B0CE2" w:rsidRDefault="009B0CE2" w:rsidP="009B0CE2">
      <w:pPr>
        <w:rPr>
          <w:snapToGrid w:val="0"/>
          <w:color w:val="000000"/>
          <w:w w:val="0"/>
          <w:sz w:val="0"/>
          <w:szCs w:val="0"/>
          <w:u w:color="000000"/>
          <w:bdr w:val="none" w:sz="0" w:space="0" w:color="000000"/>
          <w:shd w:val="clear" w:color="000000" w:fill="000000"/>
          <w:lang w:val="x-none" w:eastAsia="x-none" w:bidi="x-none"/>
        </w:rPr>
      </w:pPr>
    </w:p>
    <w:p w:rsidR="009B0CE2" w:rsidRDefault="009B0CE2" w:rsidP="009B0CE2">
      <w:pPr>
        <w:rPr>
          <w:snapToGrid w:val="0"/>
          <w:color w:val="000000"/>
          <w:w w:val="0"/>
          <w:sz w:val="0"/>
          <w:szCs w:val="0"/>
          <w:u w:color="000000"/>
          <w:bdr w:val="none" w:sz="0" w:space="0" w:color="000000"/>
          <w:shd w:val="clear" w:color="000000" w:fill="000000"/>
          <w:lang w:val="x-none" w:eastAsia="x-none" w:bidi="x-none"/>
        </w:rPr>
      </w:pPr>
    </w:p>
    <w:p w:rsidR="009B0CE2" w:rsidRDefault="009B0CE2" w:rsidP="009B0CE2">
      <w:pPr>
        <w:rPr>
          <w:snapToGrid w:val="0"/>
          <w:color w:val="000000"/>
          <w:w w:val="0"/>
          <w:sz w:val="0"/>
          <w:szCs w:val="0"/>
          <w:u w:color="000000"/>
          <w:bdr w:val="none" w:sz="0" w:space="0" w:color="000000"/>
          <w:shd w:val="clear" w:color="000000" w:fill="000000"/>
          <w:lang w:val="x-none" w:eastAsia="x-none" w:bidi="x-none"/>
        </w:rPr>
      </w:pPr>
    </w:p>
    <w:p w:rsidR="009B0CE2" w:rsidRDefault="009B0CE2" w:rsidP="009B0CE2">
      <w:pPr>
        <w:rPr>
          <w:snapToGrid w:val="0"/>
          <w:color w:val="000000"/>
          <w:w w:val="0"/>
          <w:sz w:val="0"/>
          <w:szCs w:val="0"/>
          <w:u w:color="000000"/>
          <w:bdr w:val="none" w:sz="0" w:space="0" w:color="000000"/>
          <w:shd w:val="clear" w:color="000000" w:fill="000000"/>
          <w:lang w:val="x-none" w:eastAsia="x-none" w:bidi="x-none"/>
        </w:rPr>
      </w:pPr>
    </w:p>
    <w:p w:rsidR="009B0CE2" w:rsidRDefault="009B0CE2" w:rsidP="009B0CE2">
      <w:pPr>
        <w:jc w:val="center"/>
      </w:pPr>
      <w:r>
        <w:rPr>
          <w:b/>
        </w:rPr>
        <w:t>Figure 17</w:t>
      </w:r>
    </w:p>
    <w:p w:rsidR="009B0CE2" w:rsidRDefault="009B0CE2" w:rsidP="009B0CE2">
      <w:r>
        <w:t xml:space="preserve">The plot of standardised residuals </w:t>
      </w:r>
      <m:oMath>
        <m:f>
          <m:fPr>
            <m:type m:val="lin"/>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t</m:t>
                    </m:r>
                  </m:sub>
                </m:sSub>
              </m:e>
            </m:acc>
          </m:num>
          <m:den>
            <m:acc>
              <m:accPr>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t</m:t>
                    </m:r>
                  </m:sub>
                </m:sSub>
              </m:e>
            </m:acc>
          </m:den>
        </m:f>
      </m:oMath>
      <w:r>
        <w:t xml:space="preserve"> is shown in </w:t>
      </w:r>
      <w:r>
        <w:rPr>
          <w:b/>
        </w:rPr>
        <w:t>F</w:t>
      </w:r>
      <w:r w:rsidRPr="00010EFF">
        <w:rPr>
          <w:b/>
        </w:rPr>
        <w:t xml:space="preserve">igure </w:t>
      </w:r>
      <w:r>
        <w:rPr>
          <w:b/>
        </w:rPr>
        <w:t>1</w:t>
      </w:r>
      <w:r w:rsidRPr="00010EFF">
        <w:rPr>
          <w:b/>
        </w:rPr>
        <w:t>6</w:t>
      </w:r>
      <w:r>
        <w:t xml:space="preserve"> together with its ACF and the ACF of the squared residuals. The standardised residuals seem nice and smooth, although with some outliers and appear to show little remaining autocorrelations, which is also true in the squared standardised residuals. These all suggest that both the mean and volatility equations are well specified, which can be verified by the LB test: </w:t>
      </w:r>
    </w:p>
    <w:tbl>
      <w:tblPr>
        <w:tblW w:w="6096" w:type="dxa"/>
        <w:jc w:val="center"/>
        <w:tblLook w:val="04A0" w:firstRow="1" w:lastRow="0" w:firstColumn="1" w:lastColumn="0" w:noHBand="0" w:noVBand="1"/>
      </w:tblPr>
      <w:tblGrid>
        <w:gridCol w:w="3261"/>
        <w:gridCol w:w="1417"/>
        <w:gridCol w:w="1418"/>
      </w:tblGrid>
      <w:tr w:rsidR="009B0CE2" w:rsidRPr="00C43B25" w:rsidTr="009B0CE2">
        <w:trPr>
          <w:trHeight w:val="285"/>
          <w:jc w:val="center"/>
        </w:trPr>
        <w:tc>
          <w:tcPr>
            <w:tcW w:w="3261" w:type="dxa"/>
            <w:tcBorders>
              <w:top w:val="single" w:sz="4" w:space="0" w:color="auto"/>
              <w:left w:val="nil"/>
              <w:bottom w:val="single" w:sz="4" w:space="0" w:color="auto"/>
              <w:right w:val="nil"/>
            </w:tcBorders>
            <w:shd w:val="clear" w:color="auto" w:fill="auto"/>
            <w:noWrap/>
            <w:vAlign w:val="bottom"/>
            <w:hideMark/>
          </w:tcPr>
          <w:p w:rsidR="009B0CE2" w:rsidRPr="00C43B25" w:rsidRDefault="009B0CE2" w:rsidP="00F8021F">
            <w:pPr>
              <w:rPr>
                <w:rFonts w:cs="Calibri"/>
                <w:color w:val="000000"/>
              </w:rPr>
            </w:pPr>
            <w:r w:rsidRPr="00C43B25">
              <w:rPr>
                <w:rFonts w:cs="Calibri"/>
                <w:color w:val="000000"/>
              </w:rPr>
              <w:t>p-value</w:t>
            </w:r>
          </w:p>
        </w:tc>
        <w:tc>
          <w:tcPr>
            <w:tcW w:w="1417" w:type="dxa"/>
            <w:tcBorders>
              <w:top w:val="single" w:sz="4" w:space="0" w:color="auto"/>
              <w:left w:val="nil"/>
              <w:bottom w:val="single" w:sz="4" w:space="0" w:color="auto"/>
              <w:right w:val="nil"/>
            </w:tcBorders>
            <w:shd w:val="clear" w:color="auto" w:fill="auto"/>
            <w:noWrap/>
            <w:vAlign w:val="bottom"/>
            <w:hideMark/>
          </w:tcPr>
          <w:p w:rsidR="009B0CE2" w:rsidRPr="00C43B25" w:rsidRDefault="009B0CE2" w:rsidP="00F8021F">
            <w:pPr>
              <w:rPr>
                <w:rFonts w:cs="Calibri"/>
                <w:color w:val="000000"/>
              </w:rPr>
            </w:pPr>
            <w:r>
              <w:rPr>
                <w:rFonts w:cs="Calibri"/>
                <w:color w:val="000000"/>
              </w:rPr>
              <w:t>m=10</w:t>
            </w:r>
            <w:r w:rsidRPr="00C43B25">
              <w:rPr>
                <w:rFonts w:cs="Calibri"/>
                <w:color w:val="000000"/>
              </w:rPr>
              <w:t xml:space="preserve">, </w:t>
            </w:r>
            <w:proofErr w:type="spellStart"/>
            <w:r w:rsidRPr="00C43B25">
              <w:rPr>
                <w:rFonts w:cs="Calibri"/>
                <w:color w:val="000000"/>
              </w:rPr>
              <w:t>d.f</w:t>
            </w:r>
            <w:proofErr w:type="spellEnd"/>
            <w:r w:rsidRPr="00C43B25">
              <w:rPr>
                <w:rFonts w:cs="Calibri"/>
                <w:color w:val="000000"/>
              </w:rPr>
              <w:t>=5</w:t>
            </w:r>
          </w:p>
        </w:tc>
        <w:tc>
          <w:tcPr>
            <w:tcW w:w="1418" w:type="dxa"/>
            <w:tcBorders>
              <w:top w:val="single" w:sz="4" w:space="0" w:color="auto"/>
              <w:left w:val="nil"/>
              <w:bottom w:val="single" w:sz="4" w:space="0" w:color="auto"/>
              <w:right w:val="nil"/>
            </w:tcBorders>
            <w:shd w:val="clear" w:color="auto" w:fill="auto"/>
            <w:noWrap/>
            <w:vAlign w:val="bottom"/>
            <w:hideMark/>
          </w:tcPr>
          <w:p w:rsidR="009B0CE2" w:rsidRPr="00C43B25" w:rsidRDefault="009B0CE2" w:rsidP="00F8021F">
            <w:pPr>
              <w:rPr>
                <w:rFonts w:cs="Calibri"/>
                <w:color w:val="000000"/>
              </w:rPr>
            </w:pPr>
            <w:r>
              <w:rPr>
                <w:rFonts w:cs="Calibri"/>
                <w:color w:val="000000"/>
              </w:rPr>
              <w:t>m=15</w:t>
            </w:r>
            <w:r w:rsidRPr="00C43B25">
              <w:rPr>
                <w:rFonts w:cs="Calibri"/>
                <w:color w:val="000000"/>
              </w:rPr>
              <w:t xml:space="preserve">, </w:t>
            </w:r>
            <w:proofErr w:type="spellStart"/>
            <w:r w:rsidRPr="00C43B25">
              <w:rPr>
                <w:rFonts w:cs="Calibri"/>
                <w:color w:val="000000"/>
              </w:rPr>
              <w:t>d.f</w:t>
            </w:r>
            <w:proofErr w:type="spellEnd"/>
            <w:r w:rsidRPr="00C43B25">
              <w:rPr>
                <w:rFonts w:cs="Calibri"/>
                <w:color w:val="000000"/>
              </w:rPr>
              <w:t>=10</w:t>
            </w:r>
          </w:p>
        </w:tc>
      </w:tr>
      <w:tr w:rsidR="009B0CE2" w:rsidRPr="00C43B25" w:rsidTr="009B0CE2">
        <w:trPr>
          <w:trHeight w:val="285"/>
          <w:jc w:val="center"/>
        </w:trPr>
        <w:tc>
          <w:tcPr>
            <w:tcW w:w="3261" w:type="dxa"/>
            <w:tcBorders>
              <w:top w:val="nil"/>
              <w:left w:val="nil"/>
              <w:bottom w:val="nil"/>
              <w:right w:val="nil"/>
            </w:tcBorders>
            <w:shd w:val="clear" w:color="auto" w:fill="auto"/>
            <w:noWrap/>
            <w:vAlign w:val="bottom"/>
            <w:hideMark/>
          </w:tcPr>
          <w:p w:rsidR="009B0CE2" w:rsidRPr="00C43B25" w:rsidRDefault="009B0CE2" w:rsidP="00F8021F">
            <w:pPr>
              <w:rPr>
                <w:rFonts w:cs="Calibri"/>
                <w:color w:val="000000"/>
              </w:rPr>
            </w:pPr>
            <w:r w:rsidRPr="00C43B25">
              <w:rPr>
                <w:rFonts w:cs="Calibri"/>
                <w:color w:val="000000"/>
              </w:rPr>
              <w:t>Standardized Residuals</w:t>
            </w:r>
          </w:p>
        </w:tc>
        <w:tc>
          <w:tcPr>
            <w:tcW w:w="1417" w:type="dxa"/>
            <w:tcBorders>
              <w:top w:val="nil"/>
              <w:left w:val="nil"/>
              <w:bottom w:val="nil"/>
              <w:right w:val="nil"/>
            </w:tcBorders>
            <w:shd w:val="clear" w:color="auto" w:fill="auto"/>
            <w:noWrap/>
            <w:vAlign w:val="bottom"/>
            <w:hideMark/>
          </w:tcPr>
          <w:p w:rsidR="009B0CE2" w:rsidRPr="00C43B25" w:rsidRDefault="009B0CE2" w:rsidP="00F8021F">
            <w:pPr>
              <w:jc w:val="right"/>
              <w:rPr>
                <w:rFonts w:cs="Calibri"/>
                <w:color w:val="000000"/>
              </w:rPr>
            </w:pPr>
            <w:r>
              <w:t xml:space="preserve">0.0947    </w:t>
            </w:r>
          </w:p>
        </w:tc>
        <w:tc>
          <w:tcPr>
            <w:tcW w:w="1418" w:type="dxa"/>
            <w:tcBorders>
              <w:top w:val="nil"/>
              <w:left w:val="nil"/>
              <w:bottom w:val="nil"/>
              <w:right w:val="nil"/>
            </w:tcBorders>
            <w:shd w:val="clear" w:color="auto" w:fill="auto"/>
            <w:noWrap/>
            <w:vAlign w:val="bottom"/>
            <w:hideMark/>
          </w:tcPr>
          <w:p w:rsidR="009B0CE2" w:rsidRPr="00C43B25" w:rsidRDefault="009B0CE2" w:rsidP="00F8021F">
            <w:pPr>
              <w:jc w:val="right"/>
              <w:rPr>
                <w:rFonts w:cs="Calibri"/>
                <w:color w:val="000000"/>
              </w:rPr>
            </w:pPr>
            <w:r>
              <w:t>0.2105</w:t>
            </w:r>
          </w:p>
        </w:tc>
      </w:tr>
      <w:tr w:rsidR="009B0CE2" w:rsidRPr="00C43B25" w:rsidTr="009B0CE2">
        <w:trPr>
          <w:trHeight w:val="285"/>
          <w:jc w:val="center"/>
        </w:trPr>
        <w:tc>
          <w:tcPr>
            <w:tcW w:w="3261" w:type="dxa"/>
            <w:tcBorders>
              <w:top w:val="nil"/>
              <w:left w:val="nil"/>
              <w:bottom w:val="single" w:sz="4" w:space="0" w:color="auto"/>
              <w:right w:val="nil"/>
            </w:tcBorders>
            <w:shd w:val="clear" w:color="auto" w:fill="auto"/>
            <w:noWrap/>
            <w:vAlign w:val="bottom"/>
            <w:hideMark/>
          </w:tcPr>
          <w:p w:rsidR="009B0CE2" w:rsidRPr="00C43B25" w:rsidRDefault="009B0CE2" w:rsidP="00F8021F">
            <w:pPr>
              <w:rPr>
                <w:rFonts w:cs="Calibri"/>
                <w:color w:val="000000"/>
              </w:rPr>
            </w:pPr>
            <w:r w:rsidRPr="00C43B25">
              <w:rPr>
                <w:rFonts w:cs="Calibri"/>
                <w:color w:val="000000"/>
              </w:rPr>
              <w:t>Squared Standardized Residuals</w:t>
            </w:r>
          </w:p>
        </w:tc>
        <w:tc>
          <w:tcPr>
            <w:tcW w:w="1417" w:type="dxa"/>
            <w:tcBorders>
              <w:top w:val="nil"/>
              <w:left w:val="nil"/>
              <w:bottom w:val="single" w:sz="4" w:space="0" w:color="auto"/>
              <w:right w:val="nil"/>
            </w:tcBorders>
            <w:shd w:val="clear" w:color="auto" w:fill="auto"/>
            <w:noWrap/>
            <w:vAlign w:val="bottom"/>
            <w:hideMark/>
          </w:tcPr>
          <w:p w:rsidR="009B0CE2" w:rsidRPr="00C43B25" w:rsidRDefault="009B0CE2" w:rsidP="00F8021F">
            <w:pPr>
              <w:jc w:val="right"/>
              <w:rPr>
                <w:rFonts w:cs="Calibri"/>
                <w:color w:val="000000"/>
              </w:rPr>
            </w:pPr>
            <w:r w:rsidRPr="00262F49">
              <w:t xml:space="preserve">0.1494    </w:t>
            </w:r>
          </w:p>
        </w:tc>
        <w:tc>
          <w:tcPr>
            <w:tcW w:w="1418" w:type="dxa"/>
            <w:tcBorders>
              <w:top w:val="nil"/>
              <w:left w:val="nil"/>
              <w:bottom w:val="single" w:sz="4" w:space="0" w:color="auto"/>
              <w:right w:val="nil"/>
            </w:tcBorders>
            <w:shd w:val="clear" w:color="auto" w:fill="auto"/>
            <w:noWrap/>
            <w:vAlign w:val="bottom"/>
            <w:hideMark/>
          </w:tcPr>
          <w:p w:rsidR="009B0CE2" w:rsidRPr="00C43B25" w:rsidRDefault="009B0CE2" w:rsidP="00F8021F">
            <w:pPr>
              <w:jc w:val="right"/>
              <w:rPr>
                <w:rFonts w:cs="Calibri"/>
                <w:color w:val="000000"/>
              </w:rPr>
            </w:pPr>
            <w:r w:rsidRPr="00262F49">
              <w:t>0.5305</w:t>
            </w:r>
          </w:p>
        </w:tc>
      </w:tr>
    </w:tbl>
    <w:p w:rsidR="009B0CE2" w:rsidRDefault="009B0CE2" w:rsidP="009B0CE2">
      <w:pPr>
        <w:jc w:val="center"/>
      </w:pPr>
      <w:r w:rsidRPr="009B0CE2">
        <w:rPr>
          <w:b/>
        </w:rPr>
        <w:t>Table 7</w:t>
      </w:r>
      <w:r>
        <w:t>:</w:t>
      </w:r>
      <w:r w:rsidRPr="00010EFF">
        <w:t xml:space="preserve"> </w:t>
      </w:r>
      <w:r>
        <w:t>LB test results on the standardized and squared standardized residuals</w:t>
      </w:r>
    </w:p>
    <w:p w:rsidR="009B0CE2" w:rsidRDefault="009B0CE2" w:rsidP="009B0CE2">
      <w:r>
        <w:t>All the p-values in the test are greater than 0.05, we therefore do not reject the null hypothesis of no autocorrelations in the standardised and squared standardised residuals, which confirms the conclusion that the mean and volatility equations are well specified.</w:t>
      </w:r>
    </w:p>
    <w:p w:rsidR="009B0CE2" w:rsidRDefault="009B0CE2" w:rsidP="009B0CE2">
      <w:r>
        <w:t xml:space="preserve">The histogram of the transformed standardised residuals appears to be more fat-tailed than Gaussian distribution with some outliers. But the </w:t>
      </w:r>
      <w:proofErr w:type="spellStart"/>
      <w:r>
        <w:t>qq</w:t>
      </w:r>
      <w:proofErr w:type="spellEnd"/>
      <w:r>
        <w:t>-plot of both tails do not departure from normality.</w:t>
      </w:r>
    </w:p>
    <w:p w:rsidR="009B0CE2" w:rsidRDefault="009B0CE2" w:rsidP="009B0CE2">
      <w:pPr>
        <w:jc w:val="center"/>
      </w:pPr>
      <w:r w:rsidRPr="00262F49">
        <w:rPr>
          <w:noProof/>
        </w:rPr>
        <w:drawing>
          <wp:inline distT="0" distB="0" distL="0" distR="0" wp14:anchorId="5A112B57" wp14:editId="5FB87E79">
            <wp:extent cx="2625365" cy="1968868"/>
            <wp:effectExtent l="0" t="0" r="3810" b="0"/>
            <wp:docPr id="45" name="Picture 45" descr="C:\Users\macei\AppData\Local\Temp\WeChat Files\497628218346659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acei\AppData\Local\Temp\WeChat Files\49762821834665908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2271" cy="1974047"/>
                    </a:xfrm>
                    <a:prstGeom prst="rect">
                      <a:avLst/>
                    </a:prstGeom>
                    <a:noFill/>
                    <a:ln>
                      <a:noFill/>
                    </a:ln>
                  </pic:spPr>
                </pic:pic>
              </a:graphicData>
            </a:graphic>
          </wp:inline>
        </w:drawing>
      </w:r>
    </w:p>
    <w:p w:rsidR="009B0CE2" w:rsidRDefault="009B0CE2" w:rsidP="009B0CE2">
      <w:pPr>
        <w:jc w:val="center"/>
      </w:pPr>
      <w:r>
        <w:rPr>
          <w:b/>
        </w:rPr>
        <w:t>Figure 18</w:t>
      </w:r>
    </w:p>
    <w:p w:rsidR="009B0CE2" w:rsidRDefault="009B0CE2" w:rsidP="009B0CE2"/>
    <w:p w:rsidR="009B0CE2" w:rsidRDefault="009B0CE2" w:rsidP="009B0CE2">
      <w:r>
        <w:lastRenderedPageBreak/>
        <w:t>The p-value of the JB test is 0.5000, we therefore do not reject the null hypothesis of normal distribution of the transformed errors and can conclude that the t-distribution assumption on the normal errors is satisfied.</w:t>
      </w:r>
    </w:p>
    <w:p w:rsidR="009B0CE2" w:rsidRPr="00A07751" w:rsidRDefault="009B0CE2" w:rsidP="009B0CE2">
      <w:r>
        <w:t>In summary, the model of AR(1)-GJR-GARCH(1,1)-t has reasonably well captured the mean and volatility processes of the COKE returns.</w:t>
      </w:r>
    </w:p>
    <w:p w:rsidR="009B0CE2" w:rsidRPr="009B0CE2" w:rsidRDefault="009B0CE2" w:rsidP="009B0CE2"/>
    <w:p w:rsidR="009B0CE2" w:rsidRPr="009B0CE2" w:rsidRDefault="009B0CE2" w:rsidP="009B0CE2">
      <w:pPr>
        <w:rPr>
          <w:lang w:val="en-US"/>
        </w:rPr>
      </w:pPr>
    </w:p>
    <w:p w:rsidR="00FC35B9" w:rsidRDefault="009B0CE2" w:rsidP="00FC35B9">
      <w:pPr>
        <w:pStyle w:val="3"/>
        <w:numPr>
          <w:ilvl w:val="2"/>
          <w:numId w:val="1"/>
        </w:numPr>
        <w:rPr>
          <w:lang w:val="en-US"/>
        </w:rPr>
      </w:pPr>
      <w:r>
        <w:rPr>
          <w:lang w:val="en-US"/>
        </w:rPr>
        <w:t>IGARCH(1,1)</w:t>
      </w:r>
    </w:p>
    <w:p w:rsidR="009B0CE2" w:rsidRDefault="009B0CE2" w:rsidP="009B0CE2">
      <w:pPr>
        <w:rPr>
          <w:lang w:val="en-US"/>
        </w:rPr>
      </w:pPr>
    </w:p>
    <w:p w:rsidR="009B0CE2" w:rsidRDefault="009B0CE2" w:rsidP="009B0CE2">
      <w:r>
        <w:t>This model is only used for analysing and forecasting volatility and it is estimated as:</w:t>
      </w:r>
    </w:p>
    <w:p w:rsidR="009B0CE2" w:rsidRPr="00466F46" w:rsidRDefault="006050C2" w:rsidP="009B0CE2">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9B0CE2">
        <w:t xml:space="preserve">, </w:t>
      </w:r>
      <w:r w:rsidR="009B0CE2">
        <w:tab/>
        <w:t xml:space="preserve">where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oMath>
    </w:p>
    <w:p w:rsidR="009B0CE2" w:rsidRPr="00B02600" w:rsidRDefault="006050C2" w:rsidP="009B0CE2">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=0.0325</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+0.9675</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oMath>
      </m:oMathPara>
    </w:p>
    <w:p w:rsidR="009B0CE2" w:rsidRPr="006B21C4" w:rsidRDefault="009B0CE2" w:rsidP="009B0CE2">
      <w:r>
        <w:t>IGARCH model by its nature has volatility persistence of 1 indicating infinite conditional variance and no mean reversion. The mean equation here is just 0.</w:t>
      </w:r>
    </w:p>
    <w:p w:rsidR="009B0CE2" w:rsidRDefault="009B0CE2" w:rsidP="009B0CE2">
      <w:pPr>
        <w:keepNext/>
        <w:jc w:val="center"/>
      </w:pPr>
      <w:r w:rsidRPr="00E41348">
        <w:rPr>
          <w:noProof/>
        </w:rPr>
        <w:drawing>
          <wp:inline distT="0" distB="0" distL="0" distR="0" wp14:anchorId="698807F4" wp14:editId="22A61E05">
            <wp:extent cx="2842181" cy="2131214"/>
            <wp:effectExtent l="0" t="0" r="0" b="2540"/>
            <wp:docPr id="18" name="Picture 18" descr="C:\Users\macei\AppData\Local\Temp\WeChat Files\8999192174734824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ei\AppData\Local\Temp\WeChat Files\89991921747348246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831" cy="2138450"/>
                    </a:xfrm>
                    <a:prstGeom prst="rect">
                      <a:avLst/>
                    </a:prstGeom>
                    <a:noFill/>
                    <a:ln>
                      <a:noFill/>
                    </a:ln>
                  </pic:spPr>
                </pic:pic>
              </a:graphicData>
            </a:graphic>
          </wp:inline>
        </w:drawing>
      </w:r>
    </w:p>
    <w:p w:rsidR="009B0CE2" w:rsidRDefault="009B0CE2" w:rsidP="009B0CE2">
      <w:pPr>
        <w:jc w:val="center"/>
      </w:pPr>
      <w:r>
        <w:rPr>
          <w:b/>
        </w:rPr>
        <w:t>Figure 19</w:t>
      </w:r>
    </w:p>
    <w:p w:rsidR="009B0CE2" w:rsidRDefault="009B0CE2" w:rsidP="009B0CE2">
      <w:r>
        <w:rPr>
          <w:b/>
        </w:rPr>
        <w:t xml:space="preserve">Figure 19 </w:t>
      </w:r>
      <w:r>
        <w:t xml:space="preserve"> plots the conditional standard deviation against the log-returns. As can be seen from the graph, the conditional standard deviation seems much smoother than that of the previous two models, which might be the result of its volatility  persistence of 1 so that the conditional standard deviation comes back much more slowly. </w:t>
      </w:r>
    </w:p>
    <w:p w:rsidR="009B0CE2" w:rsidRDefault="009B0CE2" w:rsidP="009B0CE2">
      <w:pPr>
        <w:keepNext/>
        <w:jc w:val="center"/>
      </w:pPr>
      <w:r w:rsidRPr="0038086C">
        <w:rPr>
          <w:noProof/>
        </w:rPr>
        <w:drawing>
          <wp:inline distT="0" distB="0" distL="0" distR="0" wp14:anchorId="59DA5B64" wp14:editId="28F0E04C">
            <wp:extent cx="3917034" cy="1167655"/>
            <wp:effectExtent l="0" t="0" r="7620" b="0"/>
            <wp:docPr id="67" name="Picture 67" descr="C:\Users\macei\AppData\Local\Temp\WeChat Files\314590419318411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macei\AppData\Local\Temp\WeChat Files\314590419318411039.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0252"/>
                    <a:stretch/>
                  </pic:blipFill>
                  <pic:spPr bwMode="auto">
                    <a:xfrm>
                      <a:off x="0" y="0"/>
                      <a:ext cx="3931922" cy="1172093"/>
                    </a:xfrm>
                    <a:prstGeom prst="rect">
                      <a:avLst/>
                    </a:prstGeom>
                    <a:noFill/>
                    <a:ln>
                      <a:noFill/>
                    </a:ln>
                    <a:extLst>
                      <a:ext uri="{53640926-AAD7-44D8-BBD7-CCE9431645EC}">
                        <a14:shadowObscured xmlns:a14="http://schemas.microsoft.com/office/drawing/2010/main"/>
                      </a:ext>
                    </a:extLst>
                  </pic:spPr>
                </pic:pic>
              </a:graphicData>
            </a:graphic>
          </wp:inline>
        </w:drawing>
      </w:r>
    </w:p>
    <w:p w:rsidR="009B0CE2" w:rsidRDefault="009B0CE2" w:rsidP="009B0CE2">
      <w:pPr>
        <w:jc w:val="center"/>
      </w:pPr>
      <w:r>
        <w:rPr>
          <w:b/>
        </w:rPr>
        <w:t>Figure 20</w:t>
      </w:r>
    </w:p>
    <w:p w:rsidR="009B0CE2" w:rsidRDefault="009B0CE2" w:rsidP="009B0CE2">
      <w:r w:rsidRPr="0038086C">
        <w:rPr>
          <w:noProof/>
        </w:rPr>
        <w:drawing>
          <wp:inline distT="0" distB="0" distL="0" distR="0" wp14:anchorId="3BD99CB3" wp14:editId="265D57BF">
            <wp:extent cx="2505966" cy="1879400"/>
            <wp:effectExtent l="0" t="0" r="8890" b="6985"/>
            <wp:docPr id="68" name="Picture 68" descr="C:\Users\macei\AppData\Local\Temp\WeChat Files\99402318844424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macei\AppData\Local\Temp\WeChat Files\9940231884442434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5966" cy="1879400"/>
                    </a:xfrm>
                    <a:prstGeom prst="rect">
                      <a:avLst/>
                    </a:prstGeom>
                    <a:noFill/>
                    <a:ln>
                      <a:noFill/>
                    </a:ln>
                  </pic:spPr>
                </pic:pic>
              </a:graphicData>
            </a:graphic>
          </wp:inline>
        </w:drawing>
      </w:r>
      <w:r w:rsidRPr="0038086C">
        <w:rPr>
          <w:noProof/>
        </w:rPr>
        <w:drawing>
          <wp:inline distT="0" distB="0" distL="0" distR="0" wp14:anchorId="65FBF042" wp14:editId="0D3D04D2">
            <wp:extent cx="2448135" cy="1836029"/>
            <wp:effectExtent l="0" t="0" r="0" b="0"/>
            <wp:docPr id="69" name="Picture 69" descr="C:\Users\macei\AppData\Local\Temp\WeChat Files\89913975537363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macei\AppData\Local\Temp\WeChat Files\89913975537363611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8135" cy="1836029"/>
                    </a:xfrm>
                    <a:prstGeom prst="rect">
                      <a:avLst/>
                    </a:prstGeom>
                    <a:noFill/>
                    <a:ln>
                      <a:noFill/>
                    </a:ln>
                  </pic:spPr>
                </pic:pic>
              </a:graphicData>
            </a:graphic>
          </wp:inline>
        </w:drawing>
      </w:r>
    </w:p>
    <w:p w:rsidR="009B0CE2" w:rsidRPr="009B0CE2" w:rsidRDefault="009B0CE2" w:rsidP="009B0CE2">
      <w:pPr>
        <w:jc w:val="center"/>
        <w:rPr>
          <w:b/>
        </w:rPr>
      </w:pPr>
      <w:r w:rsidRPr="009B0CE2">
        <w:rPr>
          <w:b/>
        </w:rPr>
        <w:lastRenderedPageBreak/>
        <w:t>Figure 21</w:t>
      </w:r>
    </w:p>
    <w:p w:rsidR="009B0CE2" w:rsidRDefault="009B0CE2" w:rsidP="009B0CE2">
      <w:r>
        <w:t xml:space="preserve">The plot of standardised residuals </w:t>
      </w:r>
      <m:oMath>
        <m:f>
          <m:fPr>
            <m:type m:val="lin"/>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t</m:t>
                    </m:r>
                  </m:sub>
                </m:sSub>
              </m:e>
            </m:acc>
          </m:num>
          <m:den>
            <m:acc>
              <m:accPr>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t</m:t>
                    </m:r>
                  </m:sub>
                </m:sSub>
              </m:e>
            </m:acc>
          </m:den>
        </m:f>
      </m:oMath>
      <w:r>
        <w:t xml:space="preserve"> is shown in </w:t>
      </w:r>
      <w:r>
        <w:rPr>
          <w:b/>
        </w:rPr>
        <w:t>Figure 21</w:t>
      </w:r>
      <w:r>
        <w:t xml:space="preserve"> together with its ACF and the ACF of the squared residuals. The standardised residuals seem nice and smooth, although with some outliers and it appears to show some remaining autocorrelations, which is also true in the squared standardised residuals. These all suggest that both the mean and volatility equations are not well specified, which can be verified by the LB test: </w:t>
      </w:r>
    </w:p>
    <w:p w:rsidR="009B0CE2" w:rsidRDefault="009B0CE2" w:rsidP="009B0CE2">
      <w:pPr>
        <w:pStyle w:val="ac"/>
        <w:keepNext/>
      </w:pPr>
    </w:p>
    <w:tbl>
      <w:tblPr>
        <w:tblW w:w="5954" w:type="dxa"/>
        <w:jc w:val="center"/>
        <w:tblLook w:val="04A0" w:firstRow="1" w:lastRow="0" w:firstColumn="1" w:lastColumn="0" w:noHBand="0" w:noVBand="1"/>
      </w:tblPr>
      <w:tblGrid>
        <w:gridCol w:w="3261"/>
        <w:gridCol w:w="1275"/>
        <w:gridCol w:w="1418"/>
      </w:tblGrid>
      <w:tr w:rsidR="009B0CE2" w:rsidRPr="00C43B25" w:rsidTr="009B0CE2">
        <w:trPr>
          <w:trHeight w:val="285"/>
          <w:jc w:val="center"/>
        </w:trPr>
        <w:tc>
          <w:tcPr>
            <w:tcW w:w="3261" w:type="dxa"/>
            <w:tcBorders>
              <w:top w:val="single" w:sz="4" w:space="0" w:color="auto"/>
              <w:left w:val="nil"/>
              <w:bottom w:val="single" w:sz="4" w:space="0" w:color="auto"/>
              <w:right w:val="nil"/>
            </w:tcBorders>
            <w:shd w:val="clear" w:color="auto" w:fill="auto"/>
            <w:noWrap/>
            <w:vAlign w:val="bottom"/>
            <w:hideMark/>
          </w:tcPr>
          <w:p w:rsidR="009B0CE2" w:rsidRPr="00C43B25" w:rsidRDefault="009B0CE2" w:rsidP="00F8021F">
            <w:pPr>
              <w:rPr>
                <w:rFonts w:cs="Calibri"/>
                <w:color w:val="000000"/>
              </w:rPr>
            </w:pPr>
            <w:r w:rsidRPr="00C43B25">
              <w:rPr>
                <w:rFonts w:cs="Calibri"/>
                <w:color w:val="000000"/>
              </w:rPr>
              <w:t>p-value</w:t>
            </w:r>
          </w:p>
        </w:tc>
        <w:tc>
          <w:tcPr>
            <w:tcW w:w="1275" w:type="dxa"/>
            <w:tcBorders>
              <w:top w:val="single" w:sz="4" w:space="0" w:color="auto"/>
              <w:left w:val="nil"/>
              <w:bottom w:val="single" w:sz="4" w:space="0" w:color="auto"/>
              <w:right w:val="nil"/>
            </w:tcBorders>
            <w:shd w:val="clear" w:color="auto" w:fill="auto"/>
            <w:noWrap/>
            <w:vAlign w:val="bottom"/>
            <w:hideMark/>
          </w:tcPr>
          <w:p w:rsidR="009B0CE2" w:rsidRPr="00C43B25" w:rsidRDefault="009B0CE2" w:rsidP="00F8021F">
            <w:pPr>
              <w:rPr>
                <w:rFonts w:cs="Calibri"/>
                <w:color w:val="000000"/>
              </w:rPr>
            </w:pPr>
            <w:r w:rsidRPr="00C43B25">
              <w:rPr>
                <w:rFonts w:cs="Calibri"/>
                <w:color w:val="000000"/>
              </w:rPr>
              <w:t xml:space="preserve">m=7, </w:t>
            </w:r>
            <w:proofErr w:type="spellStart"/>
            <w:r w:rsidRPr="00C43B25">
              <w:rPr>
                <w:rFonts w:cs="Calibri"/>
                <w:color w:val="000000"/>
              </w:rPr>
              <w:t>d.f</w:t>
            </w:r>
            <w:proofErr w:type="spellEnd"/>
            <w:r w:rsidRPr="00C43B25">
              <w:rPr>
                <w:rFonts w:cs="Calibri"/>
                <w:color w:val="000000"/>
              </w:rPr>
              <w:t>=5</w:t>
            </w:r>
          </w:p>
        </w:tc>
        <w:tc>
          <w:tcPr>
            <w:tcW w:w="1418" w:type="dxa"/>
            <w:tcBorders>
              <w:top w:val="single" w:sz="4" w:space="0" w:color="auto"/>
              <w:left w:val="nil"/>
              <w:bottom w:val="single" w:sz="4" w:space="0" w:color="auto"/>
              <w:right w:val="nil"/>
            </w:tcBorders>
            <w:shd w:val="clear" w:color="auto" w:fill="auto"/>
            <w:noWrap/>
            <w:vAlign w:val="bottom"/>
            <w:hideMark/>
          </w:tcPr>
          <w:p w:rsidR="009B0CE2" w:rsidRPr="00C43B25" w:rsidRDefault="009B0CE2" w:rsidP="00F8021F">
            <w:pPr>
              <w:rPr>
                <w:rFonts w:cs="Calibri"/>
                <w:color w:val="000000"/>
              </w:rPr>
            </w:pPr>
            <w:r w:rsidRPr="00C43B25">
              <w:rPr>
                <w:rFonts w:cs="Calibri"/>
                <w:color w:val="000000"/>
              </w:rPr>
              <w:t xml:space="preserve">m=12, </w:t>
            </w:r>
            <w:proofErr w:type="spellStart"/>
            <w:r w:rsidRPr="00C43B25">
              <w:rPr>
                <w:rFonts w:cs="Calibri"/>
                <w:color w:val="000000"/>
              </w:rPr>
              <w:t>d.f</w:t>
            </w:r>
            <w:proofErr w:type="spellEnd"/>
            <w:r w:rsidRPr="00C43B25">
              <w:rPr>
                <w:rFonts w:cs="Calibri"/>
                <w:color w:val="000000"/>
              </w:rPr>
              <w:t>=10</w:t>
            </w:r>
          </w:p>
        </w:tc>
      </w:tr>
      <w:tr w:rsidR="009B0CE2" w:rsidRPr="00C43B25" w:rsidTr="009B0CE2">
        <w:trPr>
          <w:trHeight w:val="285"/>
          <w:jc w:val="center"/>
        </w:trPr>
        <w:tc>
          <w:tcPr>
            <w:tcW w:w="3261" w:type="dxa"/>
            <w:tcBorders>
              <w:top w:val="nil"/>
              <w:left w:val="nil"/>
              <w:bottom w:val="nil"/>
              <w:right w:val="nil"/>
            </w:tcBorders>
            <w:shd w:val="clear" w:color="auto" w:fill="auto"/>
            <w:noWrap/>
            <w:vAlign w:val="bottom"/>
            <w:hideMark/>
          </w:tcPr>
          <w:p w:rsidR="009B0CE2" w:rsidRPr="00C43B25" w:rsidRDefault="009B0CE2" w:rsidP="00F8021F">
            <w:pPr>
              <w:rPr>
                <w:rFonts w:cs="Calibri"/>
                <w:color w:val="000000"/>
              </w:rPr>
            </w:pPr>
            <w:r w:rsidRPr="00C43B25">
              <w:rPr>
                <w:rFonts w:cs="Calibri"/>
                <w:color w:val="000000"/>
              </w:rPr>
              <w:t>Standardized Residuals</w:t>
            </w:r>
          </w:p>
        </w:tc>
        <w:tc>
          <w:tcPr>
            <w:tcW w:w="1275" w:type="dxa"/>
            <w:tcBorders>
              <w:top w:val="nil"/>
              <w:left w:val="nil"/>
              <w:bottom w:val="nil"/>
              <w:right w:val="nil"/>
            </w:tcBorders>
            <w:shd w:val="clear" w:color="auto" w:fill="auto"/>
            <w:noWrap/>
            <w:vAlign w:val="bottom"/>
            <w:hideMark/>
          </w:tcPr>
          <w:p w:rsidR="009B0CE2" w:rsidRPr="00C43B25" w:rsidRDefault="009B0CE2" w:rsidP="00F8021F">
            <w:pPr>
              <w:jc w:val="right"/>
              <w:rPr>
                <w:rFonts w:cs="Calibri"/>
                <w:color w:val="000000"/>
              </w:rPr>
            </w:pPr>
            <w:r w:rsidRPr="00C43B25">
              <w:rPr>
                <w:rFonts w:cs="Calibri"/>
                <w:color w:val="000000"/>
              </w:rPr>
              <w:t>0.0008</w:t>
            </w:r>
          </w:p>
        </w:tc>
        <w:tc>
          <w:tcPr>
            <w:tcW w:w="1418" w:type="dxa"/>
            <w:tcBorders>
              <w:top w:val="nil"/>
              <w:left w:val="nil"/>
              <w:bottom w:val="nil"/>
              <w:right w:val="nil"/>
            </w:tcBorders>
            <w:shd w:val="clear" w:color="auto" w:fill="auto"/>
            <w:noWrap/>
            <w:vAlign w:val="bottom"/>
            <w:hideMark/>
          </w:tcPr>
          <w:p w:rsidR="009B0CE2" w:rsidRPr="00C43B25" w:rsidRDefault="009B0CE2" w:rsidP="00F8021F">
            <w:pPr>
              <w:jc w:val="right"/>
              <w:rPr>
                <w:rFonts w:cs="Calibri"/>
                <w:color w:val="000000"/>
              </w:rPr>
            </w:pPr>
            <w:r w:rsidRPr="00C43B25">
              <w:rPr>
                <w:rFonts w:cs="Calibri"/>
                <w:color w:val="000000"/>
              </w:rPr>
              <w:t>0.0091</w:t>
            </w:r>
          </w:p>
        </w:tc>
      </w:tr>
      <w:tr w:rsidR="009B0CE2" w:rsidRPr="00C43B25" w:rsidTr="009B0CE2">
        <w:trPr>
          <w:trHeight w:val="285"/>
          <w:jc w:val="center"/>
        </w:trPr>
        <w:tc>
          <w:tcPr>
            <w:tcW w:w="3261" w:type="dxa"/>
            <w:tcBorders>
              <w:top w:val="nil"/>
              <w:left w:val="nil"/>
              <w:bottom w:val="single" w:sz="4" w:space="0" w:color="auto"/>
              <w:right w:val="nil"/>
            </w:tcBorders>
            <w:shd w:val="clear" w:color="auto" w:fill="auto"/>
            <w:noWrap/>
            <w:vAlign w:val="bottom"/>
            <w:hideMark/>
          </w:tcPr>
          <w:p w:rsidR="009B0CE2" w:rsidRPr="00C43B25" w:rsidRDefault="009B0CE2" w:rsidP="00F8021F">
            <w:pPr>
              <w:rPr>
                <w:rFonts w:cs="Calibri"/>
                <w:color w:val="000000"/>
              </w:rPr>
            </w:pPr>
            <w:r w:rsidRPr="00C43B25">
              <w:rPr>
                <w:rFonts w:cs="Calibri"/>
                <w:color w:val="000000"/>
              </w:rPr>
              <w:t>Squared Standardized Residuals</w:t>
            </w:r>
          </w:p>
        </w:tc>
        <w:tc>
          <w:tcPr>
            <w:tcW w:w="1275" w:type="dxa"/>
            <w:tcBorders>
              <w:top w:val="nil"/>
              <w:left w:val="nil"/>
              <w:bottom w:val="single" w:sz="4" w:space="0" w:color="auto"/>
              <w:right w:val="nil"/>
            </w:tcBorders>
            <w:shd w:val="clear" w:color="auto" w:fill="auto"/>
            <w:noWrap/>
            <w:vAlign w:val="bottom"/>
            <w:hideMark/>
          </w:tcPr>
          <w:p w:rsidR="009B0CE2" w:rsidRPr="00C43B25" w:rsidRDefault="009B0CE2" w:rsidP="00F8021F">
            <w:pPr>
              <w:jc w:val="right"/>
              <w:rPr>
                <w:rFonts w:cs="Calibri"/>
                <w:color w:val="000000"/>
              </w:rPr>
            </w:pPr>
            <w:r w:rsidRPr="00C43B25">
              <w:rPr>
                <w:rFonts w:cs="Calibri"/>
                <w:color w:val="000000"/>
              </w:rPr>
              <w:t>0.0007</w:t>
            </w:r>
          </w:p>
        </w:tc>
        <w:tc>
          <w:tcPr>
            <w:tcW w:w="1418" w:type="dxa"/>
            <w:tcBorders>
              <w:top w:val="nil"/>
              <w:left w:val="nil"/>
              <w:bottom w:val="single" w:sz="4" w:space="0" w:color="auto"/>
              <w:right w:val="nil"/>
            </w:tcBorders>
            <w:shd w:val="clear" w:color="auto" w:fill="auto"/>
            <w:noWrap/>
            <w:vAlign w:val="bottom"/>
            <w:hideMark/>
          </w:tcPr>
          <w:p w:rsidR="009B0CE2" w:rsidRPr="00C43B25" w:rsidRDefault="009B0CE2" w:rsidP="00F8021F">
            <w:pPr>
              <w:jc w:val="right"/>
              <w:rPr>
                <w:rFonts w:cs="Calibri"/>
                <w:color w:val="000000"/>
              </w:rPr>
            </w:pPr>
            <w:r w:rsidRPr="00C43B25">
              <w:rPr>
                <w:rFonts w:cs="Calibri"/>
                <w:color w:val="000000"/>
              </w:rPr>
              <w:t>0.0148</w:t>
            </w:r>
          </w:p>
        </w:tc>
      </w:tr>
    </w:tbl>
    <w:p w:rsidR="009B0CE2" w:rsidRDefault="009B0CE2" w:rsidP="009B0CE2">
      <w:pPr>
        <w:jc w:val="center"/>
      </w:pPr>
      <w:r w:rsidRPr="009B0CE2">
        <w:rPr>
          <w:b/>
        </w:rPr>
        <w:t>Table 8</w:t>
      </w:r>
      <w:r>
        <w:t>: LB test results on the standardized and squared standardized residuals</w:t>
      </w:r>
    </w:p>
    <w:p w:rsidR="009B0CE2" w:rsidRDefault="009B0CE2" w:rsidP="009B0CE2"/>
    <w:p w:rsidR="009B0CE2" w:rsidRDefault="009B0CE2" w:rsidP="009B0CE2">
      <w:r>
        <w:t>All the p-values in the test are smaller than 0.05, we therefore reject the null hypothesis of no autocorrelations in the standardised and squared standardised residuals, which confirms the conclusion that the mean and volatility equations are not well specified.</w:t>
      </w:r>
    </w:p>
    <w:p w:rsidR="009B0CE2" w:rsidRDefault="009B0CE2" w:rsidP="009B0CE2">
      <w:r>
        <w:t xml:space="preserve">The histogram of the transformed standardised residuals appears to be more fat-tailed than Gaussian distribution with many outliers. The </w:t>
      </w:r>
      <w:proofErr w:type="spellStart"/>
      <w:r>
        <w:t>qq</w:t>
      </w:r>
      <w:proofErr w:type="spellEnd"/>
      <w:r>
        <w:t>-plot of both tails severely departure from normality.</w:t>
      </w:r>
    </w:p>
    <w:p w:rsidR="009B0CE2" w:rsidRDefault="009B0CE2" w:rsidP="009B0CE2">
      <w:pPr>
        <w:jc w:val="center"/>
      </w:pPr>
      <w:r w:rsidRPr="00B10BB3">
        <w:rPr>
          <w:noProof/>
        </w:rPr>
        <w:drawing>
          <wp:inline distT="0" distB="0" distL="0" distR="0" wp14:anchorId="78EEB4E4" wp14:editId="789E8F67">
            <wp:extent cx="3375691" cy="2531668"/>
            <wp:effectExtent l="0" t="0" r="0" b="2540"/>
            <wp:docPr id="70" name="Picture 70" descr="C:\Users\macei\AppData\Local\Temp\WeChat Files\2534309194661646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macei\AppData\Local\Temp\WeChat Files\25343091946616467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78161" cy="2533520"/>
                    </a:xfrm>
                    <a:prstGeom prst="rect">
                      <a:avLst/>
                    </a:prstGeom>
                    <a:noFill/>
                    <a:ln>
                      <a:noFill/>
                    </a:ln>
                  </pic:spPr>
                </pic:pic>
              </a:graphicData>
            </a:graphic>
          </wp:inline>
        </w:drawing>
      </w:r>
    </w:p>
    <w:p w:rsidR="00F8021F" w:rsidRPr="009B0CE2" w:rsidRDefault="00F8021F" w:rsidP="00F8021F">
      <w:pPr>
        <w:jc w:val="center"/>
        <w:rPr>
          <w:b/>
        </w:rPr>
      </w:pPr>
      <w:r>
        <w:rPr>
          <w:b/>
        </w:rPr>
        <w:t>Figure 22</w:t>
      </w:r>
    </w:p>
    <w:p w:rsidR="00F8021F" w:rsidRDefault="00F8021F" w:rsidP="009B0CE2">
      <w:pPr>
        <w:jc w:val="center"/>
      </w:pPr>
    </w:p>
    <w:p w:rsidR="009B0CE2" w:rsidRDefault="009B0CE2" w:rsidP="009B0CE2">
      <w:r>
        <w:t>The p-value of the JB test is 0.0000, we therefore reject the null hypothesis of normal distribution of the transformed errors and can conclude that the assumption of normal errors is not appropriate for this asset and another distribution of the errors should be assumed.</w:t>
      </w:r>
    </w:p>
    <w:p w:rsidR="009B0CE2" w:rsidRPr="00A07751" w:rsidRDefault="009B0CE2" w:rsidP="009B0CE2">
      <w:r>
        <w:t xml:space="preserve">In summary, the model of IGARCH(1,1) does not capture the mean and volatility processes of the COKE returns. But since it is quite a powerful model in forecasting the volatility, we will leave it as one of the competitive models to forecast the volatility and see how it performs. </w:t>
      </w:r>
    </w:p>
    <w:p w:rsidR="009B0CE2" w:rsidRPr="009B0CE2" w:rsidRDefault="009B0CE2" w:rsidP="009B0CE2"/>
    <w:p w:rsidR="00FC35B9" w:rsidRDefault="009B0CE2" w:rsidP="00FC35B9">
      <w:pPr>
        <w:pStyle w:val="3"/>
        <w:numPr>
          <w:ilvl w:val="2"/>
          <w:numId w:val="1"/>
        </w:numPr>
        <w:rPr>
          <w:lang w:val="en-US"/>
        </w:rPr>
      </w:pPr>
      <w:r>
        <w:rPr>
          <w:lang w:val="en-US"/>
        </w:rPr>
        <w:t>Ad-hoc methods</w:t>
      </w:r>
    </w:p>
    <w:p w:rsidR="00F8021F" w:rsidRDefault="00F8021F" w:rsidP="00F8021F">
      <w:r>
        <w:t>We have two non-parametric models, which are Historical Simulation with data from the last 25 and 5 days (HS-25 and HS-5), the equation are:</w:t>
      </w:r>
    </w:p>
    <w:p w:rsidR="00F8021F" w:rsidRDefault="00F8021F" w:rsidP="00F8021F">
      <w:r>
        <w:t>for HS-25,</w:t>
      </w:r>
    </w:p>
    <w:p w:rsidR="00F8021F" w:rsidRPr="00E76181"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25</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25</m:t>
            </m:r>
          </m:sup>
          <m:e>
            <m:sSub>
              <m:sSubPr>
                <m:ctrlPr>
                  <w:rPr>
                    <w:rFonts w:ascii="Cambria Math" w:hAnsi="Cambria Math"/>
                    <w:i/>
                  </w:rPr>
                </m:ctrlPr>
              </m:sSubPr>
              <m:e>
                <m:r>
                  <w:rPr>
                    <w:rFonts w:ascii="Cambria Math" w:hAnsi="Cambria Math"/>
                  </w:rPr>
                  <m:t>r</m:t>
                </m:r>
              </m:e>
              <m:sub>
                <m:r>
                  <w:rPr>
                    <w:rFonts w:ascii="Cambria Math" w:hAnsi="Cambria Math"/>
                  </w:rPr>
                  <m:t>i-1</m:t>
                </m:r>
              </m:sub>
            </m:sSub>
          </m:e>
        </m:nary>
      </m:oMath>
      <w:r w:rsidR="00F8021F">
        <w:t xml:space="preserve">, </w:t>
      </w:r>
      <w:r w:rsidR="00F8021F">
        <w:tab/>
      </w: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25</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25-1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25</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25</m:t>
                    </m:r>
                  </m:sub>
                </m:sSub>
              </m:e>
            </m:acc>
            <m:r>
              <w:rPr>
                <w:rFonts w:ascii="Cambria Math" w:hAnsi="Cambria Math"/>
              </w:rPr>
              <m:t>)</m:t>
            </m:r>
          </m:e>
        </m:nary>
      </m:oMath>
    </w:p>
    <w:p w:rsidR="00F8021F" w:rsidRDefault="00F8021F" w:rsidP="00F8021F">
      <w:r>
        <w:t>for HS-5,</w:t>
      </w:r>
    </w:p>
    <w:p w:rsidR="00F8021F" w:rsidRPr="00E76181"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r</m:t>
                </m:r>
              </m:e>
              <m:sub>
                <m:r>
                  <w:rPr>
                    <w:rFonts w:ascii="Cambria Math" w:hAnsi="Cambria Math"/>
                  </w:rPr>
                  <m:t>i-1</m:t>
                </m:r>
              </m:sub>
            </m:sSub>
          </m:e>
        </m:nary>
      </m:oMath>
      <w:r w:rsidR="00F8021F">
        <w:t xml:space="preserve">, </w:t>
      </w:r>
      <w:r w:rsidR="00F8021F">
        <w:tab/>
      </w: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5</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5</m:t>
                    </m:r>
                  </m:sub>
                </m:sSub>
              </m:e>
            </m:acc>
            <m:r>
              <w:rPr>
                <w:rFonts w:ascii="Cambria Math" w:hAnsi="Cambria Math"/>
              </w:rPr>
              <m:t>)</m:t>
            </m:r>
          </m:e>
        </m:nary>
      </m:oMath>
    </w:p>
    <w:p w:rsidR="00F8021F" w:rsidRDefault="00F8021F" w:rsidP="00F8021F">
      <w:r>
        <w:t>We have two non-parametric models, which are Historical Simulation with data from the last 25 and 5 days (HS-25 and HS-5), the equation are:</w:t>
      </w:r>
    </w:p>
    <w:p w:rsidR="00F8021F" w:rsidRDefault="00F8021F" w:rsidP="00F8021F">
      <w:r>
        <w:t>for HS-25,</w:t>
      </w:r>
    </w:p>
    <w:p w:rsidR="00F8021F" w:rsidRPr="00E76181"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25</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25</m:t>
            </m:r>
          </m:sup>
          <m:e>
            <m:sSub>
              <m:sSubPr>
                <m:ctrlPr>
                  <w:rPr>
                    <w:rFonts w:ascii="Cambria Math" w:hAnsi="Cambria Math"/>
                    <w:i/>
                  </w:rPr>
                </m:ctrlPr>
              </m:sSubPr>
              <m:e>
                <m:r>
                  <w:rPr>
                    <w:rFonts w:ascii="Cambria Math" w:hAnsi="Cambria Math"/>
                  </w:rPr>
                  <m:t>r</m:t>
                </m:r>
              </m:e>
              <m:sub>
                <m:r>
                  <w:rPr>
                    <w:rFonts w:ascii="Cambria Math" w:hAnsi="Cambria Math"/>
                  </w:rPr>
                  <m:t>i-1</m:t>
                </m:r>
              </m:sub>
            </m:sSub>
          </m:e>
        </m:nary>
      </m:oMath>
      <w:r w:rsidR="00F8021F">
        <w:t xml:space="preserve">, </w:t>
      </w:r>
      <w:r w:rsidR="00F8021F">
        <w:tab/>
      </w: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25</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25-1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25</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25</m:t>
                    </m:r>
                  </m:sub>
                </m:sSub>
              </m:e>
            </m:acc>
            <m:r>
              <w:rPr>
                <w:rFonts w:ascii="Cambria Math" w:hAnsi="Cambria Math"/>
              </w:rPr>
              <m:t>)</m:t>
            </m:r>
          </m:e>
        </m:nary>
      </m:oMath>
    </w:p>
    <w:p w:rsidR="00F8021F" w:rsidRDefault="00F8021F" w:rsidP="00F8021F">
      <w:r>
        <w:t>for HS-5,</w:t>
      </w:r>
    </w:p>
    <w:p w:rsidR="009B0CE2" w:rsidRPr="00F8021F" w:rsidRDefault="006050C2" w:rsidP="009B0CE2">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sSub>
              <m:sSubPr>
                <m:ctrlPr>
                  <w:rPr>
                    <w:rFonts w:ascii="Cambria Math" w:hAnsi="Cambria Math"/>
                    <w:i/>
                  </w:rPr>
                </m:ctrlPr>
              </m:sSubPr>
              <m:e>
                <m:r>
                  <w:rPr>
                    <w:rFonts w:ascii="Cambria Math" w:hAnsi="Cambria Math"/>
                  </w:rPr>
                  <m:t>r</m:t>
                </m:r>
              </m:e>
              <m:sub>
                <m:r>
                  <w:rPr>
                    <w:rFonts w:ascii="Cambria Math" w:hAnsi="Cambria Math"/>
                  </w:rPr>
                  <m:t>i-1</m:t>
                </m:r>
              </m:sub>
            </m:sSub>
          </m:e>
        </m:nary>
      </m:oMath>
      <w:r w:rsidR="00F8021F">
        <w:t xml:space="preserve">, </w:t>
      </w:r>
      <w:r w:rsidR="00F8021F">
        <w:tab/>
      </w: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5</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5</m:t>
                    </m:r>
                  </m:sub>
                </m:sSub>
              </m:e>
            </m:acc>
            <m:r>
              <w:rPr>
                <w:rFonts w:ascii="Cambria Math" w:hAnsi="Cambria Math"/>
              </w:rPr>
              <m:t>)</m:t>
            </m:r>
          </m:e>
        </m:nary>
      </m:oMath>
    </w:p>
    <w:p w:rsidR="00F8021F" w:rsidRDefault="00F8021F" w:rsidP="009B0CE2">
      <w:pPr>
        <w:rPr>
          <w:lang w:val="en-US"/>
        </w:rPr>
      </w:pPr>
    </w:p>
    <w:p w:rsidR="00F8021F" w:rsidRDefault="00F8021F" w:rsidP="00F8021F">
      <w:pPr>
        <w:pStyle w:val="2"/>
        <w:numPr>
          <w:ilvl w:val="1"/>
          <w:numId w:val="1"/>
        </w:numPr>
        <w:rPr>
          <w:lang w:val="en-US"/>
        </w:rPr>
      </w:pPr>
      <w:r>
        <w:rPr>
          <w:lang w:val="en-US"/>
        </w:rPr>
        <w:t>Model Estimation for the Other Assets</w:t>
      </w:r>
    </w:p>
    <w:p w:rsidR="00F8021F" w:rsidRDefault="00F8021F" w:rsidP="00F8021F">
      <w:r>
        <w:t xml:space="preserve">The process of estimation and evaluation of the models for the other assets follows the same steps demonstrated above. The equations for the fitted models for each asset are shown below: </w:t>
      </w:r>
    </w:p>
    <w:p w:rsidR="00F8021F" w:rsidRDefault="00F8021F" w:rsidP="00F8021F"/>
    <w:tbl>
      <w:tblPr>
        <w:tblStyle w:val="aa"/>
        <w:tblW w:w="0" w:type="auto"/>
        <w:tblLook w:val="04A0" w:firstRow="1" w:lastRow="0" w:firstColumn="1" w:lastColumn="0" w:noHBand="0" w:noVBand="1"/>
      </w:tblPr>
      <w:tblGrid>
        <w:gridCol w:w="988"/>
        <w:gridCol w:w="7308"/>
      </w:tblGrid>
      <w:tr w:rsidR="00F8021F" w:rsidTr="00F8021F">
        <w:tc>
          <w:tcPr>
            <w:tcW w:w="988" w:type="dxa"/>
            <w:vMerge w:val="restart"/>
          </w:tcPr>
          <w:p w:rsidR="00F8021F" w:rsidRPr="00AC1ABF" w:rsidRDefault="00F8021F" w:rsidP="00F8021F">
            <w:pPr>
              <w:rPr>
                <w:b/>
              </w:rPr>
            </w:pPr>
            <w:r w:rsidRPr="00AC1ABF">
              <w:rPr>
                <w:b/>
              </w:rPr>
              <w:t>JNJ</w:t>
            </w:r>
          </w:p>
        </w:tc>
        <w:tc>
          <w:tcPr>
            <w:tcW w:w="7308" w:type="dxa"/>
          </w:tcPr>
          <w:p w:rsidR="00F8021F" w:rsidRPr="00AC1ABF" w:rsidRDefault="00F8021F" w:rsidP="00F8021F">
            <w:pPr>
              <w:rPr>
                <w:b/>
              </w:rPr>
            </w:pPr>
            <w:r w:rsidRPr="00AC1ABF">
              <w:rPr>
                <w:b/>
              </w:rPr>
              <w:t>AR(1)-GARCH(1,1)-t</w:t>
            </w:r>
          </w:p>
        </w:tc>
      </w:tr>
      <w:tr w:rsidR="00F8021F" w:rsidTr="00F8021F">
        <w:tc>
          <w:tcPr>
            <w:tcW w:w="988" w:type="dxa"/>
            <w:vMerge/>
          </w:tcPr>
          <w:p w:rsidR="00F8021F" w:rsidRDefault="00F8021F" w:rsidP="00F8021F"/>
        </w:tc>
        <w:tc>
          <w:tcPr>
            <w:tcW w:w="7308" w:type="dxa"/>
          </w:tcPr>
          <w:p w:rsidR="00F8021F" w:rsidRPr="008F1659"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=0.0461-0.0044</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rPr>
                <w:vanish/>
              </w:rPr>
              <w:t xml:space="preserve">, </w:t>
            </w:r>
            <w:r w:rsidR="00F8021F">
              <w:rPr>
                <w:vanish/>
              </w:rPr>
              <w:tab/>
              <w:t>719    assets. o have t-distribution so as to better capture the volatility process the ption on the g ARCH effects in PTR an</w:t>
            </w:r>
            <w:r w:rsidR="00F8021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5.78</m:t>
                  </m:r>
                </m:sub>
              </m:sSub>
              <m:r>
                <w:rPr>
                  <w:rFonts w:ascii="Cambria Math" w:hAnsi="Cambria Math"/>
                </w:rPr>
                <m:t>(0,1)</m:t>
              </m:r>
            </m:oMath>
          </w:p>
          <w:p w:rsidR="00F8021F" w:rsidRPr="00522AEE" w:rsidRDefault="00F8021F" w:rsidP="00F8021F">
            <w:r w:rsidRPr="00522AEE">
              <w:t xml:space="preserve">       </w:t>
            </w:r>
            <w:r>
              <w:t xml:space="preserve">  (0.0142)   (0.0213</w:t>
            </w:r>
            <w:r w:rsidRPr="00522AEE">
              <w:t>)</w:t>
            </w:r>
            <w:r w:rsidRPr="00D95CA2">
              <w:t xml:space="preserve">     </w:t>
            </w:r>
          </w:p>
          <w:p w:rsidR="00F8021F" w:rsidRPr="00522AEE" w:rsidRDefault="006050C2" w:rsidP="00F8021F">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hint="eastAsia"/>
                  </w:rPr>
                  <m:t>0.0401+</m:t>
                </m:r>
                <m:r>
                  <w:rPr>
                    <w:rFonts w:ascii="Cambria Math" w:hAnsi="Cambria Math"/>
                  </w:rPr>
                  <m:t>0.1397</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+0.8203</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F8021F" w:rsidRPr="00923FB9" w:rsidRDefault="00F8021F" w:rsidP="00F8021F">
            <w:r>
              <w:t xml:space="preserve">          (0.0091)    (0.0202</w:t>
            </w:r>
            <w:r w:rsidRPr="00522AEE">
              <w:t xml:space="preserve">)  </w:t>
            </w:r>
            <w:r>
              <w:t xml:space="preserve">          (0.0231</w:t>
            </w:r>
            <w:r w:rsidRPr="00522AEE">
              <w:t>)</w:t>
            </w:r>
          </w:p>
        </w:tc>
      </w:tr>
      <w:tr w:rsidR="00F8021F" w:rsidTr="00F8021F">
        <w:tc>
          <w:tcPr>
            <w:tcW w:w="988" w:type="dxa"/>
            <w:vMerge/>
          </w:tcPr>
          <w:p w:rsidR="00F8021F" w:rsidRDefault="00F8021F" w:rsidP="00F8021F"/>
        </w:tc>
        <w:tc>
          <w:tcPr>
            <w:tcW w:w="7308" w:type="dxa"/>
          </w:tcPr>
          <w:p w:rsidR="00F8021F" w:rsidRPr="00AC1ABF" w:rsidRDefault="00F8021F" w:rsidP="00F8021F">
            <w:pPr>
              <w:rPr>
                <w:b/>
              </w:rPr>
            </w:pPr>
            <w:r w:rsidRPr="00AC1ABF">
              <w:rPr>
                <w:b/>
              </w:rPr>
              <w:t>AR(1)-GJR-GARCH(1,1)-t</w:t>
            </w:r>
          </w:p>
        </w:tc>
      </w:tr>
      <w:tr w:rsidR="00F8021F" w:rsidTr="00F8021F">
        <w:tc>
          <w:tcPr>
            <w:tcW w:w="988" w:type="dxa"/>
            <w:vMerge/>
          </w:tcPr>
          <w:p w:rsidR="00F8021F" w:rsidRDefault="00F8021F" w:rsidP="00F8021F"/>
        </w:tc>
        <w:tc>
          <w:tcPr>
            <w:tcW w:w="7308" w:type="dxa"/>
          </w:tcPr>
          <w:p w:rsidR="00F8021F" w:rsidRPr="008F1659"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=0.0319-0.0090</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6.27</m:t>
                  </m:r>
                </m:sub>
              </m:sSub>
              <m:r>
                <w:rPr>
                  <w:rFonts w:ascii="Cambria Math" w:hAnsi="Cambria Math"/>
                </w:rPr>
                <m:t>(0,1)</m:t>
              </m:r>
            </m:oMath>
          </w:p>
          <w:p w:rsidR="00F8021F" w:rsidRPr="00522AEE" w:rsidRDefault="00F8021F" w:rsidP="00F8021F">
            <w:r>
              <w:t xml:space="preserve">        (0.0145)    (0.0209)</w:t>
            </w:r>
          </w:p>
          <w:p w:rsidR="00F8021F" w:rsidRPr="00522AEE" w:rsidRDefault="006050C2" w:rsidP="00F8021F">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hint="eastAsia"/>
                  </w:rPr>
                  <m:t>0.0413+</m:t>
                </m:r>
                <m:d>
                  <m:dPr>
                    <m:ctrlPr>
                      <w:rPr>
                        <w:rFonts w:ascii="Cambria Math" w:hAnsi="Cambria Math"/>
                        <w:i/>
                      </w:rPr>
                    </m:ctrlPr>
                  </m:dPr>
                  <m:e>
                    <m:r>
                      <w:rPr>
                        <w:rFonts w:ascii="Cambria Math" w:hAnsi="Cambria Math"/>
                      </w:rPr>
                      <m:t>0.0402+0.1903</m:t>
                    </m:r>
                    <m:sSub>
                      <m:sSubPr>
                        <m:ctrlPr>
                          <w:rPr>
                            <w:rFonts w:ascii="Cambria Math" w:hAnsi="Cambria Math"/>
                            <w:i/>
                          </w:rPr>
                        </m:ctrlPr>
                      </m:sSubPr>
                      <m:e>
                        <m:r>
                          <w:rPr>
                            <w:rFonts w:ascii="Cambria Math" w:hAnsi="Cambria Math"/>
                          </w:rPr>
                          <m:t>I</m:t>
                        </m:r>
                      </m:e>
                      <m:sub>
                        <m:r>
                          <w:rPr>
                            <w:rFonts w:ascii="Cambria Math" w:hAnsi="Cambria Math"/>
                          </w:rPr>
                          <m:t>t-1</m:t>
                        </m:r>
                      </m:sub>
                    </m:sSub>
                  </m:e>
                </m:d>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+0.8256</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F8021F" w:rsidRPr="008F1659" w:rsidRDefault="00F8021F" w:rsidP="00F8021F">
            <w:r>
              <w:t xml:space="preserve">           (0.0082)    (0.0156)    (0.0346)                     (0.0211)</w:t>
            </w:r>
          </w:p>
        </w:tc>
      </w:tr>
      <w:tr w:rsidR="00F8021F" w:rsidTr="00F8021F">
        <w:tc>
          <w:tcPr>
            <w:tcW w:w="988" w:type="dxa"/>
            <w:vMerge/>
          </w:tcPr>
          <w:p w:rsidR="00F8021F" w:rsidRDefault="00F8021F" w:rsidP="00F8021F"/>
        </w:tc>
        <w:tc>
          <w:tcPr>
            <w:tcW w:w="7308" w:type="dxa"/>
          </w:tcPr>
          <w:p w:rsidR="00F8021F" w:rsidRPr="00AC1ABF" w:rsidRDefault="00F8021F" w:rsidP="00F8021F">
            <w:pPr>
              <w:rPr>
                <w:b/>
              </w:rPr>
            </w:pPr>
            <w:r w:rsidRPr="00AC1ABF">
              <w:rPr>
                <w:b/>
              </w:rPr>
              <w:t>IGARCH(1,1)</w:t>
            </w:r>
          </w:p>
        </w:tc>
      </w:tr>
      <w:tr w:rsidR="00F8021F" w:rsidTr="00F8021F">
        <w:tc>
          <w:tcPr>
            <w:tcW w:w="988" w:type="dxa"/>
            <w:vMerge/>
          </w:tcPr>
          <w:p w:rsidR="00F8021F" w:rsidRDefault="00F8021F" w:rsidP="00F8021F"/>
        </w:tc>
        <w:tc>
          <w:tcPr>
            <w:tcW w:w="7308" w:type="dxa"/>
          </w:tcPr>
          <w:p w:rsidR="00F8021F" w:rsidRPr="00991698"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w:t>
            </w:r>
            <w:r w:rsidR="00F8021F">
              <w:tab/>
            </w:r>
            <w:r w:rsidR="00F8021F">
              <w:tab/>
              <w:t xml:space="preserve">where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oMath>
          </w:p>
          <w:p w:rsidR="00F8021F" w:rsidRPr="008F1659" w:rsidRDefault="006050C2" w:rsidP="00F8021F">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=0.0763</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+0.9237</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oMath>
            </m:oMathPara>
          </w:p>
        </w:tc>
      </w:tr>
      <w:tr w:rsidR="00F8021F" w:rsidTr="00F8021F">
        <w:tc>
          <w:tcPr>
            <w:tcW w:w="988" w:type="dxa"/>
            <w:vMerge w:val="restart"/>
          </w:tcPr>
          <w:p w:rsidR="00F8021F" w:rsidRPr="00AC1ABF" w:rsidRDefault="00F8021F" w:rsidP="00F8021F">
            <w:pPr>
              <w:rPr>
                <w:b/>
              </w:rPr>
            </w:pPr>
            <w:r w:rsidRPr="00AC1ABF">
              <w:rPr>
                <w:b/>
              </w:rPr>
              <w:t>PTR</w:t>
            </w:r>
          </w:p>
        </w:tc>
        <w:tc>
          <w:tcPr>
            <w:tcW w:w="7308" w:type="dxa"/>
          </w:tcPr>
          <w:p w:rsidR="00F8021F" w:rsidRPr="00AC1ABF" w:rsidRDefault="00F8021F" w:rsidP="00F8021F">
            <w:pPr>
              <w:rPr>
                <w:b/>
              </w:rPr>
            </w:pPr>
            <w:r w:rsidRPr="00AC1ABF">
              <w:rPr>
                <w:b/>
              </w:rPr>
              <w:t>AR(1)-GARCH(2,2)-t</w:t>
            </w:r>
          </w:p>
        </w:tc>
      </w:tr>
      <w:tr w:rsidR="00F8021F" w:rsidTr="00F8021F">
        <w:tc>
          <w:tcPr>
            <w:tcW w:w="988" w:type="dxa"/>
            <w:vMerge/>
          </w:tcPr>
          <w:p w:rsidR="00F8021F" w:rsidRDefault="00F8021F" w:rsidP="00F8021F"/>
        </w:tc>
        <w:tc>
          <w:tcPr>
            <w:tcW w:w="7308" w:type="dxa"/>
          </w:tcPr>
          <w:p w:rsidR="00F8021F" w:rsidRPr="008F1659"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
                <m:rPr>
                  <m:sty m:val="p"/>
                </m:rPr>
                <w:rPr>
                  <w:rFonts w:ascii="Cambria Math" w:hAnsi="Cambria Math"/>
                </w:rPr>
                <m:t>0.1369</m:t>
              </m:r>
              <m:r>
                <w:rPr>
                  <w:rFonts w:ascii="Cambria Math" w:hAnsi="Cambria Math"/>
                </w:rPr>
                <m:t>+</m:t>
              </m:r>
              <m:r>
                <m:rPr>
                  <m:sty m:val="p"/>
                </m:rPr>
                <w:rPr>
                  <w:rFonts w:ascii="Cambria Math" w:hAnsi="Cambria Math"/>
                </w:rPr>
                <m:t>0.1146</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8.04</m:t>
                  </m:r>
                </m:sub>
              </m:sSub>
              <m:r>
                <w:rPr>
                  <w:rFonts w:ascii="Cambria Math" w:hAnsi="Cambria Math"/>
                </w:rPr>
                <m:t>(0,1)</m:t>
              </m:r>
            </m:oMath>
          </w:p>
          <w:p w:rsidR="00F8021F" w:rsidRPr="00A32A65" w:rsidRDefault="00F8021F" w:rsidP="00F8021F">
            <w:r w:rsidRPr="00A32A65">
              <w:t xml:space="preserve">         </w:t>
            </w:r>
            <w:r>
              <w:t>(</w:t>
            </w:r>
            <w:r w:rsidRPr="007B7090">
              <w:t>0.0602</w:t>
            </w:r>
            <w:r>
              <w:t xml:space="preserve">) </w:t>
            </w:r>
            <w:r w:rsidRPr="00A32A65">
              <w:t xml:space="preserve"> </w:t>
            </w:r>
            <w:r>
              <w:t xml:space="preserve">(0.2231)  </w:t>
            </w:r>
          </w:p>
          <w:p w:rsidR="00F8021F" w:rsidRPr="00A32A65" w:rsidRDefault="006050C2" w:rsidP="00F8021F">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hint="eastAsia"/>
                  </w:rPr>
                  <m:t>0.1180+</m:t>
                </m:r>
                <m:r>
                  <w:rPr>
                    <w:rFonts w:ascii="Cambria Math" w:hAnsi="Cambria Math"/>
                  </w:rPr>
                  <m:t>0.1078</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+0.7873</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F8021F" w:rsidRPr="008F1659" w:rsidRDefault="00F8021F" w:rsidP="00F8021F">
            <w:r>
              <w:t xml:space="preserve">          (0.0357)    (0.01764</w:t>
            </w:r>
            <w:r w:rsidRPr="00A32A65">
              <w:t>)</w:t>
            </w:r>
            <w:r>
              <w:t xml:space="preserve">          (0.0620)</w:t>
            </w:r>
          </w:p>
        </w:tc>
      </w:tr>
      <w:tr w:rsidR="00F8021F" w:rsidTr="00F8021F">
        <w:tc>
          <w:tcPr>
            <w:tcW w:w="988" w:type="dxa"/>
            <w:vMerge/>
          </w:tcPr>
          <w:p w:rsidR="00F8021F" w:rsidRDefault="00F8021F" w:rsidP="00F8021F"/>
        </w:tc>
        <w:tc>
          <w:tcPr>
            <w:tcW w:w="7308" w:type="dxa"/>
          </w:tcPr>
          <w:p w:rsidR="00F8021F" w:rsidRPr="00AC1ABF" w:rsidRDefault="00F8021F" w:rsidP="00F8021F">
            <w:pPr>
              <w:rPr>
                <w:rFonts w:eastAsia="DengXian" w:cs="Arial"/>
                <w:b/>
              </w:rPr>
            </w:pPr>
            <w:r w:rsidRPr="00AC1ABF">
              <w:rPr>
                <w:b/>
              </w:rPr>
              <w:t>AR(1)-GJR-GARCH(1,1)-t</w:t>
            </w:r>
          </w:p>
        </w:tc>
      </w:tr>
      <w:tr w:rsidR="00F8021F" w:rsidTr="00F8021F">
        <w:tc>
          <w:tcPr>
            <w:tcW w:w="988" w:type="dxa"/>
            <w:vMerge/>
          </w:tcPr>
          <w:p w:rsidR="00F8021F" w:rsidRDefault="00F8021F" w:rsidP="00F8021F"/>
        </w:tc>
        <w:tc>
          <w:tcPr>
            <w:tcW w:w="7308" w:type="dxa"/>
          </w:tcPr>
          <w:p w:rsidR="00F8021F" w:rsidRPr="008F1659"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
                <m:rPr>
                  <m:sty m:val="p"/>
                </m:rPr>
                <w:rPr>
                  <w:rFonts w:ascii="Cambria Math" w:hAnsi="Cambria Math"/>
                </w:rPr>
                <m:t>0.0809</m:t>
              </m:r>
              <m:r>
                <w:rPr>
                  <w:rFonts w:ascii="Cambria Math" w:hAnsi="Cambria Math"/>
                </w:rPr>
                <m:t>-0.0309</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7.53</m:t>
                  </m:r>
                </m:sub>
              </m:sSub>
              <m:r>
                <w:rPr>
                  <w:rFonts w:ascii="Cambria Math" w:hAnsi="Cambria Math"/>
                </w:rPr>
                <m:t>(0,1)</m:t>
              </m:r>
            </m:oMath>
          </w:p>
          <w:p w:rsidR="00F8021F" w:rsidRDefault="00F8021F" w:rsidP="00F8021F">
            <w:r>
              <w:t xml:space="preserve">         (0.0343)    (0.0208</w:t>
            </w:r>
            <w:r w:rsidRPr="008D207D">
              <w:t xml:space="preserve">)   </w:t>
            </w:r>
          </w:p>
          <w:p w:rsidR="00F8021F" w:rsidRPr="00522AEE" w:rsidRDefault="006050C2" w:rsidP="00F8021F">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=0.0621</m:t>
                </m:r>
                <m:r>
                  <w:rPr>
                    <w:rFonts w:ascii="Cambria Math" w:hAnsi="Cambria Math" w:hint="eastAsia"/>
                  </w:rPr>
                  <m:t>+</m:t>
                </m:r>
                <m:d>
                  <m:dPr>
                    <m:ctrlPr>
                      <w:rPr>
                        <w:rFonts w:ascii="Cambria Math" w:hAnsi="Cambria Math"/>
                        <w:i/>
                      </w:rPr>
                    </m:ctrlPr>
                  </m:dPr>
                  <m:e>
                    <m:r>
                      <w:rPr>
                        <w:rFonts w:ascii="Cambria Math" w:hAnsi="Cambria Math"/>
                      </w:rPr>
                      <m:t>0.0609+0.0266</m:t>
                    </m:r>
                    <m:sSub>
                      <m:sSubPr>
                        <m:ctrlPr>
                          <w:rPr>
                            <w:rFonts w:ascii="Cambria Math" w:hAnsi="Cambria Math"/>
                            <w:i/>
                          </w:rPr>
                        </m:ctrlPr>
                      </m:sSubPr>
                      <m:e>
                        <m:r>
                          <w:rPr>
                            <w:rFonts w:ascii="Cambria Math" w:hAnsi="Cambria Math"/>
                          </w:rPr>
                          <m:t>I</m:t>
                        </m:r>
                      </m:e>
                      <m:sub>
                        <m:r>
                          <w:rPr>
                            <w:rFonts w:ascii="Cambria Math" w:hAnsi="Cambria Math"/>
                          </w:rPr>
                          <m:t>t-1</m:t>
                        </m:r>
                      </m:sub>
                    </m:sSub>
                  </m:e>
                </m:d>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+0.9137</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F8021F" w:rsidRPr="008F1659" w:rsidRDefault="00F8021F" w:rsidP="00F8021F">
            <w:r>
              <w:t xml:space="preserve">          (0.0187)     (0.0129)    (0.0159)                     (0.0122)</w:t>
            </w:r>
          </w:p>
        </w:tc>
      </w:tr>
      <w:tr w:rsidR="00F8021F" w:rsidTr="00F8021F">
        <w:tc>
          <w:tcPr>
            <w:tcW w:w="988" w:type="dxa"/>
            <w:vMerge/>
          </w:tcPr>
          <w:p w:rsidR="00F8021F" w:rsidRDefault="00F8021F" w:rsidP="00F8021F"/>
        </w:tc>
        <w:tc>
          <w:tcPr>
            <w:tcW w:w="7308" w:type="dxa"/>
          </w:tcPr>
          <w:p w:rsidR="00F8021F" w:rsidRPr="00AC1ABF" w:rsidRDefault="00F8021F" w:rsidP="00F8021F">
            <w:pPr>
              <w:rPr>
                <w:rFonts w:eastAsia="DengXian" w:cs="Arial"/>
                <w:b/>
              </w:rPr>
            </w:pPr>
            <w:r w:rsidRPr="00AC1ABF">
              <w:rPr>
                <w:b/>
              </w:rPr>
              <w:t>IGARCH(1,1)</w:t>
            </w:r>
          </w:p>
        </w:tc>
      </w:tr>
      <w:tr w:rsidR="00F8021F" w:rsidTr="00F8021F">
        <w:tc>
          <w:tcPr>
            <w:tcW w:w="988" w:type="dxa"/>
            <w:vMerge/>
          </w:tcPr>
          <w:p w:rsidR="00F8021F" w:rsidRDefault="00F8021F" w:rsidP="00F8021F"/>
        </w:tc>
        <w:tc>
          <w:tcPr>
            <w:tcW w:w="7308" w:type="dxa"/>
          </w:tcPr>
          <w:p w:rsidR="00F8021F" w:rsidRPr="00D22AF2"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w:t>
            </w:r>
            <w:r w:rsidR="00F8021F">
              <w:tab/>
            </w:r>
            <w:r w:rsidR="00F8021F">
              <w:tab/>
              <w:t xml:space="preserve">where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oMath>
          </w:p>
          <w:p w:rsidR="00F8021F" w:rsidRPr="008F1659" w:rsidRDefault="006050C2" w:rsidP="00F8021F">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=0.0544</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+0.9456</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oMath>
            <w:r w:rsidR="00F8021F">
              <w:t xml:space="preserve"> </w:t>
            </w:r>
          </w:p>
        </w:tc>
      </w:tr>
      <w:tr w:rsidR="00F8021F" w:rsidTr="00F8021F">
        <w:tc>
          <w:tcPr>
            <w:tcW w:w="988" w:type="dxa"/>
            <w:vMerge w:val="restart"/>
          </w:tcPr>
          <w:p w:rsidR="00F8021F" w:rsidRPr="00AC1ABF" w:rsidRDefault="00F8021F" w:rsidP="00F8021F">
            <w:pPr>
              <w:rPr>
                <w:b/>
              </w:rPr>
            </w:pPr>
            <w:r w:rsidRPr="00AC1ABF">
              <w:rPr>
                <w:b/>
              </w:rPr>
              <w:t>MMM</w:t>
            </w:r>
          </w:p>
        </w:tc>
        <w:tc>
          <w:tcPr>
            <w:tcW w:w="7308" w:type="dxa"/>
          </w:tcPr>
          <w:p w:rsidR="00F8021F" w:rsidRPr="00AC1ABF" w:rsidRDefault="00F8021F" w:rsidP="00F8021F">
            <w:pPr>
              <w:rPr>
                <w:b/>
              </w:rPr>
            </w:pPr>
            <w:r w:rsidRPr="00AC1ABF">
              <w:rPr>
                <w:b/>
              </w:rPr>
              <w:t>AR(1)-GARCH(1,1)-t</w:t>
            </w:r>
          </w:p>
        </w:tc>
      </w:tr>
      <w:tr w:rsidR="00F8021F" w:rsidTr="00F8021F">
        <w:tc>
          <w:tcPr>
            <w:tcW w:w="988" w:type="dxa"/>
            <w:vMerge/>
          </w:tcPr>
          <w:p w:rsidR="00F8021F" w:rsidRDefault="00F8021F" w:rsidP="00F8021F"/>
        </w:tc>
        <w:tc>
          <w:tcPr>
            <w:tcW w:w="7308" w:type="dxa"/>
          </w:tcPr>
          <w:p w:rsidR="00F8021F" w:rsidRPr="008F1659"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=0.0827-0.0281</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4.41</m:t>
                  </m:r>
                </m:sub>
              </m:sSub>
              <m:r>
                <w:rPr>
                  <w:rFonts w:ascii="Cambria Math" w:hAnsi="Cambria Math"/>
                </w:rPr>
                <m:t>(0,1)</m:t>
              </m:r>
            </m:oMath>
          </w:p>
          <w:p w:rsidR="00F8021F" w:rsidRPr="00522AEE" w:rsidRDefault="00F8021F" w:rsidP="00F8021F">
            <w:r w:rsidRPr="00522AEE">
              <w:t xml:space="preserve">       </w:t>
            </w:r>
            <w:r>
              <w:t xml:space="preserve">  (0.0193)    (0.0192</w:t>
            </w:r>
            <w:r w:rsidRPr="00522AEE">
              <w:t>)</w:t>
            </w:r>
            <w:r w:rsidRPr="00D95CA2">
              <w:t xml:space="preserve">     </w:t>
            </w:r>
          </w:p>
          <w:p w:rsidR="00F8021F" w:rsidRPr="00522AEE" w:rsidRDefault="006050C2" w:rsidP="00F8021F">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hint="eastAsia"/>
                  </w:rPr>
                  <m:t>0.0246+</m:t>
                </m:r>
                <m:r>
                  <w:rPr>
                    <w:rFonts w:ascii="Cambria Math" w:hAnsi="Cambria Math"/>
                  </w:rPr>
                  <m:t>0.0673</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+0.9219</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F8021F" w:rsidRPr="008F1659" w:rsidRDefault="00F8021F" w:rsidP="00F8021F">
            <w:r>
              <w:t xml:space="preserve">          (0.0079)    (0.0113</w:t>
            </w:r>
            <w:r w:rsidRPr="00522AEE">
              <w:t xml:space="preserve">)  </w:t>
            </w:r>
            <w:r>
              <w:t xml:space="preserve">           (0.0122</w:t>
            </w:r>
            <w:r w:rsidRPr="00522AEE">
              <w:t>)</w:t>
            </w:r>
          </w:p>
        </w:tc>
      </w:tr>
      <w:tr w:rsidR="00F8021F" w:rsidTr="00F8021F">
        <w:tc>
          <w:tcPr>
            <w:tcW w:w="988" w:type="dxa"/>
            <w:vMerge/>
          </w:tcPr>
          <w:p w:rsidR="00F8021F" w:rsidRDefault="00F8021F" w:rsidP="00F8021F"/>
        </w:tc>
        <w:tc>
          <w:tcPr>
            <w:tcW w:w="7308" w:type="dxa"/>
          </w:tcPr>
          <w:p w:rsidR="00F8021F" w:rsidRPr="00AC1ABF" w:rsidRDefault="00F8021F" w:rsidP="00F8021F">
            <w:pPr>
              <w:rPr>
                <w:b/>
              </w:rPr>
            </w:pPr>
            <w:r w:rsidRPr="00AC1ABF">
              <w:rPr>
                <w:b/>
              </w:rPr>
              <w:t>AR(1)-GJR-GARCH(1,1)-t</w:t>
            </w:r>
          </w:p>
        </w:tc>
      </w:tr>
      <w:tr w:rsidR="00F8021F" w:rsidTr="00F8021F">
        <w:tc>
          <w:tcPr>
            <w:tcW w:w="988" w:type="dxa"/>
            <w:vMerge/>
          </w:tcPr>
          <w:p w:rsidR="00F8021F" w:rsidRDefault="00F8021F" w:rsidP="00F8021F"/>
        </w:tc>
        <w:tc>
          <w:tcPr>
            <w:tcW w:w="7308" w:type="dxa"/>
          </w:tcPr>
          <w:p w:rsidR="00F8021F" w:rsidRPr="008F1659"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
                <m:rPr>
                  <m:sty m:val="p"/>
                </m:rPr>
                <w:rPr>
                  <w:rFonts w:ascii="Cambria Math" w:hAnsi="Cambria Math"/>
                </w:rPr>
                <m:t>0.0753</m:t>
              </m:r>
              <m:r>
                <w:rPr>
                  <w:rFonts w:ascii="Cambria Math" w:hAnsi="Cambria Math"/>
                </w:rPr>
                <m:t>-0.0301</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4.59</m:t>
                  </m:r>
                </m:sub>
              </m:sSub>
              <m:r>
                <w:rPr>
                  <w:rFonts w:ascii="Cambria Math" w:hAnsi="Cambria Math"/>
                </w:rPr>
                <m:t>(0,1)</m:t>
              </m:r>
            </m:oMath>
          </w:p>
          <w:p w:rsidR="00F8021F" w:rsidRPr="008F1659" w:rsidRDefault="00F8021F" w:rsidP="00F8021F">
            <w:r>
              <w:t xml:space="preserve">         </w:t>
            </w:r>
            <w:r w:rsidRPr="008D207D">
              <w:t xml:space="preserve">(0.0194) </w:t>
            </w:r>
            <w:r>
              <w:t xml:space="preserve">  </w:t>
            </w:r>
            <w:r w:rsidRPr="008D207D">
              <w:t xml:space="preserve">(0.0195)   </w:t>
            </w:r>
          </w:p>
          <w:p w:rsidR="00F8021F" w:rsidRPr="00522AEE" w:rsidRDefault="006050C2" w:rsidP="00F8021F">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hint="eastAsia"/>
                  </w:rPr>
                  <m:t>0.0312+</m:t>
                </m:r>
                <m:d>
                  <m:dPr>
                    <m:ctrlPr>
                      <w:rPr>
                        <w:rFonts w:ascii="Cambria Math" w:hAnsi="Cambria Math"/>
                        <w:i/>
                      </w:rPr>
                    </m:ctrlPr>
                  </m:dPr>
                  <m:e>
                    <m:r>
                      <w:rPr>
                        <w:rFonts w:ascii="Cambria Math" w:hAnsi="Cambria Math"/>
                      </w:rPr>
                      <m:t>0.0314+0.0750</m:t>
                    </m:r>
                    <m:sSub>
                      <m:sSubPr>
                        <m:ctrlPr>
                          <w:rPr>
                            <w:rFonts w:ascii="Cambria Math" w:hAnsi="Cambria Math"/>
                            <w:i/>
                          </w:rPr>
                        </m:ctrlPr>
                      </m:sSubPr>
                      <m:e>
                        <m:r>
                          <w:rPr>
                            <w:rFonts w:ascii="Cambria Math" w:hAnsi="Cambria Math"/>
                          </w:rPr>
                          <m:t>I</m:t>
                        </m:r>
                      </m:e>
                      <m:sub>
                        <m:r>
                          <w:rPr>
                            <w:rFonts w:ascii="Cambria Math" w:hAnsi="Cambria Math"/>
                          </w:rPr>
                          <m:t>t-1</m:t>
                        </m:r>
                      </m:sub>
                    </m:sSub>
                  </m:e>
                </m:d>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+0.9132</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F8021F" w:rsidRPr="008F1659" w:rsidRDefault="00F8021F" w:rsidP="00F8021F">
            <w:r>
              <w:t xml:space="preserve">          (0.0084)    (0.0141)     (0.0200)                     (0.0131)</w:t>
            </w:r>
          </w:p>
        </w:tc>
      </w:tr>
      <w:tr w:rsidR="00F8021F" w:rsidTr="00F8021F">
        <w:tc>
          <w:tcPr>
            <w:tcW w:w="988" w:type="dxa"/>
            <w:vMerge/>
          </w:tcPr>
          <w:p w:rsidR="00F8021F" w:rsidRDefault="00F8021F" w:rsidP="00F8021F"/>
        </w:tc>
        <w:tc>
          <w:tcPr>
            <w:tcW w:w="7308" w:type="dxa"/>
          </w:tcPr>
          <w:p w:rsidR="00F8021F" w:rsidRPr="00AC1ABF" w:rsidRDefault="00F8021F" w:rsidP="00F8021F">
            <w:pPr>
              <w:rPr>
                <w:b/>
              </w:rPr>
            </w:pPr>
            <w:r w:rsidRPr="00AC1ABF">
              <w:rPr>
                <w:b/>
              </w:rPr>
              <w:t>IGARCH(1,1)</w:t>
            </w:r>
          </w:p>
        </w:tc>
      </w:tr>
      <w:tr w:rsidR="00F8021F" w:rsidTr="00F8021F">
        <w:tc>
          <w:tcPr>
            <w:tcW w:w="988" w:type="dxa"/>
            <w:vMerge/>
          </w:tcPr>
          <w:p w:rsidR="00F8021F" w:rsidRDefault="00F8021F" w:rsidP="00F8021F"/>
        </w:tc>
        <w:tc>
          <w:tcPr>
            <w:tcW w:w="7308" w:type="dxa"/>
          </w:tcPr>
          <w:p w:rsidR="00F8021F" w:rsidRPr="00D22AF2" w:rsidRDefault="006050C2" w:rsidP="00F8021F">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m:oMathPara>
          </w:p>
          <w:p w:rsidR="00F8021F" w:rsidRPr="0061386B" w:rsidRDefault="006050C2" w:rsidP="00F8021F">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=0.0325</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+0.9675</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oMath>
            <w:r w:rsidR="00F8021F">
              <w:t xml:space="preserve"> ,where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oMath>
          </w:p>
        </w:tc>
      </w:tr>
      <w:tr w:rsidR="00F8021F" w:rsidTr="00F8021F">
        <w:tc>
          <w:tcPr>
            <w:tcW w:w="988" w:type="dxa"/>
            <w:vMerge w:val="restart"/>
          </w:tcPr>
          <w:p w:rsidR="00F8021F" w:rsidRPr="00AC1ABF" w:rsidRDefault="00F8021F" w:rsidP="00F8021F">
            <w:pPr>
              <w:rPr>
                <w:b/>
              </w:rPr>
            </w:pPr>
            <w:r w:rsidRPr="00AC1ABF">
              <w:rPr>
                <w:b/>
              </w:rPr>
              <w:t>MSFT</w:t>
            </w:r>
          </w:p>
        </w:tc>
        <w:tc>
          <w:tcPr>
            <w:tcW w:w="7308" w:type="dxa"/>
          </w:tcPr>
          <w:p w:rsidR="00F8021F" w:rsidRPr="00AC1ABF" w:rsidRDefault="00F8021F" w:rsidP="00F8021F">
            <w:pPr>
              <w:rPr>
                <w:b/>
              </w:rPr>
            </w:pPr>
            <w:r w:rsidRPr="00AC1ABF">
              <w:rPr>
                <w:b/>
              </w:rPr>
              <w:t>AR(1)-GARCH(1,1)-t</w:t>
            </w:r>
          </w:p>
        </w:tc>
      </w:tr>
      <w:tr w:rsidR="00F8021F" w:rsidTr="00F8021F">
        <w:tc>
          <w:tcPr>
            <w:tcW w:w="988" w:type="dxa"/>
            <w:vMerge/>
          </w:tcPr>
          <w:p w:rsidR="00F8021F" w:rsidRDefault="00F8021F" w:rsidP="00F8021F"/>
        </w:tc>
        <w:tc>
          <w:tcPr>
            <w:tcW w:w="7308" w:type="dxa"/>
          </w:tcPr>
          <w:p w:rsidR="00F8021F" w:rsidRPr="008F1659"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=0.0368-0.0216</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4.38</m:t>
                  </m:r>
                </m:sub>
              </m:sSub>
              <m:r>
                <w:rPr>
                  <w:rFonts w:ascii="Cambria Math" w:hAnsi="Cambria Math"/>
                </w:rPr>
                <m:t>(0,1)</m:t>
              </m:r>
            </m:oMath>
          </w:p>
          <w:p w:rsidR="00F8021F" w:rsidRPr="00522AEE" w:rsidRDefault="00F8021F" w:rsidP="00F8021F">
            <w:r w:rsidRPr="00522AEE">
              <w:t xml:space="preserve">       </w:t>
            </w:r>
            <w:r>
              <w:t xml:space="preserve">  (0.0231)   (0.0190</w:t>
            </w:r>
            <w:r w:rsidRPr="00522AEE">
              <w:t>)</w:t>
            </w:r>
            <w:r w:rsidRPr="00D95CA2">
              <w:t xml:space="preserve">     </w:t>
            </w:r>
          </w:p>
          <w:p w:rsidR="00F8021F" w:rsidRPr="00522AEE" w:rsidRDefault="006050C2" w:rsidP="00F8021F">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hint="eastAsia"/>
                  </w:rPr>
                  <m:t>0.0300+</m:t>
                </m:r>
                <m:r>
                  <w:rPr>
                    <w:rFonts w:ascii="Cambria Math" w:hAnsi="Cambria Math"/>
                  </w:rPr>
                  <m:t>0.0592</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+0.9321</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F8021F" w:rsidRPr="008F1659" w:rsidRDefault="00F8021F" w:rsidP="00F8021F">
            <w:r>
              <w:t xml:space="preserve">          (0.0010)    (0.0102</w:t>
            </w:r>
            <w:r w:rsidRPr="00522AEE">
              <w:t xml:space="preserve">)  </w:t>
            </w:r>
            <w:r>
              <w:t xml:space="preserve">         (0.0108</w:t>
            </w:r>
            <w:r w:rsidRPr="00522AEE">
              <w:t>)</w:t>
            </w:r>
          </w:p>
        </w:tc>
      </w:tr>
      <w:tr w:rsidR="00F8021F" w:rsidTr="00F8021F">
        <w:tc>
          <w:tcPr>
            <w:tcW w:w="988" w:type="dxa"/>
            <w:vMerge/>
          </w:tcPr>
          <w:p w:rsidR="00F8021F" w:rsidRDefault="00F8021F" w:rsidP="00F8021F"/>
        </w:tc>
        <w:tc>
          <w:tcPr>
            <w:tcW w:w="7308" w:type="dxa"/>
          </w:tcPr>
          <w:p w:rsidR="00F8021F" w:rsidRPr="00AC1ABF" w:rsidRDefault="00F8021F" w:rsidP="00F8021F">
            <w:pPr>
              <w:rPr>
                <w:b/>
              </w:rPr>
            </w:pPr>
            <w:r w:rsidRPr="00AC1ABF">
              <w:rPr>
                <w:b/>
              </w:rPr>
              <w:t>AR(1)-GJR-GARCH(1,1)-t</w:t>
            </w:r>
          </w:p>
        </w:tc>
      </w:tr>
      <w:tr w:rsidR="00F8021F" w:rsidTr="00F8021F">
        <w:tc>
          <w:tcPr>
            <w:tcW w:w="988" w:type="dxa"/>
            <w:vMerge/>
          </w:tcPr>
          <w:p w:rsidR="00F8021F" w:rsidRDefault="00F8021F" w:rsidP="00F8021F"/>
        </w:tc>
        <w:tc>
          <w:tcPr>
            <w:tcW w:w="7308" w:type="dxa"/>
          </w:tcPr>
          <w:p w:rsidR="00F8021F" w:rsidRPr="008F1659"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=0.0318-0.0234</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 xml:space="preserv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4.46</m:t>
                  </m:r>
                </m:sub>
              </m:sSub>
              <m:r>
                <w:rPr>
                  <w:rFonts w:ascii="Cambria Math" w:hAnsi="Cambria Math"/>
                </w:rPr>
                <m:t>(0,1)</m:t>
              </m:r>
            </m:oMath>
          </w:p>
          <w:p w:rsidR="00F8021F" w:rsidRPr="00522AEE" w:rsidRDefault="00F8021F" w:rsidP="00F8021F">
            <w:r>
              <w:t xml:space="preserve">        (0.0232)    (0.0189)</w:t>
            </w:r>
          </w:p>
          <w:p w:rsidR="00F8021F" w:rsidRPr="00522AEE" w:rsidRDefault="006050C2" w:rsidP="00F8021F">
            <m:oMathPara>
              <m:oMathParaPr>
                <m:jc m:val="left"/>
              </m:oMathParaPr>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r>
                  <w:rPr>
                    <w:rFonts w:ascii="Cambria Math" w:hAnsi="Cambria Math" w:hint="eastAsia"/>
                  </w:rPr>
                  <m:t>0.0323+</m:t>
                </m:r>
                <m:d>
                  <m:dPr>
                    <m:ctrlPr>
                      <w:rPr>
                        <w:rFonts w:ascii="Cambria Math" w:hAnsi="Cambria Math"/>
                        <w:i/>
                      </w:rPr>
                    </m:ctrlPr>
                  </m:dPr>
                  <m:e>
                    <m:r>
                      <w:rPr>
                        <w:rFonts w:ascii="Cambria Math" w:hAnsi="Cambria Math"/>
                      </w:rPr>
                      <m:t>0.0341+0.0533</m:t>
                    </m:r>
                    <m:sSub>
                      <m:sSubPr>
                        <m:ctrlPr>
                          <w:rPr>
                            <w:rFonts w:ascii="Cambria Math" w:hAnsi="Cambria Math"/>
                            <w:i/>
                          </w:rPr>
                        </m:ctrlPr>
                      </m:sSubPr>
                      <m:e>
                        <m:r>
                          <w:rPr>
                            <w:rFonts w:ascii="Cambria Math" w:hAnsi="Cambria Math"/>
                          </w:rPr>
                          <m:t>I</m:t>
                        </m:r>
                      </m:e>
                      <m:sub>
                        <m:r>
                          <w:rPr>
                            <w:rFonts w:ascii="Cambria Math" w:hAnsi="Cambria Math"/>
                          </w:rPr>
                          <m:t>t-1</m:t>
                        </m:r>
                      </m:sub>
                    </m:sSub>
                  </m:e>
                </m:d>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+0.9306</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r>
                  <w:rPr>
                    <w:rFonts w:ascii="Cambria Math" w:hAnsi="Cambria Math"/>
                  </w:rPr>
                  <m:t xml:space="preserve">   </m:t>
                </m:r>
              </m:oMath>
            </m:oMathPara>
          </w:p>
          <w:p w:rsidR="00F8021F" w:rsidRPr="008F1659" w:rsidRDefault="00F8021F" w:rsidP="00F8021F">
            <w:r>
              <w:t xml:space="preserve">           (0.0096)    (0.0113)    (0.0176)                     (0.0106)</w:t>
            </w:r>
          </w:p>
        </w:tc>
      </w:tr>
      <w:tr w:rsidR="00F8021F" w:rsidTr="00F8021F">
        <w:tc>
          <w:tcPr>
            <w:tcW w:w="988" w:type="dxa"/>
            <w:vMerge/>
          </w:tcPr>
          <w:p w:rsidR="00F8021F" w:rsidRDefault="00F8021F" w:rsidP="00F8021F"/>
        </w:tc>
        <w:tc>
          <w:tcPr>
            <w:tcW w:w="7308" w:type="dxa"/>
          </w:tcPr>
          <w:p w:rsidR="00F8021F" w:rsidRPr="00AC1ABF" w:rsidRDefault="00F8021F" w:rsidP="00F8021F">
            <w:pPr>
              <w:rPr>
                <w:b/>
              </w:rPr>
            </w:pPr>
            <w:r w:rsidRPr="00AC1ABF">
              <w:rPr>
                <w:b/>
              </w:rPr>
              <w:t>IGARCH(1,1)</w:t>
            </w:r>
          </w:p>
        </w:tc>
      </w:tr>
      <w:tr w:rsidR="00F8021F" w:rsidTr="00F8021F">
        <w:tc>
          <w:tcPr>
            <w:tcW w:w="988" w:type="dxa"/>
            <w:vMerge/>
          </w:tcPr>
          <w:p w:rsidR="00F8021F" w:rsidRDefault="00F8021F" w:rsidP="00F8021F"/>
        </w:tc>
        <w:tc>
          <w:tcPr>
            <w:tcW w:w="7308" w:type="dxa"/>
          </w:tcPr>
          <w:p w:rsidR="00F8021F" w:rsidRPr="00991698" w:rsidRDefault="006050C2" w:rsidP="00F8021F">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oMath>
            <w:r w:rsidR="00F8021F">
              <w:t>,</w:t>
            </w:r>
            <w:r w:rsidR="00F8021F">
              <w:tab/>
            </w:r>
            <w:r w:rsidR="00F8021F">
              <w:tab/>
              <w:t xml:space="preserve">where </w:t>
            </w: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~N(0,</m:t>
              </m:r>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m:t>
              </m:r>
            </m:oMath>
          </w:p>
          <w:p w:rsidR="00F8021F" w:rsidRPr="008F1659" w:rsidRDefault="006050C2" w:rsidP="00F8021F">
            <m:oMathPara>
              <m:oMath>
                <m:sSubSup>
                  <m:sSubSupPr>
                    <m:ctrlPr>
                      <w:rPr>
                        <w:rFonts w:ascii="Cambria Math" w:hAnsi="Cambria Math"/>
                        <w:i/>
                      </w:rPr>
                    </m:ctrlPr>
                  </m:sSubSupPr>
                  <m:e>
                    <m:r>
                      <w:rPr>
                        <w:rFonts w:ascii="Cambria Math" w:hAnsi="Cambria Math"/>
                      </w:rPr>
                      <m:t>σ</m:t>
                    </m:r>
                  </m:e>
                  <m:sub>
                    <m:r>
                      <w:rPr>
                        <w:rFonts w:ascii="Cambria Math" w:hAnsi="Cambria Math"/>
                      </w:rPr>
                      <m:t>t</m:t>
                    </m:r>
                  </m:sub>
                  <m:sup>
                    <m:r>
                      <w:rPr>
                        <w:rFonts w:ascii="Cambria Math" w:hAnsi="Cambria Math"/>
                      </w:rPr>
                      <m:t>2</m:t>
                    </m:r>
                  </m:sup>
                </m:sSubSup>
                <m:r>
                  <w:rPr>
                    <w:rFonts w:ascii="Cambria Math" w:hAnsi="Cambria Math"/>
                  </w:rPr>
                  <m:t>=0.0247</m:t>
                </m:r>
                <m:sSubSup>
                  <m:sSubSupPr>
                    <m:ctrlPr>
                      <w:rPr>
                        <w:rFonts w:ascii="Cambria Math" w:hAnsi="Cambria Math"/>
                        <w:i/>
                      </w:rPr>
                    </m:ctrlPr>
                  </m:sSubSupPr>
                  <m:e>
                    <m:r>
                      <w:rPr>
                        <w:rFonts w:ascii="Cambria Math" w:hAnsi="Cambria Math"/>
                      </w:rPr>
                      <m:t>a</m:t>
                    </m:r>
                  </m:e>
                  <m:sub>
                    <m:r>
                      <w:rPr>
                        <w:rFonts w:ascii="Cambria Math" w:hAnsi="Cambria Math"/>
                      </w:rPr>
                      <m:t>t-1</m:t>
                    </m:r>
                  </m:sub>
                  <m:sup>
                    <m:r>
                      <w:rPr>
                        <w:rFonts w:ascii="Cambria Math" w:hAnsi="Cambria Math"/>
                      </w:rPr>
                      <m:t>2</m:t>
                    </m:r>
                  </m:sup>
                </m:sSubSup>
                <m:r>
                  <w:rPr>
                    <w:rFonts w:ascii="Cambria Math" w:hAnsi="Cambria Math"/>
                  </w:rPr>
                  <m:t>+0.9753</m:t>
                </m:r>
                <m:sSubSup>
                  <m:sSubSupPr>
                    <m:ctrlPr>
                      <w:rPr>
                        <w:rFonts w:ascii="Cambria Math" w:hAnsi="Cambria Math"/>
                        <w:i/>
                      </w:rPr>
                    </m:ctrlPr>
                  </m:sSubSupPr>
                  <m:e>
                    <m:r>
                      <w:rPr>
                        <w:rFonts w:ascii="Cambria Math" w:hAnsi="Cambria Math"/>
                      </w:rPr>
                      <m:t>σ</m:t>
                    </m:r>
                  </m:e>
                  <m:sub>
                    <m:r>
                      <w:rPr>
                        <w:rFonts w:ascii="Cambria Math" w:hAnsi="Cambria Math"/>
                      </w:rPr>
                      <m:t>t-1</m:t>
                    </m:r>
                  </m:sub>
                  <m:sup>
                    <m:r>
                      <w:rPr>
                        <w:rFonts w:ascii="Cambria Math" w:hAnsi="Cambria Math"/>
                      </w:rPr>
                      <m:t>2</m:t>
                    </m:r>
                  </m:sup>
                </m:sSubSup>
              </m:oMath>
            </m:oMathPara>
          </w:p>
        </w:tc>
      </w:tr>
    </w:tbl>
    <w:p w:rsidR="00F8021F" w:rsidRDefault="00F8021F" w:rsidP="00F8021F"/>
    <w:p w:rsidR="00F8021F" w:rsidRDefault="00F8021F" w:rsidP="00F8021F">
      <w:r>
        <w:t xml:space="preserve">For the mean equations, all the AR terms are insignificant. However, we still leave them in the models in order to capture the mean processes of the assets and forecast the returns. </w:t>
      </w:r>
    </w:p>
    <w:p w:rsidR="00F8021F" w:rsidRDefault="00F8021F" w:rsidP="00F8021F">
      <w:r>
        <w:t>In terms of the volatility equations, all the parameters are significant except the leverage term in the AR(1)-GJR-GARCH(1,1) for PTR. For the GARCH-type models, all the volatility persistence is very close to 1, indicating strong persistence in volatility and slow mean reversion in all the assets. For the GJR-type models, all the infinite average volatility following negative shocks and volatility persistence greater than 1 following negative shocks. The ratios are also high among all assets, with the highest of 73.27% for JNJ and the lowest of 7.37% for MSFT. These all suggest that very large GJR effects in the assets, which leads to significantly strong volatility asymmetry. The requirement of stationarity in all GARCH and GJR-GARCH models can be met.</w:t>
      </w:r>
    </w:p>
    <w:p w:rsidR="00F8021F" w:rsidRDefault="00F8021F" w:rsidP="00F8021F">
      <w:r>
        <w:t>For the IGARCH model, except that it well captures the volatility processes of the MMM assets, for the other assets, it performs as poorly as demonstrated previously in the COKE asset. But we will still leave it as one of the competitive models to forecast the volatility and see how it performs.</w:t>
      </w:r>
    </w:p>
    <w:p w:rsidR="00F8021F" w:rsidRDefault="00F8021F" w:rsidP="00F8021F">
      <w:r>
        <w:t>We then also conduct LB test and JB test for each of the assets. The results are shown below. We put the test results of the same type of model in the same table in order to see how different types of model perform in different assets.</w:t>
      </w:r>
    </w:p>
    <w:p w:rsidR="00F8021F" w:rsidRDefault="00F8021F" w:rsidP="00F8021F">
      <w:pPr>
        <w:pStyle w:val="ac"/>
        <w:keepNext/>
      </w:pPr>
      <w:r>
        <w:t xml:space="preserve">Table </w:t>
      </w:r>
      <w:r>
        <w:fldChar w:fldCharType="begin"/>
      </w:r>
      <w:r>
        <w:instrText xml:space="preserve"> SEQ Table \* ARABIC </w:instrText>
      </w:r>
      <w:r>
        <w:fldChar w:fldCharType="separate"/>
      </w:r>
      <w:r>
        <w:rPr>
          <w:noProof/>
        </w:rPr>
        <w:t>4</w:t>
      </w:r>
      <w:r>
        <w:rPr>
          <w:noProof/>
        </w:rPr>
        <w:fldChar w:fldCharType="end"/>
      </w:r>
      <w:r>
        <w:t xml:space="preserve"> Tests results of the AR-GARCH type models</w:t>
      </w:r>
    </w:p>
    <w:tbl>
      <w:tblPr>
        <w:tblW w:w="10294" w:type="dxa"/>
        <w:tblInd w:w="-988" w:type="dxa"/>
        <w:tblLook w:val="04A0" w:firstRow="1" w:lastRow="0" w:firstColumn="1" w:lastColumn="0" w:noHBand="0" w:noVBand="1"/>
      </w:tblPr>
      <w:tblGrid>
        <w:gridCol w:w="1900"/>
        <w:gridCol w:w="2294"/>
        <w:gridCol w:w="2294"/>
        <w:gridCol w:w="2294"/>
        <w:gridCol w:w="2294"/>
      </w:tblGrid>
      <w:tr w:rsidR="00F8021F" w:rsidRPr="009A55FD" w:rsidTr="00F8021F">
        <w:trPr>
          <w:trHeight w:val="285"/>
        </w:trPr>
        <w:tc>
          <w:tcPr>
            <w:tcW w:w="1900" w:type="dxa"/>
            <w:tcBorders>
              <w:top w:val="single" w:sz="4" w:space="0" w:color="auto"/>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Tests</w:t>
            </w:r>
          </w:p>
        </w:tc>
        <w:tc>
          <w:tcPr>
            <w:tcW w:w="2097" w:type="dxa"/>
            <w:tcBorders>
              <w:top w:val="single" w:sz="4" w:space="0" w:color="auto"/>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JNJ</w:t>
            </w:r>
          </w:p>
        </w:tc>
        <w:tc>
          <w:tcPr>
            <w:tcW w:w="2097" w:type="dxa"/>
            <w:tcBorders>
              <w:top w:val="single" w:sz="4" w:space="0" w:color="auto"/>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PTR</w:t>
            </w:r>
          </w:p>
        </w:tc>
        <w:tc>
          <w:tcPr>
            <w:tcW w:w="2100" w:type="dxa"/>
            <w:tcBorders>
              <w:top w:val="single" w:sz="4" w:space="0" w:color="auto"/>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MMM</w:t>
            </w:r>
          </w:p>
        </w:tc>
        <w:tc>
          <w:tcPr>
            <w:tcW w:w="2100" w:type="dxa"/>
            <w:tcBorders>
              <w:top w:val="single" w:sz="4" w:space="0" w:color="auto"/>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MSFT</w:t>
            </w:r>
          </w:p>
        </w:tc>
      </w:tr>
      <w:tr w:rsidR="00F8021F" w:rsidRPr="009A55FD" w:rsidTr="00F8021F">
        <w:trPr>
          <w:trHeight w:val="285"/>
        </w:trPr>
        <w:tc>
          <w:tcPr>
            <w:tcW w:w="1900" w:type="dxa"/>
            <w:vMerge w:val="restart"/>
            <w:tcBorders>
              <w:top w:val="nil"/>
              <w:left w:val="nil"/>
              <w:bottom w:val="single" w:sz="4" w:space="0" w:color="000000"/>
              <w:right w:val="nil"/>
            </w:tcBorders>
            <w:shd w:val="clear" w:color="auto" w:fill="auto"/>
            <w:vAlign w:val="center"/>
            <w:hideMark/>
          </w:tcPr>
          <w:p w:rsidR="00F8021F" w:rsidRPr="009A55FD" w:rsidRDefault="00F8021F" w:rsidP="00F8021F">
            <w:pPr>
              <w:rPr>
                <w:rFonts w:cs="Calibri"/>
                <w:color w:val="000000"/>
              </w:rPr>
            </w:pPr>
            <w:r w:rsidRPr="009A55FD">
              <w:rPr>
                <w:rFonts w:cs="Calibri"/>
                <w:color w:val="000000"/>
              </w:rPr>
              <w:t>LB test on standardized residuals</w:t>
            </w:r>
          </w:p>
        </w:tc>
        <w:tc>
          <w:tcPr>
            <w:tcW w:w="2097" w:type="dxa"/>
            <w:tcBorders>
              <w:top w:val="nil"/>
              <w:left w:val="nil"/>
              <w:bottom w:val="nil"/>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0.1623(m=9,d.f=5)</w:t>
            </w:r>
          </w:p>
        </w:tc>
        <w:tc>
          <w:tcPr>
            <w:tcW w:w="2097" w:type="dxa"/>
            <w:tcBorders>
              <w:top w:val="nil"/>
              <w:left w:val="nil"/>
              <w:bottom w:val="nil"/>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0.1492(m=10,d.f=5)</w:t>
            </w:r>
          </w:p>
        </w:tc>
        <w:tc>
          <w:tcPr>
            <w:tcW w:w="2100" w:type="dxa"/>
            <w:tcBorders>
              <w:top w:val="nil"/>
              <w:left w:val="nil"/>
              <w:bottom w:val="nil"/>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b/>
                <w:color w:val="000000"/>
              </w:rPr>
              <w:t>0.0178</w:t>
            </w:r>
            <w:r w:rsidRPr="009A55FD">
              <w:rPr>
                <w:rFonts w:cs="Calibri"/>
                <w:color w:val="000000"/>
              </w:rPr>
              <w:t>(m=9,d.f=5)</w:t>
            </w:r>
          </w:p>
        </w:tc>
        <w:tc>
          <w:tcPr>
            <w:tcW w:w="2100" w:type="dxa"/>
            <w:tcBorders>
              <w:top w:val="nil"/>
              <w:left w:val="nil"/>
              <w:bottom w:val="nil"/>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0.0705(m=9,d.f=5)</w:t>
            </w:r>
          </w:p>
        </w:tc>
      </w:tr>
      <w:tr w:rsidR="00F8021F" w:rsidRPr="009A55FD" w:rsidTr="00F8021F">
        <w:trPr>
          <w:trHeight w:val="285"/>
        </w:trPr>
        <w:tc>
          <w:tcPr>
            <w:tcW w:w="1900" w:type="dxa"/>
            <w:vMerge/>
            <w:tcBorders>
              <w:top w:val="nil"/>
              <w:left w:val="nil"/>
              <w:bottom w:val="single" w:sz="4" w:space="0" w:color="000000"/>
              <w:right w:val="nil"/>
            </w:tcBorders>
            <w:vAlign w:val="center"/>
            <w:hideMark/>
          </w:tcPr>
          <w:p w:rsidR="00F8021F" w:rsidRPr="009A55FD" w:rsidRDefault="00F8021F" w:rsidP="00F8021F">
            <w:pPr>
              <w:rPr>
                <w:rFonts w:cs="Calibri"/>
                <w:color w:val="000000"/>
              </w:rPr>
            </w:pPr>
          </w:p>
        </w:tc>
        <w:tc>
          <w:tcPr>
            <w:tcW w:w="2097"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0.1359(m=14,d.f=10)</w:t>
            </w:r>
          </w:p>
        </w:tc>
        <w:tc>
          <w:tcPr>
            <w:tcW w:w="2097"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0.2684(m=15,d.f=10)</w:t>
            </w:r>
          </w:p>
        </w:tc>
        <w:tc>
          <w:tcPr>
            <w:tcW w:w="2100"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b/>
                <w:color w:val="000000"/>
              </w:rPr>
              <w:t>0.0498</w:t>
            </w:r>
            <w:r w:rsidRPr="009A55FD">
              <w:rPr>
                <w:rFonts w:cs="Calibri"/>
                <w:color w:val="000000"/>
              </w:rPr>
              <w:t>(m=14,d.f=10)</w:t>
            </w:r>
          </w:p>
        </w:tc>
        <w:tc>
          <w:tcPr>
            <w:tcW w:w="2100"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b/>
                <w:color w:val="000000"/>
              </w:rPr>
              <w:t>0.0150</w:t>
            </w:r>
            <w:r w:rsidRPr="009A55FD">
              <w:rPr>
                <w:rFonts w:cs="Calibri"/>
                <w:color w:val="000000"/>
              </w:rPr>
              <w:t>(m=14,d.f=10)</w:t>
            </w:r>
          </w:p>
        </w:tc>
      </w:tr>
      <w:tr w:rsidR="00F8021F" w:rsidRPr="009A55FD" w:rsidTr="00F8021F">
        <w:trPr>
          <w:trHeight w:val="285"/>
        </w:trPr>
        <w:tc>
          <w:tcPr>
            <w:tcW w:w="1900" w:type="dxa"/>
            <w:vMerge w:val="restart"/>
            <w:tcBorders>
              <w:top w:val="nil"/>
              <w:left w:val="nil"/>
              <w:bottom w:val="single" w:sz="4" w:space="0" w:color="000000"/>
              <w:right w:val="nil"/>
            </w:tcBorders>
            <w:shd w:val="clear" w:color="auto" w:fill="auto"/>
            <w:vAlign w:val="center"/>
            <w:hideMark/>
          </w:tcPr>
          <w:p w:rsidR="00F8021F" w:rsidRPr="009A55FD" w:rsidRDefault="00F8021F" w:rsidP="00F8021F">
            <w:pPr>
              <w:rPr>
                <w:rFonts w:cs="Calibri"/>
                <w:color w:val="000000"/>
              </w:rPr>
            </w:pPr>
            <w:r w:rsidRPr="009A55FD">
              <w:rPr>
                <w:rFonts w:cs="Calibri"/>
                <w:color w:val="000000"/>
              </w:rPr>
              <w:t>LB test on squared standardized residuals</w:t>
            </w:r>
          </w:p>
        </w:tc>
        <w:tc>
          <w:tcPr>
            <w:tcW w:w="2097" w:type="dxa"/>
            <w:tcBorders>
              <w:top w:val="nil"/>
              <w:left w:val="nil"/>
              <w:bottom w:val="nil"/>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0.0721(m=9,d.f=5)</w:t>
            </w:r>
          </w:p>
        </w:tc>
        <w:tc>
          <w:tcPr>
            <w:tcW w:w="2097" w:type="dxa"/>
            <w:tcBorders>
              <w:top w:val="nil"/>
              <w:left w:val="nil"/>
              <w:bottom w:val="nil"/>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0.1024(m=10,d.f=5)</w:t>
            </w:r>
          </w:p>
        </w:tc>
        <w:tc>
          <w:tcPr>
            <w:tcW w:w="2100" w:type="dxa"/>
            <w:tcBorders>
              <w:top w:val="nil"/>
              <w:left w:val="nil"/>
              <w:bottom w:val="nil"/>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0.2105(m=9,d.f=5)</w:t>
            </w:r>
          </w:p>
        </w:tc>
        <w:tc>
          <w:tcPr>
            <w:tcW w:w="2100" w:type="dxa"/>
            <w:tcBorders>
              <w:top w:val="nil"/>
              <w:left w:val="nil"/>
              <w:bottom w:val="nil"/>
              <w:right w:val="nil"/>
            </w:tcBorders>
            <w:shd w:val="clear" w:color="auto" w:fill="auto"/>
            <w:noWrap/>
            <w:vAlign w:val="center"/>
            <w:hideMark/>
          </w:tcPr>
          <w:p w:rsidR="00F8021F" w:rsidRPr="009A55FD" w:rsidRDefault="00F8021F" w:rsidP="00F8021F">
            <w:pPr>
              <w:rPr>
                <w:rFonts w:cs="Calibri"/>
                <w:color w:val="000000"/>
              </w:rPr>
            </w:pPr>
            <w:r w:rsidRPr="009A55FD">
              <w:rPr>
                <w:rFonts w:cs="Calibri"/>
                <w:color w:val="000000"/>
              </w:rPr>
              <w:t>0.0670(m=9,d.f=5)</w:t>
            </w:r>
          </w:p>
        </w:tc>
      </w:tr>
      <w:tr w:rsidR="00F8021F" w:rsidRPr="009A55FD" w:rsidTr="00F8021F">
        <w:trPr>
          <w:trHeight w:val="285"/>
        </w:trPr>
        <w:tc>
          <w:tcPr>
            <w:tcW w:w="1900" w:type="dxa"/>
            <w:vMerge/>
            <w:tcBorders>
              <w:top w:val="nil"/>
              <w:left w:val="nil"/>
              <w:bottom w:val="single" w:sz="4" w:space="0" w:color="000000"/>
              <w:right w:val="nil"/>
            </w:tcBorders>
            <w:vAlign w:val="center"/>
            <w:hideMark/>
          </w:tcPr>
          <w:p w:rsidR="00F8021F" w:rsidRPr="009A55FD" w:rsidRDefault="00F8021F" w:rsidP="00F8021F">
            <w:pPr>
              <w:rPr>
                <w:rFonts w:cs="Calibri"/>
                <w:color w:val="000000"/>
              </w:rPr>
            </w:pPr>
          </w:p>
        </w:tc>
        <w:tc>
          <w:tcPr>
            <w:tcW w:w="2097"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0.3009(m=14,d.f=10)</w:t>
            </w:r>
          </w:p>
        </w:tc>
        <w:tc>
          <w:tcPr>
            <w:tcW w:w="2097"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0.4310(m=15,d.f=10)</w:t>
            </w:r>
          </w:p>
        </w:tc>
        <w:tc>
          <w:tcPr>
            <w:tcW w:w="2100"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0.0837(m=14,d.f=10)</w:t>
            </w:r>
          </w:p>
        </w:tc>
        <w:tc>
          <w:tcPr>
            <w:tcW w:w="2100"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0.0969(m=14,d.f=10)</w:t>
            </w:r>
          </w:p>
        </w:tc>
      </w:tr>
      <w:tr w:rsidR="00F8021F" w:rsidRPr="009A55FD" w:rsidTr="00F8021F">
        <w:trPr>
          <w:trHeight w:val="285"/>
        </w:trPr>
        <w:tc>
          <w:tcPr>
            <w:tcW w:w="1900" w:type="dxa"/>
            <w:tcBorders>
              <w:top w:val="nil"/>
              <w:left w:val="nil"/>
              <w:bottom w:val="single" w:sz="4" w:space="0" w:color="auto"/>
              <w:right w:val="nil"/>
            </w:tcBorders>
            <w:shd w:val="clear" w:color="auto" w:fill="auto"/>
            <w:vAlign w:val="bottom"/>
            <w:hideMark/>
          </w:tcPr>
          <w:p w:rsidR="00F8021F" w:rsidRPr="009A55FD" w:rsidRDefault="00F8021F" w:rsidP="00F8021F">
            <w:pPr>
              <w:rPr>
                <w:rFonts w:cs="Calibri"/>
                <w:color w:val="000000"/>
              </w:rPr>
            </w:pPr>
            <w:r w:rsidRPr="009A55FD">
              <w:rPr>
                <w:rFonts w:cs="Calibri"/>
                <w:color w:val="000000"/>
              </w:rPr>
              <w:lastRenderedPageBreak/>
              <w:t>JB test on normality of residuals</w:t>
            </w:r>
          </w:p>
        </w:tc>
        <w:tc>
          <w:tcPr>
            <w:tcW w:w="2097"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0.5000</w:t>
            </w:r>
          </w:p>
        </w:tc>
        <w:tc>
          <w:tcPr>
            <w:tcW w:w="2097"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0.5000</w:t>
            </w:r>
          </w:p>
        </w:tc>
        <w:tc>
          <w:tcPr>
            <w:tcW w:w="2100"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b/>
                <w:bCs/>
                <w:color w:val="000000"/>
              </w:rPr>
            </w:pPr>
            <w:r w:rsidRPr="009A55FD">
              <w:rPr>
                <w:rFonts w:cs="Calibri"/>
                <w:b/>
                <w:bCs/>
                <w:color w:val="000000"/>
              </w:rPr>
              <w:t>0.0150</w:t>
            </w:r>
          </w:p>
        </w:tc>
        <w:tc>
          <w:tcPr>
            <w:tcW w:w="2100" w:type="dxa"/>
            <w:tcBorders>
              <w:top w:val="nil"/>
              <w:left w:val="nil"/>
              <w:bottom w:val="single" w:sz="4" w:space="0" w:color="auto"/>
              <w:right w:val="nil"/>
            </w:tcBorders>
            <w:shd w:val="clear" w:color="auto" w:fill="auto"/>
            <w:noWrap/>
            <w:vAlign w:val="bottom"/>
            <w:hideMark/>
          </w:tcPr>
          <w:p w:rsidR="00F8021F" w:rsidRPr="009A55FD" w:rsidRDefault="00F8021F" w:rsidP="00F8021F">
            <w:pPr>
              <w:rPr>
                <w:rFonts w:cs="Calibri"/>
                <w:color w:val="000000"/>
              </w:rPr>
            </w:pPr>
            <w:r w:rsidRPr="009A55FD">
              <w:rPr>
                <w:rFonts w:cs="Calibri"/>
                <w:color w:val="000000"/>
              </w:rPr>
              <w:t>0.5000</w:t>
            </w:r>
          </w:p>
        </w:tc>
      </w:tr>
    </w:tbl>
    <w:p w:rsidR="00F8021F" w:rsidRPr="00F8021F" w:rsidRDefault="00F8021F" w:rsidP="00F8021F">
      <w:pPr>
        <w:jc w:val="center"/>
        <w:rPr>
          <w:b/>
        </w:rPr>
      </w:pPr>
      <w:r w:rsidRPr="00F8021F">
        <w:rPr>
          <w:b/>
        </w:rPr>
        <w:t>Table 9</w:t>
      </w:r>
    </w:p>
    <w:p w:rsidR="00F8021F" w:rsidRDefault="00F8021F" w:rsidP="00F8021F"/>
    <w:p w:rsidR="00F8021F" w:rsidRDefault="00F8021F" w:rsidP="00F8021F">
      <w:r>
        <w:t>The LB test results suggest that except for MMM and MSFT, there are no significant remaining autocorrelations effects in the assets and there are no remaining ARCH effects in all the assets.</w:t>
      </w:r>
    </w:p>
    <w:p w:rsidR="00F8021F" w:rsidRDefault="00F8021F" w:rsidP="00F8021F">
      <w:r>
        <w:t>For the volatility equations, it managed to capture the volatility processes in all the assets while for the mean equations, it failed to capture the autocorrelations in MMM and MSFT, suggesting that a higher order of AR terms is needed. But since the AIC and SIC suggest that AR(1) is the optimal order for these two assets, we did not switch to a higher order, concerning that it might introduce overfitting in the models. Besides, as we are more interested in forecasting the volatility of the assets, we will just leave the original AR(1) in the models.</w:t>
      </w:r>
    </w:p>
    <w:p w:rsidR="00F8021F" w:rsidRDefault="00F8021F" w:rsidP="00F8021F">
      <w:r>
        <w:t>Generally speaking, AR-GARCH type models perform quite well among all the assets.</w:t>
      </w:r>
    </w:p>
    <w:p w:rsidR="00F8021F" w:rsidRDefault="00F8021F" w:rsidP="00F8021F">
      <w:pPr>
        <w:pStyle w:val="ac"/>
        <w:keepNext/>
      </w:pPr>
    </w:p>
    <w:p w:rsidR="00F8021F" w:rsidRDefault="00F8021F" w:rsidP="00F8021F">
      <w:pPr>
        <w:rPr>
          <w:lang w:val="en-US"/>
        </w:rPr>
      </w:pPr>
    </w:p>
    <w:p w:rsidR="00F8021F" w:rsidRDefault="00F8021F" w:rsidP="00F8021F">
      <w:pPr>
        <w:rPr>
          <w:lang w:val="en-US"/>
        </w:rPr>
      </w:pPr>
    </w:p>
    <w:p w:rsidR="00F8021F" w:rsidRDefault="00F8021F" w:rsidP="00F8021F">
      <w:pPr>
        <w:rPr>
          <w:lang w:val="en-US"/>
        </w:rPr>
      </w:pPr>
    </w:p>
    <w:p w:rsidR="00F8021F" w:rsidRDefault="00F8021F" w:rsidP="00F8021F">
      <w:pPr>
        <w:rPr>
          <w:lang w:val="en-US"/>
        </w:rPr>
      </w:pPr>
    </w:p>
    <w:p w:rsidR="00F8021F" w:rsidRPr="00F8021F" w:rsidRDefault="00F8021F" w:rsidP="00F8021F">
      <w:pPr>
        <w:rPr>
          <w:lang w:val="en-US"/>
        </w:rPr>
      </w:pPr>
    </w:p>
    <w:tbl>
      <w:tblPr>
        <w:tblW w:w="11076" w:type="dxa"/>
        <w:tblInd w:w="-988" w:type="dxa"/>
        <w:tblLook w:val="04A0" w:firstRow="1" w:lastRow="0" w:firstColumn="1" w:lastColumn="0" w:noHBand="0" w:noVBand="1"/>
      </w:tblPr>
      <w:tblGrid>
        <w:gridCol w:w="1900"/>
        <w:gridCol w:w="2294"/>
        <w:gridCol w:w="2294"/>
        <w:gridCol w:w="2294"/>
        <w:gridCol w:w="2294"/>
      </w:tblGrid>
      <w:tr w:rsidR="00F8021F" w:rsidRPr="004615EF" w:rsidTr="00F8021F">
        <w:trPr>
          <w:trHeight w:val="285"/>
        </w:trPr>
        <w:tc>
          <w:tcPr>
            <w:tcW w:w="1900" w:type="dxa"/>
            <w:tcBorders>
              <w:top w:val="single" w:sz="4" w:space="0" w:color="auto"/>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lastRenderedPageBreak/>
              <w:t>Tests</w:t>
            </w:r>
          </w:p>
        </w:tc>
        <w:tc>
          <w:tcPr>
            <w:tcW w:w="2294" w:type="dxa"/>
            <w:tcBorders>
              <w:top w:val="single" w:sz="4" w:space="0" w:color="auto"/>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JNJ</w:t>
            </w:r>
          </w:p>
        </w:tc>
        <w:tc>
          <w:tcPr>
            <w:tcW w:w="2294" w:type="dxa"/>
            <w:tcBorders>
              <w:top w:val="single" w:sz="4" w:space="0" w:color="auto"/>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PTR</w:t>
            </w:r>
          </w:p>
        </w:tc>
        <w:tc>
          <w:tcPr>
            <w:tcW w:w="2294" w:type="dxa"/>
            <w:tcBorders>
              <w:top w:val="single" w:sz="4" w:space="0" w:color="auto"/>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MMM</w:t>
            </w:r>
          </w:p>
        </w:tc>
        <w:tc>
          <w:tcPr>
            <w:tcW w:w="2294" w:type="dxa"/>
            <w:tcBorders>
              <w:top w:val="single" w:sz="4" w:space="0" w:color="auto"/>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MSFT</w:t>
            </w:r>
          </w:p>
        </w:tc>
      </w:tr>
      <w:tr w:rsidR="00F8021F" w:rsidRPr="004615EF" w:rsidTr="00F8021F">
        <w:trPr>
          <w:trHeight w:val="285"/>
        </w:trPr>
        <w:tc>
          <w:tcPr>
            <w:tcW w:w="1900" w:type="dxa"/>
            <w:vMerge w:val="restart"/>
            <w:tcBorders>
              <w:top w:val="nil"/>
              <w:left w:val="nil"/>
              <w:bottom w:val="single" w:sz="4" w:space="0" w:color="000000"/>
              <w:right w:val="nil"/>
            </w:tcBorders>
            <w:shd w:val="clear" w:color="auto" w:fill="auto"/>
            <w:vAlign w:val="center"/>
            <w:hideMark/>
          </w:tcPr>
          <w:p w:rsidR="00F8021F" w:rsidRPr="004615EF" w:rsidRDefault="00F8021F" w:rsidP="00F8021F">
            <w:pPr>
              <w:rPr>
                <w:rFonts w:cs="Calibri"/>
                <w:color w:val="000000"/>
              </w:rPr>
            </w:pPr>
            <w:r w:rsidRPr="004615EF">
              <w:rPr>
                <w:rFonts w:cs="Calibri"/>
                <w:color w:val="000000"/>
              </w:rPr>
              <w:t>LB test on standardized residuals</w:t>
            </w:r>
          </w:p>
        </w:tc>
        <w:tc>
          <w:tcPr>
            <w:tcW w:w="2294" w:type="dxa"/>
            <w:tcBorders>
              <w:top w:val="nil"/>
              <w:left w:val="nil"/>
              <w:bottom w:val="nil"/>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0.0512(m=10,d.f=5)</w:t>
            </w:r>
          </w:p>
        </w:tc>
        <w:tc>
          <w:tcPr>
            <w:tcW w:w="2294" w:type="dxa"/>
            <w:tcBorders>
              <w:top w:val="nil"/>
              <w:left w:val="nil"/>
              <w:bottom w:val="nil"/>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b/>
                <w:color w:val="000000"/>
              </w:rPr>
              <w:t>0.0190</w:t>
            </w:r>
            <w:r w:rsidRPr="004615EF">
              <w:rPr>
                <w:rFonts w:cs="Calibri"/>
                <w:color w:val="000000"/>
              </w:rPr>
              <w:t>(m=10,d.f=5)</w:t>
            </w:r>
          </w:p>
        </w:tc>
        <w:tc>
          <w:tcPr>
            <w:tcW w:w="2294" w:type="dxa"/>
            <w:tcBorders>
              <w:top w:val="nil"/>
              <w:left w:val="nil"/>
              <w:bottom w:val="nil"/>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b/>
                <w:color w:val="000000"/>
              </w:rPr>
              <w:t>0.0140</w:t>
            </w:r>
            <w:r w:rsidRPr="004615EF">
              <w:rPr>
                <w:rFonts w:cs="Calibri"/>
                <w:color w:val="000000"/>
              </w:rPr>
              <w:t>(m=10,d.f=5)</w:t>
            </w:r>
          </w:p>
        </w:tc>
        <w:tc>
          <w:tcPr>
            <w:tcW w:w="2294" w:type="dxa"/>
            <w:tcBorders>
              <w:top w:val="nil"/>
              <w:left w:val="nil"/>
              <w:bottom w:val="nil"/>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0.0875(m=10,d.f=5)</w:t>
            </w:r>
          </w:p>
        </w:tc>
      </w:tr>
      <w:tr w:rsidR="00F8021F" w:rsidRPr="004615EF" w:rsidTr="00F8021F">
        <w:trPr>
          <w:trHeight w:val="285"/>
        </w:trPr>
        <w:tc>
          <w:tcPr>
            <w:tcW w:w="1900" w:type="dxa"/>
            <w:vMerge/>
            <w:tcBorders>
              <w:top w:val="nil"/>
              <w:left w:val="nil"/>
              <w:bottom w:val="single" w:sz="4" w:space="0" w:color="000000"/>
              <w:right w:val="nil"/>
            </w:tcBorders>
            <w:vAlign w:val="center"/>
            <w:hideMark/>
          </w:tcPr>
          <w:p w:rsidR="00F8021F" w:rsidRPr="004615EF" w:rsidRDefault="00F8021F" w:rsidP="00F8021F">
            <w:pPr>
              <w:rPr>
                <w:rFonts w:cs="Calibri"/>
                <w:color w:val="000000"/>
              </w:rPr>
            </w:pP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b/>
                <w:color w:val="000000"/>
              </w:rPr>
              <w:t>0.0298</w:t>
            </w:r>
            <w:r w:rsidRPr="004615EF">
              <w:rPr>
                <w:rFonts w:cs="Calibri"/>
                <w:color w:val="000000"/>
              </w:rPr>
              <w:t>(m=15,d.f=10)</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0.0593(m=15,d.f=10)</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b/>
                <w:color w:val="000000"/>
              </w:rPr>
              <w:t>0.0409</w:t>
            </w:r>
            <w:r w:rsidRPr="004615EF">
              <w:rPr>
                <w:rFonts w:cs="Calibri"/>
                <w:color w:val="000000"/>
              </w:rPr>
              <w:t>(m=15,d.f=10)</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b/>
                <w:color w:val="000000"/>
              </w:rPr>
              <w:t>0.0181</w:t>
            </w:r>
            <w:r w:rsidRPr="004615EF">
              <w:rPr>
                <w:rFonts w:cs="Calibri"/>
                <w:color w:val="000000"/>
              </w:rPr>
              <w:t>(m=15,d.f=10)</w:t>
            </w:r>
          </w:p>
        </w:tc>
      </w:tr>
      <w:tr w:rsidR="00F8021F" w:rsidRPr="004615EF" w:rsidTr="00F8021F">
        <w:trPr>
          <w:trHeight w:val="285"/>
        </w:trPr>
        <w:tc>
          <w:tcPr>
            <w:tcW w:w="1900" w:type="dxa"/>
            <w:vMerge w:val="restart"/>
            <w:tcBorders>
              <w:top w:val="nil"/>
              <w:left w:val="nil"/>
              <w:bottom w:val="single" w:sz="4" w:space="0" w:color="000000"/>
              <w:right w:val="nil"/>
            </w:tcBorders>
            <w:shd w:val="clear" w:color="auto" w:fill="auto"/>
            <w:vAlign w:val="center"/>
            <w:hideMark/>
          </w:tcPr>
          <w:p w:rsidR="00F8021F" w:rsidRPr="004615EF" w:rsidRDefault="00F8021F" w:rsidP="00F8021F">
            <w:pPr>
              <w:rPr>
                <w:rFonts w:cs="Calibri"/>
                <w:color w:val="000000"/>
              </w:rPr>
            </w:pPr>
            <w:r w:rsidRPr="004615EF">
              <w:rPr>
                <w:rFonts w:cs="Calibri"/>
                <w:color w:val="000000"/>
              </w:rPr>
              <w:t>LB test on squared standardized residuals</w:t>
            </w:r>
          </w:p>
        </w:tc>
        <w:tc>
          <w:tcPr>
            <w:tcW w:w="2294" w:type="dxa"/>
            <w:tcBorders>
              <w:top w:val="nil"/>
              <w:left w:val="nil"/>
              <w:bottom w:val="nil"/>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0.109(m=10,d.f=5)</w:t>
            </w:r>
          </w:p>
        </w:tc>
        <w:tc>
          <w:tcPr>
            <w:tcW w:w="2294" w:type="dxa"/>
            <w:tcBorders>
              <w:top w:val="nil"/>
              <w:left w:val="nil"/>
              <w:bottom w:val="nil"/>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b/>
                <w:color w:val="000000"/>
              </w:rPr>
              <w:t>0.0093</w:t>
            </w:r>
            <w:r w:rsidRPr="004615EF">
              <w:rPr>
                <w:rFonts w:cs="Calibri"/>
                <w:color w:val="000000"/>
              </w:rPr>
              <w:t>(m=10,d.f=5)</w:t>
            </w:r>
          </w:p>
        </w:tc>
        <w:tc>
          <w:tcPr>
            <w:tcW w:w="2294" w:type="dxa"/>
            <w:tcBorders>
              <w:top w:val="nil"/>
              <w:left w:val="nil"/>
              <w:bottom w:val="nil"/>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b/>
                <w:color w:val="000000"/>
              </w:rPr>
              <w:t>0.0218(</w:t>
            </w:r>
            <w:r w:rsidRPr="004615EF">
              <w:rPr>
                <w:rFonts w:cs="Calibri"/>
                <w:color w:val="000000"/>
              </w:rPr>
              <w:t>m=10,d.f=5)</w:t>
            </w:r>
          </w:p>
        </w:tc>
        <w:tc>
          <w:tcPr>
            <w:tcW w:w="2294" w:type="dxa"/>
            <w:tcBorders>
              <w:top w:val="nil"/>
              <w:left w:val="nil"/>
              <w:bottom w:val="nil"/>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0.0662(m=10,d.f=5)</w:t>
            </w:r>
          </w:p>
        </w:tc>
      </w:tr>
      <w:tr w:rsidR="00F8021F" w:rsidRPr="004615EF" w:rsidTr="00F8021F">
        <w:trPr>
          <w:trHeight w:val="285"/>
        </w:trPr>
        <w:tc>
          <w:tcPr>
            <w:tcW w:w="1900" w:type="dxa"/>
            <w:vMerge/>
            <w:tcBorders>
              <w:top w:val="nil"/>
              <w:left w:val="nil"/>
              <w:bottom w:val="single" w:sz="4" w:space="0" w:color="000000"/>
              <w:right w:val="nil"/>
            </w:tcBorders>
            <w:vAlign w:val="center"/>
            <w:hideMark/>
          </w:tcPr>
          <w:p w:rsidR="00F8021F" w:rsidRPr="004615EF" w:rsidRDefault="00F8021F" w:rsidP="00F8021F">
            <w:pPr>
              <w:rPr>
                <w:rFonts w:cs="Calibri"/>
                <w:color w:val="000000"/>
              </w:rPr>
            </w:pP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0.4083(m=15,d.f=10)</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b/>
                <w:color w:val="000000"/>
              </w:rPr>
              <w:t>0.0007</w:t>
            </w:r>
            <w:r w:rsidRPr="004615EF">
              <w:rPr>
                <w:rFonts w:cs="Calibri"/>
                <w:color w:val="000000"/>
              </w:rPr>
              <w:t>(m=15,d.f=10)</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b/>
                <w:color w:val="000000"/>
              </w:rPr>
              <w:t>0.0435</w:t>
            </w:r>
            <w:r w:rsidRPr="004615EF">
              <w:rPr>
                <w:rFonts w:cs="Calibri"/>
                <w:color w:val="000000"/>
              </w:rPr>
              <w:t>(m=15,d.f=10)</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0.1184(m=15,d.f=10)</w:t>
            </w:r>
          </w:p>
        </w:tc>
      </w:tr>
      <w:tr w:rsidR="00F8021F" w:rsidRPr="004615EF" w:rsidTr="00F8021F">
        <w:trPr>
          <w:trHeight w:val="570"/>
        </w:trPr>
        <w:tc>
          <w:tcPr>
            <w:tcW w:w="1900" w:type="dxa"/>
            <w:tcBorders>
              <w:top w:val="nil"/>
              <w:left w:val="nil"/>
              <w:bottom w:val="single" w:sz="4" w:space="0" w:color="auto"/>
              <w:right w:val="nil"/>
            </w:tcBorders>
            <w:shd w:val="clear" w:color="auto" w:fill="auto"/>
            <w:vAlign w:val="bottom"/>
            <w:hideMark/>
          </w:tcPr>
          <w:p w:rsidR="00F8021F" w:rsidRPr="004615EF" w:rsidRDefault="00F8021F" w:rsidP="00F8021F">
            <w:pPr>
              <w:rPr>
                <w:rFonts w:cs="Calibri"/>
                <w:color w:val="000000"/>
              </w:rPr>
            </w:pPr>
            <w:r w:rsidRPr="004615EF">
              <w:rPr>
                <w:rFonts w:cs="Calibri"/>
                <w:color w:val="000000"/>
              </w:rPr>
              <w:t>JB test on normality of residuals</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0.5000</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0.5000</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b/>
                <w:bCs/>
                <w:color w:val="000000"/>
              </w:rPr>
            </w:pPr>
            <w:r w:rsidRPr="004615EF">
              <w:rPr>
                <w:rFonts w:cs="Calibri"/>
                <w:b/>
                <w:bCs/>
                <w:color w:val="000000"/>
              </w:rPr>
              <w:t>0.0078</w:t>
            </w:r>
          </w:p>
        </w:tc>
        <w:tc>
          <w:tcPr>
            <w:tcW w:w="2294" w:type="dxa"/>
            <w:tcBorders>
              <w:top w:val="nil"/>
              <w:left w:val="nil"/>
              <w:bottom w:val="single" w:sz="4" w:space="0" w:color="auto"/>
              <w:right w:val="nil"/>
            </w:tcBorders>
            <w:shd w:val="clear" w:color="auto" w:fill="auto"/>
            <w:noWrap/>
            <w:vAlign w:val="bottom"/>
            <w:hideMark/>
          </w:tcPr>
          <w:p w:rsidR="00F8021F" w:rsidRPr="004615EF" w:rsidRDefault="00F8021F" w:rsidP="00F8021F">
            <w:pPr>
              <w:rPr>
                <w:rFonts w:cs="Calibri"/>
                <w:color w:val="000000"/>
              </w:rPr>
            </w:pPr>
            <w:r w:rsidRPr="004615EF">
              <w:rPr>
                <w:rFonts w:cs="Calibri"/>
                <w:color w:val="000000"/>
              </w:rPr>
              <w:t>0.5000</w:t>
            </w:r>
          </w:p>
        </w:tc>
      </w:tr>
    </w:tbl>
    <w:p w:rsidR="00F8021F" w:rsidRPr="00F8021F" w:rsidRDefault="00F8021F" w:rsidP="00F8021F">
      <w:pPr>
        <w:jc w:val="center"/>
        <w:rPr>
          <w:b/>
        </w:rPr>
      </w:pPr>
      <w:r w:rsidRPr="00F8021F">
        <w:rPr>
          <w:b/>
        </w:rPr>
        <w:t>Table 10</w:t>
      </w:r>
      <w:r>
        <w:rPr>
          <w:b/>
        </w:rPr>
        <w:t xml:space="preserve">: </w:t>
      </w:r>
      <w:r w:rsidRPr="00F8021F">
        <w:t>Tests results of the AR-GJR-GARCH type models</w:t>
      </w:r>
    </w:p>
    <w:p w:rsidR="00F8021F" w:rsidRDefault="00F8021F" w:rsidP="00F8021F"/>
    <w:p w:rsidR="00F8021F" w:rsidRDefault="00F8021F" w:rsidP="00F8021F"/>
    <w:p w:rsidR="00F8021F" w:rsidRDefault="00F8021F" w:rsidP="00F8021F">
      <w:r>
        <w:t>In contrast, AR-GJR-GARCH type models perform much more poorly than AR-GARCH type models. The LB test results suggest that there are significant remaining autocorrelations in all assets and remaining ARCH effects in PTR and MMM. For the volatility equations, it only managed to capture the volatility processes in JNJ and MSFT and for the mean equations, it failed to capture the autocorrelations in all the assets. These suggest that a higher order in AR terms and GARCH terms are needed but since the current orders are chosen based on the results of AIC and SIC, we will leave the same orders in the models.</w:t>
      </w:r>
    </w:p>
    <w:p w:rsidR="00F8021F" w:rsidRDefault="00F8021F" w:rsidP="00F8021F">
      <w:r>
        <w:t xml:space="preserve">Moreover, the results of JB test suggest that MMM is the only asset that the t-distribution assumption is not appropriate for its errors. From </w:t>
      </w:r>
      <w:r>
        <w:rPr>
          <w:b/>
        </w:rPr>
        <w:t>F</w:t>
      </w:r>
      <w:r w:rsidRPr="00F8021F">
        <w:rPr>
          <w:b/>
        </w:rPr>
        <w:t xml:space="preserve">igure </w:t>
      </w:r>
      <w:r>
        <w:rPr>
          <w:b/>
        </w:rPr>
        <w:t>23</w:t>
      </w:r>
      <w:r>
        <w:t xml:space="preserve">, we can see that even after normal transformation, both tails in the </w:t>
      </w:r>
      <w:proofErr w:type="spellStart"/>
      <w:r>
        <w:t>qq</w:t>
      </w:r>
      <w:proofErr w:type="spellEnd"/>
      <w:r>
        <w:t>-plot still severely deviate from normality, which indicates that a different distribution assumption on the errors should be made.</w:t>
      </w:r>
    </w:p>
    <w:p w:rsidR="00F8021F" w:rsidRPr="00F8021F" w:rsidRDefault="00F8021F" w:rsidP="00F8021F">
      <w:pPr>
        <w:keepNext/>
        <w:jc w:val="center"/>
      </w:pPr>
      <w:r>
        <w:rPr>
          <w:noProof/>
        </w:rPr>
        <w:drawing>
          <wp:inline distT="0" distB="0" distL="0" distR="0" wp14:anchorId="4E599E80" wp14:editId="5F2270A9">
            <wp:extent cx="3788229" cy="2840834"/>
            <wp:effectExtent l="0" t="0" r="3175" b="0"/>
            <wp:docPr id="19" name="Picture 19" descr="C:\Users\macei\AppData\Local\Microsoft\Windows\INetCache\Content.Word\inverse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ei\AppData\Local\Microsoft\Windows\INetCache\Content.Word\inverse_t.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91625" cy="2843380"/>
                    </a:xfrm>
                    <a:prstGeom prst="rect">
                      <a:avLst/>
                    </a:prstGeom>
                    <a:noFill/>
                    <a:ln>
                      <a:noFill/>
                    </a:ln>
                  </pic:spPr>
                </pic:pic>
              </a:graphicData>
            </a:graphic>
          </wp:inline>
        </w:drawing>
      </w:r>
    </w:p>
    <w:p w:rsidR="00F8021F" w:rsidRDefault="00F8021F" w:rsidP="00F8021F">
      <w:pPr>
        <w:jc w:val="center"/>
      </w:pPr>
      <w:r>
        <w:rPr>
          <w:b/>
        </w:rPr>
        <w:t>F</w:t>
      </w:r>
      <w:r w:rsidRPr="00F8021F">
        <w:rPr>
          <w:b/>
        </w:rPr>
        <w:t xml:space="preserve">igure </w:t>
      </w:r>
      <w:r>
        <w:rPr>
          <w:b/>
        </w:rPr>
        <w:t>23</w:t>
      </w:r>
    </w:p>
    <w:p w:rsidR="00F8021F" w:rsidRPr="00353F9E" w:rsidRDefault="00F8021F" w:rsidP="00F8021F">
      <w:r>
        <w:t>The equations of Historical Simulation for the other 4 assets are the same as COKE, which are HS-25 and HS-5.</w:t>
      </w:r>
    </w:p>
    <w:p w:rsidR="000F2460" w:rsidRDefault="00C00DDE" w:rsidP="000F2460">
      <w:pPr>
        <w:pStyle w:val="1"/>
        <w:numPr>
          <w:ilvl w:val="0"/>
          <w:numId w:val="1"/>
        </w:numPr>
        <w:rPr>
          <w:lang w:val="en-US"/>
        </w:rPr>
      </w:pPr>
      <w:r>
        <w:rPr>
          <w:lang w:val="en-US"/>
        </w:rPr>
        <w:t>Forecast and Accuracy Measures</w:t>
      </w:r>
    </w:p>
    <w:p w:rsidR="00F8021F" w:rsidRDefault="00F8021F" w:rsidP="00F8021F">
      <w:pPr>
        <w:rPr>
          <w:lang w:val="en-SG"/>
        </w:rPr>
      </w:pPr>
    </w:p>
    <w:p w:rsidR="00F8021F" w:rsidRDefault="00F8021F" w:rsidP="00F8021F">
      <w:pPr>
        <w:jc w:val="both"/>
        <w:rPr>
          <w:lang w:val="en-SG"/>
        </w:rPr>
      </w:pPr>
      <w:r>
        <w:rPr>
          <w:lang w:val="en-SG"/>
        </w:rPr>
        <w:t xml:space="preserve">Based on the parametric, semi-parametric and non-parametric models selected above, we will first implement both one-step ahead and multi-period, including 840-step ahead and 10-step </w:t>
      </w:r>
      <w:r>
        <w:rPr>
          <w:lang w:val="en-SG"/>
        </w:rPr>
        <w:lastRenderedPageBreak/>
        <w:t>ahead, forecast methods to estimate our underlying assets’ return and volatility (measured by conditional standard deviation) in the selected 840 out of sample period - from 29/12/2014 to 30/04/2018. Then, we will assess the accuracy of return and volatility expectations with the comparison of assets’ daily return and volatility proxies individually. We will focus on analysing one-step ahead and 840-step ahead forecasts in this section since the 10-step ahead forecast is calculated for the purpose of weight optimization in the next sections. For the reason of unmeasurable in reality, true volatilities will be approximated with four commonly used alternatives, which includes the absolute mean corrected daily return and three different range based proxies. The specific expressions of them can be shown as:</w:t>
      </w:r>
    </w:p>
    <w:p w:rsidR="00F8021F" w:rsidRPr="0091004C" w:rsidRDefault="006050C2" w:rsidP="00F8021F">
      <w:pPr>
        <w:jc w:val="center"/>
        <w:rPr>
          <w:lang w:val="en-SG"/>
        </w:rPr>
      </w:pPr>
      <m:oMathPara>
        <m:oMathParaPr>
          <m:jc m:val="center"/>
        </m:oMathParaPr>
        <m:oMath>
          <m:sSubSup>
            <m:sSubSupPr>
              <m:ctrlPr>
                <w:rPr>
                  <w:rFonts w:ascii="Cambria Math" w:hAnsi="Cambria Math"/>
                  <w:i/>
                  <w:lang w:val="en-SG"/>
                </w:rPr>
              </m:ctrlPr>
            </m:sSubSupPr>
            <m:e>
              <m:r>
                <w:rPr>
                  <w:rFonts w:ascii="Cambria Math" w:hAnsi="Cambria Math"/>
                  <w:lang w:val="en-SG"/>
                </w:rPr>
                <m:t>σ</m:t>
              </m:r>
            </m:e>
            <m:sub>
              <m:r>
                <w:rPr>
                  <w:rFonts w:ascii="Cambria Math" w:hAnsi="Cambria Math"/>
                  <w:lang w:val="en-SG"/>
                </w:rPr>
                <m:t>t</m:t>
              </m:r>
            </m:sub>
            <m:sup>
              <m:r>
                <w:rPr>
                  <w:rFonts w:ascii="Cambria Math" w:hAnsi="Cambria Math"/>
                  <w:lang w:val="en-SG"/>
                </w:rPr>
                <m:t>(2)</m:t>
              </m:r>
            </m:sup>
          </m:sSubSup>
          <m:r>
            <w:rPr>
              <w:rFonts w:ascii="Cambria Math" w:hAnsi="Cambria Math"/>
              <w:lang w:val="en-SG"/>
            </w:rPr>
            <m:t xml:space="preserve">= </m:t>
          </m:r>
          <m:sSub>
            <m:sSubPr>
              <m:ctrlPr>
                <w:rPr>
                  <w:rFonts w:ascii="Cambria Math" w:hAnsi="Cambria Math"/>
                  <w:i/>
                  <w:lang w:val="en-SG"/>
                </w:rPr>
              </m:ctrlPr>
            </m:sSubPr>
            <m:e>
              <m:r>
                <w:rPr>
                  <w:rFonts w:ascii="Cambria Math" w:hAnsi="Cambria Math"/>
                  <w:lang w:val="en-SG"/>
                </w:rPr>
                <m:t>a</m:t>
              </m:r>
            </m:e>
            <m:sub>
              <m:r>
                <w:rPr>
                  <w:rFonts w:ascii="Cambria Math" w:hAnsi="Cambria Math"/>
                  <w:lang w:val="en-SG"/>
                </w:rPr>
                <m:t>t</m:t>
              </m:r>
            </m:sub>
          </m:sSub>
        </m:oMath>
      </m:oMathPara>
    </w:p>
    <w:p w:rsidR="00F8021F" w:rsidRPr="0091004C" w:rsidRDefault="006050C2" w:rsidP="00F8021F">
      <w:pPr>
        <w:jc w:val="center"/>
        <w:rPr>
          <w:lang w:val="en-SG"/>
        </w:rPr>
      </w:pPr>
      <m:oMathPara>
        <m:oMathParaPr>
          <m:jc m:val="center"/>
        </m:oMathParaPr>
        <m:oMath>
          <m:sSubSup>
            <m:sSubSupPr>
              <m:ctrlPr>
                <w:rPr>
                  <w:rFonts w:ascii="Cambria Math" w:hAnsi="Cambria Math"/>
                  <w:i/>
                  <w:lang w:val="en-SG"/>
                </w:rPr>
              </m:ctrlPr>
            </m:sSubSupPr>
            <m:e>
              <m:r>
                <w:rPr>
                  <w:rFonts w:ascii="Cambria Math" w:hAnsi="Cambria Math"/>
                  <w:lang w:val="en-SG"/>
                </w:rPr>
                <m:t>σ</m:t>
              </m:r>
            </m:e>
            <m:sub>
              <m:r>
                <w:rPr>
                  <w:rFonts w:ascii="Cambria Math" w:hAnsi="Cambria Math"/>
                  <w:lang w:val="en-SG"/>
                </w:rPr>
                <m:t>t</m:t>
              </m:r>
            </m:sub>
            <m:sup>
              <m:d>
                <m:dPr>
                  <m:ctrlPr>
                    <w:rPr>
                      <w:rFonts w:ascii="Cambria Math" w:hAnsi="Cambria Math"/>
                      <w:i/>
                      <w:lang w:val="en-SG"/>
                    </w:rPr>
                  </m:ctrlPr>
                </m:dPr>
                <m:e>
                  <m:r>
                    <w:rPr>
                      <w:rFonts w:ascii="Cambria Math" w:hAnsi="Cambria Math"/>
                      <w:lang w:val="en-SG"/>
                    </w:rPr>
                    <m:t>2</m:t>
                  </m:r>
                </m:e>
              </m:d>
            </m:sup>
          </m:sSubSup>
          <m:r>
            <w:rPr>
              <w:rFonts w:ascii="Cambria Math" w:hAnsi="Cambria Math"/>
              <w:lang w:val="en-SG"/>
            </w:rPr>
            <m:t>=</m:t>
          </m:r>
          <m:rad>
            <m:radPr>
              <m:degHide m:val="1"/>
              <m:ctrlPr>
                <w:rPr>
                  <w:rFonts w:ascii="Cambria Math" w:hAnsi="Cambria Math"/>
                  <w:i/>
                  <w:lang w:val="en-SG"/>
                </w:rPr>
              </m:ctrlPr>
            </m:radPr>
            <m:deg/>
            <m:e>
              <m:r>
                <w:rPr>
                  <w:rFonts w:ascii="Cambria Math" w:hAnsi="Cambria Math"/>
                  <w:lang w:val="en-SG"/>
                </w:rPr>
                <m:t>0.3607</m:t>
              </m:r>
            </m:e>
          </m:rad>
          <m:sSub>
            <m:sSubPr>
              <m:ctrlPr>
                <w:rPr>
                  <w:rFonts w:ascii="Cambria Math" w:hAnsi="Cambria Math"/>
                  <w:i/>
                  <w:lang w:val="en-SG"/>
                </w:rPr>
              </m:ctrlPr>
            </m:sSubPr>
            <m:e>
              <m:r>
                <w:rPr>
                  <w:rFonts w:ascii="Cambria Math" w:hAnsi="Cambria Math"/>
                  <w:lang w:val="en-SG"/>
                </w:rPr>
                <m:t>R</m:t>
              </m:r>
            </m:e>
            <m:sub>
              <m:r>
                <w:rPr>
                  <w:rFonts w:ascii="Cambria Math" w:hAnsi="Cambria Math"/>
                  <w:lang w:val="en-SG"/>
                </w:rPr>
                <m:t>t</m:t>
              </m:r>
            </m:sub>
          </m:sSub>
        </m:oMath>
      </m:oMathPara>
    </w:p>
    <w:p w:rsidR="00F8021F" w:rsidRPr="0091004C" w:rsidRDefault="006050C2" w:rsidP="00F8021F">
      <w:pPr>
        <w:jc w:val="center"/>
        <w:rPr>
          <w:lang w:val="en-SG"/>
        </w:rPr>
      </w:pPr>
      <m:oMathPara>
        <m:oMathParaPr>
          <m:jc m:val="center"/>
        </m:oMathParaPr>
        <m:oMath>
          <m:sSubSup>
            <m:sSubSupPr>
              <m:ctrlPr>
                <w:rPr>
                  <w:rFonts w:ascii="Cambria Math" w:hAnsi="Cambria Math"/>
                  <w:i/>
                  <w:lang w:val="en-SG"/>
                </w:rPr>
              </m:ctrlPr>
            </m:sSubSupPr>
            <m:e>
              <m:r>
                <w:rPr>
                  <w:rFonts w:ascii="Cambria Math" w:hAnsi="Cambria Math"/>
                  <w:lang w:val="en-SG"/>
                </w:rPr>
                <m:t>σ</m:t>
              </m:r>
            </m:e>
            <m:sub>
              <m:r>
                <w:rPr>
                  <w:rFonts w:ascii="Cambria Math" w:hAnsi="Cambria Math"/>
                  <w:lang w:val="en-SG"/>
                </w:rPr>
                <m:t>t</m:t>
              </m:r>
            </m:sub>
            <m:sup>
              <m:d>
                <m:dPr>
                  <m:ctrlPr>
                    <w:rPr>
                      <w:rFonts w:ascii="Cambria Math" w:hAnsi="Cambria Math"/>
                      <w:i/>
                      <w:lang w:val="en-SG"/>
                    </w:rPr>
                  </m:ctrlPr>
                </m:dPr>
                <m:e>
                  <m:r>
                    <w:rPr>
                      <w:rFonts w:ascii="Cambria Math" w:hAnsi="Cambria Math"/>
                      <w:lang w:val="en-SG"/>
                    </w:rPr>
                    <m:t>3</m:t>
                  </m:r>
                </m:e>
              </m:d>
            </m:sup>
          </m:sSubSup>
          <m:r>
            <w:rPr>
              <w:rFonts w:ascii="Cambria Math" w:hAnsi="Cambria Math"/>
              <w:lang w:val="en-SG"/>
            </w:rPr>
            <m:t>=</m:t>
          </m:r>
          <m:rad>
            <m:radPr>
              <m:degHide m:val="1"/>
              <m:ctrlPr>
                <w:rPr>
                  <w:rFonts w:ascii="Cambria Math" w:hAnsi="Cambria Math"/>
                  <w:i/>
                  <w:lang w:val="en-SG"/>
                </w:rPr>
              </m:ctrlPr>
            </m:radPr>
            <m:deg/>
            <m:e>
              <m:r>
                <w:rPr>
                  <w:rFonts w:ascii="Cambria Math" w:hAnsi="Cambria Math"/>
                  <w:lang w:val="en-SG"/>
                </w:rPr>
                <m:t>1.107</m:t>
              </m:r>
              <m:sSubSup>
                <m:sSubSupPr>
                  <m:ctrlPr>
                    <w:rPr>
                      <w:rFonts w:ascii="Cambria Math" w:hAnsi="Cambria Math"/>
                      <w:i/>
                      <w:lang w:val="en-SG"/>
                    </w:rPr>
                  </m:ctrlPr>
                </m:sSubSupPr>
                <m:e>
                  <m:r>
                    <w:rPr>
                      <w:rFonts w:ascii="Cambria Math" w:hAnsi="Cambria Math"/>
                      <w:lang w:val="en-SG"/>
                    </w:rPr>
                    <m:t>σ</m:t>
                  </m:r>
                </m:e>
                <m:sub>
                  <m:r>
                    <w:rPr>
                      <w:rFonts w:ascii="Cambria Math" w:hAnsi="Cambria Math"/>
                      <w:lang w:val="en-SG"/>
                    </w:rPr>
                    <m:t>t</m:t>
                  </m:r>
                </m:sub>
                <m:sup>
                  <m:r>
                    <w:rPr>
                      <w:rFonts w:ascii="Cambria Math" w:hAnsi="Cambria Math"/>
                      <w:lang w:val="en-SG"/>
                    </w:rPr>
                    <m:t>2</m:t>
                  </m:r>
                  <m:d>
                    <m:dPr>
                      <m:ctrlPr>
                        <w:rPr>
                          <w:rFonts w:ascii="Cambria Math" w:hAnsi="Cambria Math"/>
                          <w:i/>
                          <w:lang w:val="en-SG"/>
                        </w:rPr>
                      </m:ctrlPr>
                    </m:dPr>
                    <m:e>
                      <m:r>
                        <w:rPr>
                          <w:rFonts w:ascii="Cambria Math" w:hAnsi="Cambria Math"/>
                          <w:lang w:val="en-SG"/>
                        </w:rPr>
                        <m:t>1</m:t>
                      </m:r>
                    </m:e>
                  </m:d>
                </m:sup>
              </m:sSubSup>
              <m:r>
                <w:rPr>
                  <w:rFonts w:ascii="Cambria Math" w:hAnsi="Cambria Math"/>
                  <w:lang w:val="en-SG"/>
                </w:rPr>
                <m:t>+0.68×100</m:t>
              </m:r>
              <m:func>
                <m:funcPr>
                  <m:ctrlPr>
                    <w:rPr>
                      <w:rFonts w:ascii="Cambria Math" w:hAnsi="Cambria Math"/>
                      <w:lang w:val="en-SG"/>
                    </w:rPr>
                  </m:ctrlPr>
                </m:funcPr>
                <m:fName>
                  <m:r>
                    <m:rPr>
                      <m:sty m:val="p"/>
                    </m:rPr>
                    <w:rPr>
                      <w:rFonts w:ascii="Cambria Math" w:hAnsi="Cambria Math"/>
                      <w:lang w:val="en-SG"/>
                    </w:rPr>
                    <m:t>log</m:t>
                  </m:r>
                </m:fName>
                <m:e>
                  <m:d>
                    <m:dPr>
                      <m:ctrlPr>
                        <w:rPr>
                          <w:rFonts w:ascii="Cambria Math" w:hAnsi="Cambria Math"/>
                          <w:i/>
                          <w:lang w:val="en-SG"/>
                        </w:rPr>
                      </m:ctrlPr>
                    </m:dPr>
                    <m:e>
                      <m:f>
                        <m:fPr>
                          <m:type m:val="skw"/>
                          <m:ctrlPr>
                            <w:rPr>
                              <w:rFonts w:ascii="Cambria Math" w:hAnsi="Cambria Math"/>
                              <w:i/>
                              <w:lang w:val="en-SG"/>
                            </w:rPr>
                          </m:ctrlPr>
                        </m:fPr>
                        <m:num>
                          <m:sSub>
                            <m:sSubPr>
                              <m:ctrlPr>
                                <w:rPr>
                                  <w:rFonts w:ascii="Cambria Math" w:hAnsi="Cambria Math"/>
                                  <w:i/>
                                  <w:lang w:val="en-SG"/>
                                </w:rPr>
                              </m:ctrlPr>
                            </m:sSubPr>
                            <m:e>
                              <m:r>
                                <w:rPr>
                                  <w:rFonts w:ascii="Cambria Math" w:hAnsi="Cambria Math"/>
                                  <w:lang w:val="en-SG"/>
                                </w:rPr>
                                <m:t>O</m:t>
                              </m:r>
                            </m:e>
                            <m:sub>
                              <m:r>
                                <w:rPr>
                                  <w:rFonts w:ascii="Cambria Math" w:hAnsi="Cambria Math"/>
                                  <w:lang w:val="en-SG"/>
                                </w:rPr>
                                <m:t>t</m:t>
                              </m:r>
                            </m:sub>
                          </m:sSub>
                        </m:num>
                        <m:den>
                          <m:sSub>
                            <m:sSubPr>
                              <m:ctrlPr>
                                <w:rPr>
                                  <w:rFonts w:ascii="Cambria Math" w:hAnsi="Cambria Math"/>
                                  <w:i/>
                                  <w:lang w:val="en-SG"/>
                                </w:rPr>
                              </m:ctrlPr>
                            </m:sSubPr>
                            <m:e>
                              <m:r>
                                <w:rPr>
                                  <w:rFonts w:ascii="Cambria Math" w:hAnsi="Cambria Math"/>
                                  <w:lang w:val="en-SG"/>
                                </w:rPr>
                                <m:t>C</m:t>
                              </m:r>
                            </m:e>
                            <m:sub>
                              <m:r>
                                <w:rPr>
                                  <w:rFonts w:ascii="Cambria Math" w:hAnsi="Cambria Math"/>
                                  <w:lang w:val="en-SG"/>
                                </w:rPr>
                                <m:t>t-1</m:t>
                              </m:r>
                            </m:sub>
                          </m:sSub>
                        </m:den>
                      </m:f>
                    </m:e>
                  </m:d>
                </m:e>
              </m:func>
            </m:e>
          </m:rad>
        </m:oMath>
      </m:oMathPara>
    </w:p>
    <w:p w:rsidR="00F8021F" w:rsidRPr="0091004C" w:rsidRDefault="006050C2" w:rsidP="00F8021F">
      <w:pPr>
        <w:jc w:val="center"/>
        <w:rPr>
          <w:lang w:val="en-SG"/>
        </w:rPr>
      </w:pPr>
      <m:oMathPara>
        <m:oMathParaPr>
          <m:jc m:val="center"/>
        </m:oMathParaPr>
        <m:oMath>
          <m:sSubSup>
            <m:sSubSupPr>
              <m:ctrlPr>
                <w:rPr>
                  <w:rFonts w:ascii="Cambria Math" w:hAnsi="Cambria Math"/>
                  <w:i/>
                  <w:lang w:val="en-SG"/>
                </w:rPr>
              </m:ctrlPr>
            </m:sSubSupPr>
            <m:e>
              <m:r>
                <w:rPr>
                  <w:rFonts w:ascii="Cambria Math" w:hAnsi="Cambria Math"/>
                  <w:lang w:val="en-SG"/>
                </w:rPr>
                <m:t>σ</m:t>
              </m:r>
            </m:e>
            <m:sub>
              <m:r>
                <w:rPr>
                  <w:rFonts w:ascii="Cambria Math" w:hAnsi="Cambria Math"/>
                  <w:lang w:val="en-SG"/>
                </w:rPr>
                <m:t>t</m:t>
              </m:r>
            </m:sub>
            <m:sup>
              <m:r>
                <w:rPr>
                  <w:rFonts w:ascii="Cambria Math" w:hAnsi="Cambria Math"/>
                  <w:lang w:val="en-SG"/>
                </w:rPr>
                <m:t>2(4)</m:t>
              </m:r>
            </m:sup>
          </m:sSubSup>
          <m:r>
            <w:rPr>
              <w:rFonts w:ascii="Cambria Math" w:hAnsi="Cambria Math"/>
              <w:lang w:val="en-SG"/>
            </w:rPr>
            <m:t>=</m:t>
          </m:r>
          <m:r>
            <m:rPr>
              <m:sty m:val="p"/>
            </m:rPr>
            <w:rPr>
              <w:rFonts w:ascii="Cambria Math" w:hAnsi="Cambria Math"/>
              <w:lang w:val="en-SG"/>
            </w:rPr>
            <m:t>exp⁡</m:t>
          </m:r>
          <m:r>
            <w:rPr>
              <w:rFonts w:ascii="Cambria Math" w:hAnsi="Cambria Math"/>
              <w:lang w:val="en-SG"/>
            </w:rPr>
            <m:t>(</m:t>
          </m:r>
          <m:func>
            <m:funcPr>
              <m:ctrlPr>
                <w:rPr>
                  <w:rFonts w:ascii="Cambria Math" w:hAnsi="Cambria Math"/>
                  <w:lang w:val="en-SG"/>
                </w:rPr>
              </m:ctrlPr>
            </m:funcPr>
            <m:fName>
              <m:r>
                <m:rPr>
                  <m:sty m:val="p"/>
                </m:rPr>
                <w:rPr>
                  <w:rFonts w:ascii="Cambria Math" w:hAnsi="Cambria Math"/>
                  <w:lang w:val="en-SG"/>
                </w:rPr>
                <m:t>log</m:t>
              </m:r>
              <m:ctrlPr>
                <w:rPr>
                  <w:rFonts w:ascii="Cambria Math" w:hAnsi="Cambria Math"/>
                  <w:i/>
                  <w:lang w:val="en-SG"/>
                </w:rPr>
              </m:ctrlPr>
            </m:fName>
            <m:e>
              <m:d>
                <m:dPr>
                  <m:ctrlPr>
                    <w:rPr>
                      <w:rFonts w:ascii="Cambria Math" w:hAnsi="Cambria Math"/>
                      <w:i/>
                      <w:lang w:val="en-SG"/>
                    </w:rPr>
                  </m:ctrlPr>
                </m:dPr>
                <m:e>
                  <m:sSub>
                    <m:sSubPr>
                      <m:ctrlPr>
                        <w:rPr>
                          <w:rFonts w:ascii="Cambria Math" w:hAnsi="Cambria Math"/>
                          <w:i/>
                          <w:lang w:val="en-SG"/>
                        </w:rPr>
                      </m:ctrlPr>
                    </m:sSubPr>
                    <m:e>
                      <m:r>
                        <w:rPr>
                          <w:rFonts w:ascii="Cambria Math" w:hAnsi="Cambria Math"/>
                          <w:lang w:val="en-SG"/>
                        </w:rPr>
                        <m:t>R</m:t>
                      </m:r>
                    </m:e>
                    <m:sub>
                      <m:r>
                        <w:rPr>
                          <w:rFonts w:ascii="Cambria Math" w:hAnsi="Cambria Math"/>
                          <w:lang w:val="en-SG"/>
                        </w:rPr>
                        <m:t>t</m:t>
                      </m:r>
                    </m:sub>
                  </m:sSub>
                </m:e>
              </m:d>
            </m:e>
          </m:func>
          <m:r>
            <w:rPr>
              <w:rFonts w:ascii="Cambria Math" w:hAnsi="Cambria Math"/>
              <w:lang w:val="en-SG"/>
            </w:rPr>
            <m:t>-0.43+</m:t>
          </m:r>
          <m:sSup>
            <m:sSupPr>
              <m:ctrlPr>
                <w:rPr>
                  <w:rFonts w:ascii="Cambria Math" w:hAnsi="Cambria Math"/>
                  <w:i/>
                  <w:lang w:val="en-SG"/>
                </w:rPr>
              </m:ctrlPr>
            </m:sSupPr>
            <m:e>
              <m:r>
                <w:rPr>
                  <w:rFonts w:ascii="Cambria Math" w:hAnsi="Cambria Math"/>
                  <w:lang w:val="en-SG"/>
                </w:rPr>
                <m:t>0.29</m:t>
              </m:r>
            </m:e>
            <m:sup>
              <m:r>
                <w:rPr>
                  <w:rFonts w:ascii="Cambria Math" w:hAnsi="Cambria Math"/>
                  <w:lang w:val="en-SG"/>
                </w:rPr>
                <m:t>2</m:t>
              </m:r>
            </m:sup>
          </m:sSup>
          <m:r>
            <w:rPr>
              <w:rFonts w:ascii="Cambria Math" w:hAnsi="Cambria Math"/>
              <w:lang w:val="en-SG"/>
            </w:rPr>
            <m:t>)</m:t>
          </m:r>
        </m:oMath>
      </m:oMathPara>
    </w:p>
    <w:p w:rsidR="00F8021F" w:rsidRPr="00DC11EE" w:rsidRDefault="00F8021F" w:rsidP="00F8021F">
      <w:pPr>
        <w:rPr>
          <w:lang w:val="en-SG"/>
        </w:rPr>
      </w:pPr>
      <w:r>
        <w:rPr>
          <w:lang w:val="en-SG"/>
        </w:rPr>
        <w:t>Below, one asset will be illustrated in detail and the results of others will be presented in summary.</w:t>
      </w:r>
    </w:p>
    <w:p w:rsidR="00F8021F" w:rsidRPr="00F8021F" w:rsidRDefault="00F8021F" w:rsidP="00F8021F">
      <w:pPr>
        <w:rPr>
          <w:lang w:val="en-SG"/>
        </w:rPr>
      </w:pPr>
    </w:p>
    <w:p w:rsidR="00F8021F" w:rsidRPr="00F8021F" w:rsidRDefault="00F8021F" w:rsidP="00F8021F">
      <w:pPr>
        <w:pStyle w:val="2"/>
        <w:numPr>
          <w:ilvl w:val="1"/>
          <w:numId w:val="1"/>
        </w:numPr>
        <w:rPr>
          <w:lang w:val="en-SG"/>
        </w:rPr>
      </w:pPr>
      <w:r w:rsidRPr="0083652A">
        <w:rPr>
          <w:lang w:val="en-SG"/>
        </w:rPr>
        <w:t>Forecast and Volatility Assessment</w:t>
      </w:r>
    </w:p>
    <w:p w:rsidR="00F8021F" w:rsidRPr="00F8021F" w:rsidRDefault="00F8021F" w:rsidP="00F8021F">
      <w:pPr>
        <w:rPr>
          <w:lang w:val="en-SG"/>
        </w:rPr>
      </w:pPr>
      <w:r>
        <w:rPr>
          <w:lang w:val="en-SG"/>
        </w:rPr>
        <w:t>We will concentrate on the analysis of Coke-Cola (COKE) here and summarize the forecast results of Microsoft (MSFT), Jonson &amp; Jonson (JNJ), 3M (MMM) and Petrol China (PTR).</w:t>
      </w:r>
    </w:p>
    <w:p w:rsidR="00F8021F" w:rsidRDefault="00F8021F" w:rsidP="00F8021F">
      <w:pPr>
        <w:pStyle w:val="3"/>
        <w:numPr>
          <w:ilvl w:val="2"/>
          <w:numId w:val="1"/>
        </w:numPr>
        <w:rPr>
          <w:lang w:val="en-US"/>
        </w:rPr>
      </w:pPr>
      <w:r w:rsidRPr="00F8021F">
        <w:rPr>
          <w:lang w:val="en-US"/>
        </w:rPr>
        <w:t>Return Forecast and Accuracy Assessment</w:t>
      </w:r>
    </w:p>
    <w:p w:rsidR="00F8021F" w:rsidRPr="0083652A" w:rsidRDefault="00F8021F" w:rsidP="00F8021F">
      <w:pPr>
        <w:pStyle w:val="4"/>
        <w:rPr>
          <w:lang w:val="en-SG"/>
        </w:rPr>
      </w:pPr>
      <w:r w:rsidRPr="0083652A">
        <w:rPr>
          <w:lang w:val="en-SG"/>
        </w:rPr>
        <w:t>One-Step Ahead Forecast and Assessment</w:t>
      </w:r>
    </w:p>
    <w:p w:rsidR="00F8021F" w:rsidRPr="0083652A" w:rsidRDefault="00F8021F" w:rsidP="00F8021F">
      <w:pPr>
        <w:pStyle w:val="5"/>
        <w:rPr>
          <w:lang w:val="en-SG"/>
        </w:rPr>
      </w:pPr>
      <w:r w:rsidRPr="0083652A">
        <w:rPr>
          <w:lang w:val="en-SG"/>
        </w:rPr>
        <w:t>Return Forecast</w:t>
      </w:r>
    </w:p>
    <w:p w:rsidR="00F8021F" w:rsidRPr="00F8021F" w:rsidRDefault="00F8021F" w:rsidP="00F8021F">
      <w:pPr>
        <w:jc w:val="both"/>
        <w:rPr>
          <w:lang w:val="en-SG"/>
        </w:rPr>
      </w:pPr>
      <w:r>
        <w:rPr>
          <w:lang w:val="en-SG"/>
        </w:rPr>
        <w:t xml:space="preserve">We </w:t>
      </w:r>
      <w:r w:rsidRPr="00F8021F">
        <w:rPr>
          <w:lang w:val="en-SG"/>
        </w:rPr>
        <w:t>generate the general forecast results plot for the whole out of sample forecast periods as shown in</w:t>
      </w:r>
      <w:r w:rsidRPr="00F8021F">
        <w:rPr>
          <w:b/>
          <w:lang w:val="en-SG"/>
        </w:rPr>
        <w:t xml:space="preserve"> Figure 24</w:t>
      </w:r>
      <w:r w:rsidRPr="00F8021F">
        <w:rPr>
          <w:lang w:val="en-SG"/>
        </w:rPr>
        <w:t xml:space="preserve">, and 50-day Out of sample forecast, started from 12/26/2014, for the convenience of demonstration, seen in </w:t>
      </w:r>
      <w:r w:rsidRPr="00F8021F">
        <w:rPr>
          <w:b/>
          <w:lang w:val="en-SG"/>
        </w:rPr>
        <w:t>Figure 24</w:t>
      </w:r>
      <w:r w:rsidRPr="00F8021F">
        <w:rPr>
          <w:lang w:val="en-SG"/>
        </w:rPr>
        <w:t>. We can easily see from the two figures below, parametric methods, including AR (1)-GARCH (1,1)-</w:t>
      </w:r>
      <w:r>
        <w:rPr>
          <w:lang w:val="en-SG"/>
        </w:rPr>
        <w:t>t and AR (1)-GJR-GJR-GARCH (1,1)-t, tend to forecast more smooth and small returns, which are all centred around 0, whereas nonparametric methods’ estimations are more volatile and can well follow the up and down movement of the assets observed returns. However, all of these methods are estimated smaller than COKE’s real returns, which is reasonable, since there will always be uncapturable white noise in our dataset and our models will smooth those noisy part into residual terms.</w:t>
      </w:r>
    </w:p>
    <w:p w:rsidR="00F8021F" w:rsidRDefault="00F8021F" w:rsidP="00F8021F">
      <w:pPr>
        <w:rPr>
          <w:lang w:val="en-US"/>
        </w:rPr>
      </w:pPr>
      <w:r>
        <w:rPr>
          <w:noProof/>
          <w:lang w:val="en-SG"/>
        </w:rPr>
        <w:drawing>
          <wp:inline distT="0" distB="0" distL="0" distR="0" wp14:anchorId="775E8BA0" wp14:editId="011F6FD1">
            <wp:extent cx="5659858" cy="2106592"/>
            <wp:effectExtent l="0" t="0" r="444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ke_rtn_who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86068" cy="2116347"/>
                    </a:xfrm>
                    <a:prstGeom prst="rect">
                      <a:avLst/>
                    </a:prstGeom>
                  </pic:spPr>
                </pic:pic>
              </a:graphicData>
            </a:graphic>
          </wp:inline>
        </w:drawing>
      </w:r>
    </w:p>
    <w:p w:rsidR="00F8021F" w:rsidRDefault="00F8021F" w:rsidP="00F8021F">
      <w:pPr>
        <w:rPr>
          <w:b/>
          <w:i/>
          <w:lang w:val="en-SG"/>
        </w:rPr>
      </w:pPr>
      <w:r>
        <w:rPr>
          <w:b/>
          <w:i/>
          <w:lang w:val="en-SG"/>
        </w:rPr>
        <w:t xml:space="preserve">         </w:t>
      </w:r>
      <w:r w:rsidRPr="00F8021F">
        <w:rPr>
          <w:b/>
          <w:i/>
          <w:lang w:val="en-SG"/>
        </w:rPr>
        <w:t>Figure 24</w:t>
      </w:r>
      <w:r w:rsidRPr="002B568D">
        <w:rPr>
          <w:b/>
          <w:i/>
          <w:lang w:val="en-SG"/>
        </w:rPr>
        <w:t xml:space="preserve">: </w:t>
      </w:r>
      <w:r>
        <w:rPr>
          <w:b/>
          <w:i/>
          <w:lang w:val="en-SG"/>
        </w:rPr>
        <w:t xml:space="preserve">COKE </w:t>
      </w:r>
      <w:r w:rsidRPr="002B568D">
        <w:rPr>
          <w:b/>
          <w:i/>
          <w:lang w:val="en-SG"/>
        </w:rPr>
        <w:t>840d</w:t>
      </w:r>
      <w:r>
        <w:rPr>
          <w:b/>
          <w:i/>
          <w:lang w:val="en-SG"/>
        </w:rPr>
        <w:t xml:space="preserve"> Out of</w:t>
      </w:r>
      <w:r w:rsidRPr="002B568D">
        <w:rPr>
          <w:b/>
          <w:i/>
          <w:lang w:val="en-SG"/>
        </w:rPr>
        <w:t xml:space="preserve"> Sample One-Step Ahead Forecast of four different methods</w:t>
      </w:r>
    </w:p>
    <w:p w:rsidR="00F8021F" w:rsidRDefault="00F8021F" w:rsidP="00F8021F">
      <w:pPr>
        <w:jc w:val="center"/>
        <w:rPr>
          <w:b/>
          <w:i/>
          <w:lang w:val="en-SG"/>
        </w:rPr>
      </w:pPr>
      <w:r>
        <w:rPr>
          <w:b/>
          <w:i/>
          <w:noProof/>
          <w:lang w:val="en-SG"/>
        </w:rPr>
        <w:lastRenderedPageBreak/>
        <w:drawing>
          <wp:inline distT="0" distB="0" distL="0" distR="0" wp14:anchorId="7306F2B0" wp14:editId="6C994245">
            <wp:extent cx="3809425" cy="2857280"/>
            <wp:effectExtent l="0" t="0" r="635" b="63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ke_rtn_50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27364" cy="2870735"/>
                    </a:xfrm>
                    <a:prstGeom prst="rect">
                      <a:avLst/>
                    </a:prstGeom>
                  </pic:spPr>
                </pic:pic>
              </a:graphicData>
            </a:graphic>
          </wp:inline>
        </w:drawing>
      </w:r>
    </w:p>
    <w:p w:rsidR="00F8021F" w:rsidRPr="003A5BBE" w:rsidRDefault="00F8021F" w:rsidP="00F8021F">
      <w:pPr>
        <w:jc w:val="center"/>
        <w:rPr>
          <w:b/>
          <w:i/>
          <w:lang w:val="en-SG"/>
        </w:rPr>
      </w:pPr>
      <w:r w:rsidRPr="00F8021F">
        <w:rPr>
          <w:b/>
          <w:i/>
          <w:lang w:val="en-SG"/>
        </w:rPr>
        <w:t>Figure 25</w:t>
      </w:r>
      <w:r>
        <w:rPr>
          <w:b/>
          <w:i/>
          <w:lang w:val="en-SG"/>
        </w:rPr>
        <w:t>: COKE 5</w:t>
      </w:r>
      <w:r w:rsidRPr="002B568D">
        <w:rPr>
          <w:b/>
          <w:i/>
          <w:lang w:val="en-SG"/>
        </w:rPr>
        <w:t>0d</w:t>
      </w:r>
      <w:r>
        <w:rPr>
          <w:b/>
          <w:i/>
          <w:lang w:val="en-SG"/>
        </w:rPr>
        <w:t xml:space="preserve"> Out of</w:t>
      </w:r>
      <w:r w:rsidRPr="002B568D">
        <w:rPr>
          <w:b/>
          <w:i/>
          <w:lang w:val="en-SG"/>
        </w:rPr>
        <w:t xml:space="preserve"> Sample One-Step Ahead For</w:t>
      </w:r>
      <w:r>
        <w:rPr>
          <w:b/>
          <w:i/>
          <w:lang w:val="en-SG"/>
        </w:rPr>
        <w:t>ecast of four different methods</w:t>
      </w:r>
    </w:p>
    <w:p w:rsidR="00F8021F" w:rsidRDefault="00F8021F" w:rsidP="00F8021F">
      <w:pPr>
        <w:pStyle w:val="5"/>
        <w:rPr>
          <w:lang w:val="en-SG"/>
        </w:rPr>
      </w:pPr>
      <w:r w:rsidRPr="0083652A">
        <w:rPr>
          <w:lang w:val="en-SG"/>
        </w:rPr>
        <w:t xml:space="preserve">Accuracy Assessment </w:t>
      </w:r>
    </w:p>
    <w:p w:rsidR="00F8021F" w:rsidRPr="0083652A" w:rsidRDefault="00F8021F" w:rsidP="00F8021F">
      <w:pPr>
        <w:rPr>
          <w:lang w:val="en-SG"/>
        </w:rPr>
      </w:pPr>
      <w:r>
        <w:rPr>
          <w:lang w:val="en-SG"/>
        </w:rPr>
        <w:t>We can see from the RMSE and MAD score table, HS-5 method performs the best among others in COKE’s return forecast while AR (1)-GARCH (1,1)-t and HS-25 rank at the bottom in RMSE and MAD measurement separately. Thus, we can conclude that HS-5 selected here have more capability in forecasting returns than others. Combined with the effort and time costed by parametric models, HS-5 are much better choice when generating 1-step return forecast for COKE.</w:t>
      </w:r>
    </w:p>
    <w:tbl>
      <w:tblPr>
        <w:tblW w:w="0" w:type="auto"/>
        <w:jc w:val="center"/>
        <w:tblBorders>
          <w:top w:val="single" w:sz="12" w:space="0" w:color="auto"/>
          <w:bottom w:val="single" w:sz="12" w:space="0" w:color="auto"/>
        </w:tblBorders>
        <w:tblLook w:val="04A0" w:firstRow="1" w:lastRow="0" w:firstColumn="1" w:lastColumn="0" w:noHBand="0" w:noVBand="1"/>
      </w:tblPr>
      <w:tblGrid>
        <w:gridCol w:w="779"/>
        <w:gridCol w:w="2273"/>
        <w:gridCol w:w="2714"/>
        <w:gridCol w:w="889"/>
        <w:gridCol w:w="885"/>
      </w:tblGrid>
      <w:tr w:rsidR="00F8021F" w:rsidRPr="0045720B" w:rsidTr="00F8021F">
        <w:trPr>
          <w:trHeight w:val="285"/>
          <w:jc w:val="center"/>
        </w:trPr>
        <w:tc>
          <w:tcPr>
            <w:tcW w:w="0" w:type="auto"/>
            <w:gridSpan w:val="5"/>
            <w:tcBorders>
              <w:top w:val="nil"/>
              <w:bottom w:val="single" w:sz="12" w:space="0" w:color="auto"/>
            </w:tcBorders>
            <w:shd w:val="clear" w:color="auto" w:fill="auto"/>
            <w:noWrap/>
            <w:vAlign w:val="bottom"/>
          </w:tcPr>
          <w:p w:rsidR="00F8021F" w:rsidRPr="0045720B" w:rsidRDefault="00F8021F" w:rsidP="00F8021F">
            <w:pPr>
              <w:rPr>
                <w:rFonts w:ascii="Calibri" w:hAnsi="Calibri" w:cs="Calibri"/>
                <w:b/>
                <w:bCs/>
                <w:color w:val="000000"/>
              </w:rPr>
            </w:pPr>
            <w:r w:rsidRPr="0045720B">
              <w:rPr>
                <w:rFonts w:ascii="Calibri" w:hAnsi="Calibri" w:cs="Calibri"/>
                <w:b/>
                <w:bCs/>
                <w:color w:val="000000"/>
              </w:rPr>
              <w:t xml:space="preserve">Accuracy Measurement of </w:t>
            </w:r>
            <w:r>
              <w:rPr>
                <w:rFonts w:ascii="Calibri" w:hAnsi="Calibri" w:cs="Calibri"/>
                <w:b/>
                <w:bCs/>
                <w:color w:val="000000"/>
              </w:rPr>
              <w:t>COKE One Step A</w:t>
            </w:r>
            <w:r w:rsidRPr="0045720B">
              <w:rPr>
                <w:rFonts w:ascii="Calibri" w:hAnsi="Calibri" w:cs="Calibri"/>
                <w:b/>
                <w:bCs/>
                <w:color w:val="000000"/>
              </w:rPr>
              <w:t>head Forecast</w:t>
            </w:r>
          </w:p>
        </w:tc>
      </w:tr>
      <w:tr w:rsidR="00F8021F" w:rsidRPr="0045720B" w:rsidTr="00F8021F">
        <w:trPr>
          <w:trHeight w:val="285"/>
          <w:jc w:val="center"/>
        </w:trPr>
        <w:tc>
          <w:tcPr>
            <w:tcW w:w="0" w:type="auto"/>
            <w:tcBorders>
              <w:top w:val="single" w:sz="12" w:space="0" w:color="auto"/>
              <w:bottom w:val="single" w:sz="8" w:space="0" w:color="auto"/>
            </w:tcBorders>
            <w:shd w:val="clear" w:color="auto" w:fill="auto"/>
            <w:noWrap/>
            <w:vAlign w:val="bottom"/>
            <w:hideMark/>
          </w:tcPr>
          <w:p w:rsidR="00F8021F" w:rsidRPr="0083652A" w:rsidRDefault="00F8021F" w:rsidP="00F8021F"/>
        </w:tc>
        <w:tc>
          <w:tcPr>
            <w:tcW w:w="0" w:type="auto"/>
            <w:tcBorders>
              <w:top w:val="single" w:sz="12" w:space="0" w:color="auto"/>
              <w:bottom w:val="single" w:sz="8" w:space="0" w:color="auto"/>
            </w:tcBorders>
            <w:shd w:val="clear" w:color="auto" w:fill="auto"/>
            <w:noWrap/>
            <w:vAlign w:val="bottom"/>
            <w:hideMark/>
          </w:tcPr>
          <w:p w:rsidR="00F8021F" w:rsidRPr="0083652A" w:rsidRDefault="00F8021F" w:rsidP="00F8021F">
            <w:pPr>
              <w:jc w:val="center"/>
              <w:rPr>
                <w:rFonts w:ascii="Calibri" w:hAnsi="Calibri" w:cs="Calibri"/>
                <w:b/>
                <w:bCs/>
                <w:color w:val="000000"/>
              </w:rPr>
            </w:pPr>
            <w:r w:rsidRPr="0083652A">
              <w:rPr>
                <w:rFonts w:ascii="Calibri" w:hAnsi="Calibri" w:cs="Calibri"/>
                <w:b/>
                <w:bCs/>
                <w:color w:val="000000"/>
              </w:rPr>
              <w:t>AR</w:t>
            </w:r>
            <w:r w:rsidRPr="0045720B">
              <w:rPr>
                <w:rFonts w:ascii="Calibri" w:hAnsi="Calibri" w:cs="Calibri"/>
                <w:b/>
                <w:bCs/>
                <w:color w:val="000000"/>
              </w:rPr>
              <w:t xml:space="preserve"> </w:t>
            </w:r>
            <w:r w:rsidRPr="0083652A">
              <w:rPr>
                <w:rFonts w:ascii="Calibri" w:hAnsi="Calibri" w:cs="Calibri"/>
                <w:b/>
                <w:bCs/>
                <w:color w:val="000000"/>
              </w:rPr>
              <w:t>(1)-GARCH</w:t>
            </w:r>
            <w:r w:rsidRPr="0045720B">
              <w:rPr>
                <w:rFonts w:ascii="Calibri" w:hAnsi="Calibri" w:cs="Calibri"/>
                <w:b/>
                <w:bCs/>
                <w:color w:val="000000"/>
              </w:rPr>
              <w:t xml:space="preserve"> </w:t>
            </w:r>
            <w:r w:rsidRPr="0083652A">
              <w:rPr>
                <w:rFonts w:ascii="Calibri" w:hAnsi="Calibri" w:cs="Calibri"/>
                <w:b/>
                <w:bCs/>
                <w:color w:val="000000"/>
              </w:rPr>
              <w:t>(1,1)-t</w:t>
            </w:r>
          </w:p>
        </w:tc>
        <w:tc>
          <w:tcPr>
            <w:tcW w:w="0" w:type="auto"/>
            <w:tcBorders>
              <w:top w:val="single" w:sz="12" w:space="0" w:color="auto"/>
              <w:bottom w:val="single" w:sz="8" w:space="0" w:color="auto"/>
            </w:tcBorders>
            <w:shd w:val="clear" w:color="auto" w:fill="auto"/>
            <w:noWrap/>
            <w:vAlign w:val="bottom"/>
            <w:hideMark/>
          </w:tcPr>
          <w:p w:rsidR="00F8021F" w:rsidRPr="0083652A" w:rsidRDefault="00F8021F" w:rsidP="00F8021F">
            <w:pPr>
              <w:jc w:val="center"/>
              <w:rPr>
                <w:rFonts w:ascii="Calibri" w:hAnsi="Calibri" w:cs="Calibri"/>
                <w:b/>
                <w:bCs/>
                <w:color w:val="000000"/>
              </w:rPr>
            </w:pPr>
            <w:r w:rsidRPr="0083652A">
              <w:rPr>
                <w:rFonts w:ascii="Calibri" w:hAnsi="Calibri" w:cs="Calibri"/>
                <w:b/>
                <w:bCs/>
                <w:color w:val="000000"/>
              </w:rPr>
              <w:t>AR</w:t>
            </w:r>
            <w:r w:rsidRPr="0045720B">
              <w:rPr>
                <w:rFonts w:ascii="Calibri" w:hAnsi="Calibri" w:cs="Calibri"/>
                <w:b/>
                <w:bCs/>
                <w:color w:val="000000"/>
              </w:rPr>
              <w:t xml:space="preserve"> (1)</w:t>
            </w:r>
            <w:r w:rsidRPr="0083652A">
              <w:rPr>
                <w:rFonts w:ascii="Calibri" w:hAnsi="Calibri" w:cs="Calibri"/>
                <w:b/>
                <w:bCs/>
                <w:color w:val="000000"/>
              </w:rPr>
              <w:t>-GJR-GARCH</w:t>
            </w:r>
            <w:r w:rsidRPr="0045720B">
              <w:rPr>
                <w:rFonts w:ascii="Calibri" w:hAnsi="Calibri" w:cs="Calibri"/>
                <w:b/>
                <w:bCs/>
                <w:color w:val="000000"/>
              </w:rPr>
              <w:t xml:space="preserve"> </w:t>
            </w:r>
            <w:r w:rsidRPr="0083652A">
              <w:rPr>
                <w:rFonts w:ascii="Calibri" w:hAnsi="Calibri" w:cs="Calibri"/>
                <w:b/>
                <w:bCs/>
                <w:color w:val="000000"/>
              </w:rPr>
              <w:t>(1,1)-t</w:t>
            </w:r>
          </w:p>
        </w:tc>
        <w:tc>
          <w:tcPr>
            <w:tcW w:w="0" w:type="auto"/>
            <w:tcBorders>
              <w:top w:val="single" w:sz="12" w:space="0" w:color="auto"/>
              <w:bottom w:val="single" w:sz="8" w:space="0" w:color="auto"/>
            </w:tcBorders>
            <w:shd w:val="clear" w:color="auto" w:fill="auto"/>
            <w:noWrap/>
            <w:vAlign w:val="bottom"/>
            <w:hideMark/>
          </w:tcPr>
          <w:p w:rsidR="00F8021F" w:rsidRPr="0083652A" w:rsidRDefault="00F8021F" w:rsidP="00F8021F">
            <w:pPr>
              <w:jc w:val="center"/>
              <w:rPr>
                <w:rFonts w:ascii="Calibri" w:hAnsi="Calibri" w:cs="Calibri"/>
                <w:b/>
                <w:bCs/>
                <w:color w:val="000000"/>
              </w:rPr>
            </w:pPr>
            <w:r w:rsidRPr="0083652A">
              <w:rPr>
                <w:rFonts w:ascii="Calibri" w:hAnsi="Calibri" w:cs="Calibri"/>
                <w:b/>
                <w:bCs/>
                <w:color w:val="000000"/>
              </w:rPr>
              <w:t>HS-25</w:t>
            </w:r>
          </w:p>
        </w:tc>
        <w:tc>
          <w:tcPr>
            <w:tcW w:w="0" w:type="auto"/>
            <w:tcBorders>
              <w:top w:val="single" w:sz="12" w:space="0" w:color="auto"/>
              <w:bottom w:val="single" w:sz="8" w:space="0" w:color="auto"/>
            </w:tcBorders>
            <w:shd w:val="clear" w:color="auto" w:fill="auto"/>
            <w:noWrap/>
            <w:vAlign w:val="bottom"/>
            <w:hideMark/>
          </w:tcPr>
          <w:p w:rsidR="00F8021F" w:rsidRPr="0083652A" w:rsidRDefault="00F8021F" w:rsidP="00F8021F">
            <w:pPr>
              <w:jc w:val="center"/>
              <w:rPr>
                <w:rFonts w:ascii="Calibri" w:hAnsi="Calibri" w:cs="Calibri"/>
                <w:b/>
                <w:bCs/>
                <w:color w:val="000000"/>
              </w:rPr>
            </w:pPr>
            <w:r w:rsidRPr="0083652A">
              <w:rPr>
                <w:rFonts w:ascii="Calibri" w:hAnsi="Calibri" w:cs="Calibri"/>
                <w:b/>
                <w:bCs/>
                <w:color w:val="000000"/>
              </w:rPr>
              <w:t>HS-5</w:t>
            </w:r>
          </w:p>
        </w:tc>
      </w:tr>
      <w:tr w:rsidR="00F8021F" w:rsidRPr="0045720B" w:rsidTr="00F8021F">
        <w:trPr>
          <w:trHeight w:val="285"/>
          <w:jc w:val="center"/>
        </w:trPr>
        <w:tc>
          <w:tcPr>
            <w:tcW w:w="0" w:type="auto"/>
            <w:tcBorders>
              <w:top w:val="single" w:sz="8" w:space="0" w:color="auto"/>
            </w:tcBorders>
            <w:shd w:val="clear" w:color="auto" w:fill="auto"/>
            <w:noWrap/>
            <w:vAlign w:val="bottom"/>
            <w:hideMark/>
          </w:tcPr>
          <w:p w:rsidR="00F8021F" w:rsidRPr="0083652A" w:rsidRDefault="00F8021F" w:rsidP="00F8021F">
            <w:pPr>
              <w:jc w:val="center"/>
              <w:rPr>
                <w:rFonts w:ascii="Calibri" w:hAnsi="Calibri" w:cs="Calibri"/>
                <w:color w:val="000000"/>
              </w:rPr>
            </w:pPr>
            <w:r w:rsidRPr="0083652A">
              <w:rPr>
                <w:rFonts w:ascii="Calibri" w:hAnsi="Calibri" w:cs="Calibri"/>
                <w:color w:val="000000"/>
              </w:rPr>
              <w:t>RMSE</w:t>
            </w:r>
          </w:p>
        </w:tc>
        <w:tc>
          <w:tcPr>
            <w:tcW w:w="0" w:type="auto"/>
            <w:tcBorders>
              <w:top w:val="single" w:sz="8" w:space="0" w:color="auto"/>
            </w:tcBorders>
            <w:shd w:val="clear" w:color="auto" w:fill="auto"/>
            <w:noWrap/>
            <w:vAlign w:val="bottom"/>
            <w:hideMark/>
          </w:tcPr>
          <w:p w:rsidR="00F8021F" w:rsidRPr="0083652A" w:rsidRDefault="00F8021F" w:rsidP="00F8021F">
            <w:pPr>
              <w:jc w:val="center"/>
              <w:rPr>
                <w:rFonts w:ascii="Calibri" w:hAnsi="Calibri" w:cs="Calibri"/>
                <w:color w:val="000000"/>
              </w:rPr>
            </w:pPr>
            <w:r w:rsidRPr="0083652A">
              <w:rPr>
                <w:rFonts w:ascii="Calibri" w:hAnsi="Calibri" w:cs="Calibri"/>
                <w:color w:val="000000"/>
              </w:rPr>
              <w:t>2.0802</w:t>
            </w:r>
          </w:p>
        </w:tc>
        <w:tc>
          <w:tcPr>
            <w:tcW w:w="0" w:type="auto"/>
            <w:tcBorders>
              <w:top w:val="single" w:sz="8" w:space="0" w:color="auto"/>
            </w:tcBorders>
            <w:shd w:val="clear" w:color="auto" w:fill="auto"/>
            <w:noWrap/>
            <w:vAlign w:val="bottom"/>
            <w:hideMark/>
          </w:tcPr>
          <w:p w:rsidR="00F8021F" w:rsidRPr="0083652A" w:rsidRDefault="00F8021F" w:rsidP="00F8021F">
            <w:pPr>
              <w:jc w:val="center"/>
              <w:rPr>
                <w:rFonts w:ascii="Calibri" w:hAnsi="Calibri" w:cs="Calibri"/>
                <w:b/>
                <w:bCs/>
                <w:color w:val="000000"/>
              </w:rPr>
            </w:pPr>
            <w:r w:rsidRPr="0083652A">
              <w:rPr>
                <w:rFonts w:ascii="Calibri" w:hAnsi="Calibri" w:cs="Calibri"/>
                <w:b/>
                <w:bCs/>
                <w:color w:val="000000"/>
              </w:rPr>
              <w:t>2.0803</w:t>
            </w:r>
          </w:p>
        </w:tc>
        <w:tc>
          <w:tcPr>
            <w:tcW w:w="0" w:type="auto"/>
            <w:tcBorders>
              <w:top w:val="single" w:sz="8" w:space="0" w:color="auto"/>
            </w:tcBorders>
            <w:shd w:val="clear" w:color="auto" w:fill="auto"/>
            <w:noWrap/>
            <w:vAlign w:val="bottom"/>
            <w:hideMark/>
          </w:tcPr>
          <w:p w:rsidR="00F8021F" w:rsidRPr="0083652A" w:rsidRDefault="00F8021F" w:rsidP="00F8021F">
            <w:pPr>
              <w:jc w:val="center"/>
              <w:rPr>
                <w:rFonts w:ascii="Calibri" w:hAnsi="Calibri" w:cs="Calibri"/>
                <w:color w:val="000000"/>
              </w:rPr>
            </w:pPr>
            <w:r w:rsidRPr="0083652A">
              <w:rPr>
                <w:rFonts w:ascii="Calibri" w:hAnsi="Calibri" w:cs="Calibri"/>
                <w:color w:val="000000"/>
              </w:rPr>
              <w:t>2.0441</w:t>
            </w:r>
          </w:p>
        </w:tc>
        <w:tc>
          <w:tcPr>
            <w:tcW w:w="0" w:type="auto"/>
            <w:tcBorders>
              <w:top w:val="single" w:sz="8" w:space="0" w:color="auto"/>
            </w:tcBorders>
            <w:shd w:val="clear" w:color="auto" w:fill="auto"/>
            <w:noWrap/>
            <w:vAlign w:val="bottom"/>
            <w:hideMark/>
          </w:tcPr>
          <w:p w:rsidR="00F8021F" w:rsidRPr="0083652A" w:rsidRDefault="00F8021F" w:rsidP="00F8021F">
            <w:pPr>
              <w:jc w:val="center"/>
              <w:rPr>
                <w:rFonts w:ascii="Calibri" w:hAnsi="Calibri" w:cs="Calibri"/>
                <w:color w:val="000000"/>
                <w:u w:val="single"/>
              </w:rPr>
            </w:pPr>
            <w:r w:rsidRPr="0083652A">
              <w:rPr>
                <w:rFonts w:ascii="Calibri" w:hAnsi="Calibri" w:cs="Calibri"/>
                <w:color w:val="000000"/>
                <w:u w:val="single"/>
              </w:rPr>
              <w:t>1.8428</w:t>
            </w:r>
          </w:p>
        </w:tc>
      </w:tr>
      <w:tr w:rsidR="00F8021F" w:rsidRPr="0045720B" w:rsidTr="00F8021F">
        <w:trPr>
          <w:trHeight w:val="285"/>
          <w:jc w:val="center"/>
        </w:trPr>
        <w:tc>
          <w:tcPr>
            <w:tcW w:w="0" w:type="auto"/>
            <w:shd w:val="clear" w:color="auto" w:fill="auto"/>
            <w:noWrap/>
            <w:vAlign w:val="bottom"/>
            <w:hideMark/>
          </w:tcPr>
          <w:p w:rsidR="00F8021F" w:rsidRPr="0083652A" w:rsidRDefault="00F8021F" w:rsidP="00F8021F">
            <w:pPr>
              <w:jc w:val="center"/>
              <w:rPr>
                <w:rFonts w:ascii="Calibri" w:hAnsi="Calibri" w:cs="Calibri"/>
                <w:color w:val="000000"/>
              </w:rPr>
            </w:pPr>
            <w:r w:rsidRPr="0083652A">
              <w:rPr>
                <w:rFonts w:ascii="Calibri" w:hAnsi="Calibri" w:cs="Calibri"/>
                <w:color w:val="000000"/>
              </w:rPr>
              <w:t>MAD</w:t>
            </w:r>
          </w:p>
        </w:tc>
        <w:tc>
          <w:tcPr>
            <w:tcW w:w="0" w:type="auto"/>
            <w:shd w:val="clear" w:color="auto" w:fill="auto"/>
            <w:noWrap/>
            <w:vAlign w:val="bottom"/>
            <w:hideMark/>
          </w:tcPr>
          <w:p w:rsidR="00F8021F" w:rsidRPr="0083652A" w:rsidRDefault="00F8021F" w:rsidP="00F8021F">
            <w:pPr>
              <w:jc w:val="center"/>
              <w:rPr>
                <w:rFonts w:ascii="Calibri" w:hAnsi="Calibri" w:cs="Calibri"/>
                <w:color w:val="000000"/>
              </w:rPr>
            </w:pPr>
            <w:r w:rsidRPr="0083652A">
              <w:rPr>
                <w:rFonts w:ascii="Calibri" w:hAnsi="Calibri" w:cs="Calibri"/>
                <w:color w:val="000000"/>
              </w:rPr>
              <w:t>1.3496</w:t>
            </w:r>
          </w:p>
        </w:tc>
        <w:tc>
          <w:tcPr>
            <w:tcW w:w="0" w:type="auto"/>
            <w:shd w:val="clear" w:color="auto" w:fill="auto"/>
            <w:noWrap/>
            <w:vAlign w:val="bottom"/>
            <w:hideMark/>
          </w:tcPr>
          <w:p w:rsidR="00F8021F" w:rsidRPr="0083652A" w:rsidRDefault="00F8021F" w:rsidP="00F8021F">
            <w:pPr>
              <w:jc w:val="center"/>
              <w:rPr>
                <w:rFonts w:ascii="Calibri" w:hAnsi="Calibri" w:cs="Calibri"/>
                <w:color w:val="000000"/>
              </w:rPr>
            </w:pPr>
            <w:r w:rsidRPr="0083652A">
              <w:rPr>
                <w:rFonts w:ascii="Calibri" w:hAnsi="Calibri" w:cs="Calibri"/>
                <w:color w:val="000000"/>
              </w:rPr>
              <w:t>1.3500</w:t>
            </w:r>
          </w:p>
        </w:tc>
        <w:tc>
          <w:tcPr>
            <w:tcW w:w="0" w:type="auto"/>
            <w:shd w:val="clear" w:color="auto" w:fill="auto"/>
            <w:noWrap/>
            <w:vAlign w:val="bottom"/>
            <w:hideMark/>
          </w:tcPr>
          <w:p w:rsidR="00F8021F" w:rsidRPr="0083652A" w:rsidRDefault="00F8021F" w:rsidP="00F8021F">
            <w:pPr>
              <w:jc w:val="center"/>
              <w:rPr>
                <w:rFonts w:ascii="Calibri" w:hAnsi="Calibri" w:cs="Calibri"/>
                <w:b/>
                <w:bCs/>
                <w:color w:val="000000"/>
              </w:rPr>
            </w:pPr>
            <w:r w:rsidRPr="0083652A">
              <w:rPr>
                <w:rFonts w:ascii="Calibri" w:hAnsi="Calibri" w:cs="Calibri"/>
                <w:b/>
                <w:bCs/>
                <w:color w:val="000000"/>
              </w:rPr>
              <w:t>1.3503</w:t>
            </w:r>
          </w:p>
        </w:tc>
        <w:tc>
          <w:tcPr>
            <w:tcW w:w="0" w:type="auto"/>
            <w:shd w:val="clear" w:color="auto" w:fill="auto"/>
            <w:noWrap/>
            <w:vAlign w:val="bottom"/>
            <w:hideMark/>
          </w:tcPr>
          <w:p w:rsidR="00F8021F" w:rsidRPr="0083652A" w:rsidRDefault="00F8021F" w:rsidP="00F8021F">
            <w:pPr>
              <w:jc w:val="center"/>
              <w:rPr>
                <w:rFonts w:ascii="Calibri" w:hAnsi="Calibri" w:cs="Calibri"/>
                <w:color w:val="000000"/>
                <w:u w:val="single"/>
              </w:rPr>
            </w:pPr>
            <w:r w:rsidRPr="0083652A">
              <w:rPr>
                <w:rFonts w:ascii="Calibri" w:hAnsi="Calibri" w:cs="Calibri"/>
                <w:color w:val="000000"/>
                <w:u w:val="single"/>
              </w:rPr>
              <w:t>1.2212</w:t>
            </w:r>
          </w:p>
        </w:tc>
      </w:tr>
    </w:tbl>
    <w:p w:rsidR="00F8021F" w:rsidRPr="00832936" w:rsidRDefault="00CD68B3" w:rsidP="00F8021F">
      <w:pPr>
        <w:jc w:val="center"/>
        <w:rPr>
          <w:b/>
          <w:lang w:val="en-SG"/>
        </w:rPr>
      </w:pPr>
      <w:r>
        <w:rPr>
          <w:b/>
          <w:lang w:val="en-SG"/>
        </w:rPr>
        <w:t>Table 11</w:t>
      </w:r>
      <w:r w:rsidR="00F8021F" w:rsidRPr="00832936">
        <w:rPr>
          <w:b/>
          <w:lang w:val="en-SG"/>
        </w:rPr>
        <w:t>: COKE One Step Ahead Forecast RMSE and MAD Results</w:t>
      </w:r>
    </w:p>
    <w:p w:rsidR="00F8021F" w:rsidRDefault="00F8021F" w:rsidP="00F8021F">
      <w:pPr>
        <w:jc w:val="both"/>
        <w:rPr>
          <w:lang w:val="en-SG"/>
        </w:rPr>
      </w:pPr>
      <w:r w:rsidRPr="00CD68B3">
        <w:rPr>
          <w:b/>
          <w:lang w:val="en-SG"/>
        </w:rPr>
        <w:t xml:space="preserve">From Figure </w:t>
      </w:r>
      <w:r w:rsidR="00CD68B3" w:rsidRPr="00CD68B3">
        <w:rPr>
          <w:b/>
          <w:lang w:val="en-SG"/>
        </w:rPr>
        <w:t>25</w:t>
      </w:r>
      <w:r w:rsidRPr="00CD68B3">
        <w:rPr>
          <w:b/>
          <w:lang w:val="en-SG"/>
        </w:rPr>
        <w:t xml:space="preserve"> and </w:t>
      </w:r>
      <w:r w:rsidR="00CD68B3" w:rsidRPr="00CD68B3">
        <w:rPr>
          <w:b/>
          <w:lang w:val="en-SG"/>
        </w:rPr>
        <w:t>Table 11</w:t>
      </w:r>
      <w:r>
        <w:rPr>
          <w:lang w:val="en-SG"/>
        </w:rPr>
        <w:t>, we can find that HS-5 outperforms in every single asset class while AR (1)-GARCH (1,1)-t and AR (1)-GJR-GARCH (1,1)-t rank at the bottom most of the time. Therefore, our conclusion above is confirmed again that HS-5 is more suitable when estimating moving origin fixed horizon 1 return and parametric models perform bad in return estimation. Among all the RMSE and MAD, COKE has the highest error score while MMM has the lowest, and this may relate to the stock’s pattern, such as repeatability, volatility and etc.</w:t>
      </w:r>
    </w:p>
    <w:tbl>
      <w:tblPr>
        <w:tblW w:w="0" w:type="auto"/>
        <w:jc w:val="center"/>
        <w:tblBorders>
          <w:top w:val="single" w:sz="12" w:space="0" w:color="auto"/>
          <w:bottom w:val="single" w:sz="12" w:space="0" w:color="auto"/>
        </w:tblBorders>
        <w:tblLook w:val="04A0" w:firstRow="1" w:lastRow="0" w:firstColumn="1" w:lastColumn="0" w:noHBand="0" w:noVBand="1"/>
      </w:tblPr>
      <w:tblGrid>
        <w:gridCol w:w="832"/>
        <w:gridCol w:w="779"/>
        <w:gridCol w:w="2273"/>
        <w:gridCol w:w="2714"/>
        <w:gridCol w:w="885"/>
        <w:gridCol w:w="885"/>
      </w:tblGrid>
      <w:tr w:rsidR="00F8021F" w:rsidRPr="0045720B" w:rsidTr="00F8021F">
        <w:trPr>
          <w:trHeight w:val="285"/>
          <w:jc w:val="center"/>
        </w:trPr>
        <w:tc>
          <w:tcPr>
            <w:tcW w:w="0" w:type="auto"/>
            <w:gridSpan w:val="6"/>
            <w:tcBorders>
              <w:top w:val="nil"/>
              <w:bottom w:val="single" w:sz="12" w:space="0" w:color="auto"/>
            </w:tcBorders>
            <w:shd w:val="clear" w:color="auto" w:fill="auto"/>
            <w:noWrap/>
            <w:vAlign w:val="bottom"/>
          </w:tcPr>
          <w:p w:rsidR="00F8021F" w:rsidRPr="0045720B" w:rsidRDefault="00F8021F" w:rsidP="00F8021F">
            <w:pPr>
              <w:rPr>
                <w:rFonts w:ascii="Calibri" w:hAnsi="Calibri" w:cs="Calibri"/>
                <w:b/>
                <w:bCs/>
                <w:color w:val="000000"/>
              </w:rPr>
            </w:pPr>
            <w:r w:rsidRPr="0045720B">
              <w:rPr>
                <w:rFonts w:ascii="Calibri" w:hAnsi="Calibri" w:cs="Calibri"/>
                <w:b/>
                <w:bCs/>
                <w:color w:val="000000"/>
              </w:rPr>
              <w:t xml:space="preserve">Accuracy Measurement of </w:t>
            </w:r>
            <w:r>
              <w:rPr>
                <w:rFonts w:ascii="Calibri" w:hAnsi="Calibri" w:cs="Calibri"/>
                <w:b/>
                <w:bCs/>
                <w:color w:val="000000"/>
              </w:rPr>
              <w:t>All Assets’ One Step A</w:t>
            </w:r>
            <w:r w:rsidRPr="0045720B">
              <w:rPr>
                <w:rFonts w:ascii="Calibri" w:hAnsi="Calibri" w:cs="Calibri"/>
                <w:b/>
                <w:bCs/>
                <w:color w:val="000000"/>
              </w:rPr>
              <w:t>head Forecast</w:t>
            </w:r>
          </w:p>
        </w:tc>
      </w:tr>
      <w:tr w:rsidR="00F8021F" w:rsidRPr="0045720B" w:rsidTr="00F8021F">
        <w:trPr>
          <w:trHeight w:val="285"/>
          <w:jc w:val="center"/>
        </w:trPr>
        <w:tc>
          <w:tcPr>
            <w:tcW w:w="0" w:type="auto"/>
            <w:tcBorders>
              <w:top w:val="single" w:sz="12" w:space="0" w:color="auto"/>
              <w:bottom w:val="single" w:sz="8" w:space="0" w:color="auto"/>
            </w:tcBorders>
            <w:shd w:val="clear" w:color="auto" w:fill="auto"/>
            <w:noWrap/>
            <w:vAlign w:val="bottom"/>
            <w:hideMark/>
          </w:tcPr>
          <w:p w:rsidR="00F8021F" w:rsidRPr="0045720B" w:rsidRDefault="00F8021F" w:rsidP="00F8021F"/>
        </w:tc>
        <w:tc>
          <w:tcPr>
            <w:tcW w:w="0" w:type="auto"/>
            <w:tcBorders>
              <w:top w:val="single" w:sz="12" w:space="0" w:color="auto"/>
              <w:bottom w:val="single" w:sz="8" w:space="0" w:color="auto"/>
            </w:tcBorders>
            <w:shd w:val="clear" w:color="auto" w:fill="auto"/>
            <w:noWrap/>
            <w:vAlign w:val="bottom"/>
            <w:hideMark/>
          </w:tcPr>
          <w:p w:rsidR="00F8021F" w:rsidRPr="0045720B" w:rsidRDefault="00F8021F" w:rsidP="00F8021F">
            <w:pPr>
              <w:rPr>
                <w:sz w:val="20"/>
                <w:szCs w:val="20"/>
              </w:rPr>
            </w:pPr>
          </w:p>
        </w:tc>
        <w:tc>
          <w:tcPr>
            <w:tcW w:w="0" w:type="auto"/>
            <w:tcBorders>
              <w:top w:val="single" w:sz="12" w:space="0" w:color="auto"/>
              <w:bottom w:val="single" w:sz="8" w:space="0" w:color="auto"/>
            </w:tcBorders>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AR (1)-GARCH (1,1)-t</w:t>
            </w:r>
          </w:p>
        </w:tc>
        <w:tc>
          <w:tcPr>
            <w:tcW w:w="0" w:type="auto"/>
            <w:tcBorders>
              <w:top w:val="single" w:sz="12" w:space="0" w:color="auto"/>
              <w:bottom w:val="single" w:sz="8" w:space="0" w:color="auto"/>
            </w:tcBorders>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AR</w:t>
            </w:r>
            <w:r>
              <w:rPr>
                <w:rFonts w:ascii="Calibri" w:hAnsi="Calibri" w:cs="Calibri"/>
                <w:b/>
                <w:bCs/>
                <w:color w:val="000000"/>
              </w:rPr>
              <w:t xml:space="preserve"> (1)</w:t>
            </w:r>
            <w:r w:rsidRPr="0045720B">
              <w:rPr>
                <w:rFonts w:ascii="Calibri" w:hAnsi="Calibri" w:cs="Calibri"/>
                <w:b/>
                <w:bCs/>
                <w:color w:val="000000"/>
              </w:rPr>
              <w:t>-GJR-GARCH (1,1)-t</w:t>
            </w:r>
          </w:p>
        </w:tc>
        <w:tc>
          <w:tcPr>
            <w:tcW w:w="0" w:type="auto"/>
            <w:tcBorders>
              <w:top w:val="single" w:sz="12" w:space="0" w:color="auto"/>
              <w:bottom w:val="single" w:sz="8" w:space="0" w:color="auto"/>
            </w:tcBorders>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HS-25</w:t>
            </w:r>
          </w:p>
        </w:tc>
        <w:tc>
          <w:tcPr>
            <w:tcW w:w="0" w:type="auto"/>
            <w:tcBorders>
              <w:top w:val="single" w:sz="12" w:space="0" w:color="auto"/>
              <w:bottom w:val="single" w:sz="8" w:space="0" w:color="auto"/>
            </w:tcBorders>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HS-5</w:t>
            </w:r>
          </w:p>
        </w:tc>
      </w:tr>
      <w:tr w:rsidR="00F8021F" w:rsidRPr="0045720B" w:rsidTr="00F8021F">
        <w:trPr>
          <w:trHeight w:val="285"/>
          <w:jc w:val="center"/>
        </w:trPr>
        <w:tc>
          <w:tcPr>
            <w:tcW w:w="0" w:type="auto"/>
            <w:vMerge w:val="restart"/>
            <w:tcBorders>
              <w:top w:val="single" w:sz="8" w:space="0" w:color="auto"/>
            </w:tcBorders>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COKE</w:t>
            </w:r>
          </w:p>
        </w:tc>
        <w:tc>
          <w:tcPr>
            <w:tcW w:w="0" w:type="auto"/>
            <w:tcBorders>
              <w:top w:val="single" w:sz="8" w:space="0" w:color="auto"/>
            </w:tcBorders>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RMSE</w:t>
            </w:r>
          </w:p>
        </w:tc>
        <w:tc>
          <w:tcPr>
            <w:tcW w:w="0" w:type="auto"/>
            <w:tcBorders>
              <w:top w:val="single" w:sz="8" w:space="0" w:color="auto"/>
            </w:tcBorders>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2.0802</w:t>
            </w:r>
          </w:p>
        </w:tc>
        <w:tc>
          <w:tcPr>
            <w:tcW w:w="0" w:type="auto"/>
            <w:tcBorders>
              <w:top w:val="single" w:sz="8" w:space="0" w:color="auto"/>
            </w:tcBorders>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2.0803</w:t>
            </w:r>
          </w:p>
        </w:tc>
        <w:tc>
          <w:tcPr>
            <w:tcW w:w="0" w:type="auto"/>
            <w:tcBorders>
              <w:top w:val="single" w:sz="8" w:space="0" w:color="auto"/>
            </w:tcBorders>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2.0441</w:t>
            </w:r>
          </w:p>
        </w:tc>
        <w:tc>
          <w:tcPr>
            <w:tcW w:w="0" w:type="auto"/>
            <w:tcBorders>
              <w:top w:val="single" w:sz="8" w:space="0" w:color="auto"/>
            </w:tcBorders>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1.8428</w:t>
            </w:r>
          </w:p>
        </w:tc>
      </w:tr>
      <w:tr w:rsidR="00F8021F" w:rsidRPr="0045720B" w:rsidTr="00F8021F">
        <w:trPr>
          <w:trHeight w:val="285"/>
          <w:jc w:val="center"/>
        </w:trPr>
        <w:tc>
          <w:tcPr>
            <w:tcW w:w="0" w:type="auto"/>
            <w:vMerge/>
            <w:vAlign w:val="center"/>
            <w:hideMark/>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MAD</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1.3496</w:t>
            </w:r>
          </w:p>
        </w:tc>
        <w:tc>
          <w:tcPr>
            <w:tcW w:w="0" w:type="auto"/>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1.3500</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1.3503</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1.2212</w:t>
            </w:r>
          </w:p>
        </w:tc>
      </w:tr>
      <w:tr w:rsidR="00F8021F" w:rsidRPr="0045720B" w:rsidTr="00F8021F">
        <w:trPr>
          <w:trHeight w:val="285"/>
          <w:jc w:val="center"/>
        </w:trPr>
        <w:tc>
          <w:tcPr>
            <w:tcW w:w="0" w:type="auto"/>
            <w:vMerge w:val="restart"/>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MSFT</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RMSE</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1.4731</w:t>
            </w:r>
          </w:p>
        </w:tc>
        <w:tc>
          <w:tcPr>
            <w:tcW w:w="0" w:type="auto"/>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1.4734</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1.4460</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1.3274</w:t>
            </w:r>
          </w:p>
        </w:tc>
      </w:tr>
      <w:tr w:rsidR="00F8021F" w:rsidRPr="0045720B" w:rsidTr="00F8021F">
        <w:trPr>
          <w:trHeight w:val="285"/>
          <w:jc w:val="center"/>
        </w:trPr>
        <w:tc>
          <w:tcPr>
            <w:tcW w:w="0" w:type="auto"/>
            <w:vMerge/>
            <w:vAlign w:val="center"/>
            <w:hideMark/>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MAD</w:t>
            </w:r>
          </w:p>
        </w:tc>
        <w:tc>
          <w:tcPr>
            <w:tcW w:w="0" w:type="auto"/>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0.6789</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0.6787</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0.6761</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0.6224</w:t>
            </w:r>
          </w:p>
        </w:tc>
      </w:tr>
      <w:tr w:rsidR="00F8021F" w:rsidRPr="0045720B" w:rsidTr="00F8021F">
        <w:trPr>
          <w:trHeight w:val="285"/>
          <w:jc w:val="center"/>
        </w:trPr>
        <w:tc>
          <w:tcPr>
            <w:tcW w:w="0" w:type="auto"/>
            <w:vMerge w:val="restart"/>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JNJ</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RMSE</w:t>
            </w:r>
          </w:p>
        </w:tc>
        <w:tc>
          <w:tcPr>
            <w:tcW w:w="0" w:type="auto"/>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0.9546</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0.9545</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0.9372</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0.8600</w:t>
            </w:r>
          </w:p>
        </w:tc>
      </w:tr>
      <w:tr w:rsidR="00F8021F" w:rsidRPr="0045720B" w:rsidTr="00F8021F">
        <w:trPr>
          <w:trHeight w:val="285"/>
          <w:jc w:val="center"/>
        </w:trPr>
        <w:tc>
          <w:tcPr>
            <w:tcW w:w="0" w:type="auto"/>
            <w:vMerge/>
            <w:vAlign w:val="center"/>
            <w:hideMark/>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MAD</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0.9699</w:t>
            </w:r>
          </w:p>
        </w:tc>
        <w:tc>
          <w:tcPr>
            <w:tcW w:w="0" w:type="auto"/>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0.9701</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0.9724</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0.8993</w:t>
            </w:r>
          </w:p>
        </w:tc>
      </w:tr>
      <w:tr w:rsidR="00F8021F" w:rsidRPr="0045720B" w:rsidTr="00F8021F">
        <w:trPr>
          <w:trHeight w:val="285"/>
          <w:jc w:val="center"/>
        </w:trPr>
        <w:tc>
          <w:tcPr>
            <w:tcW w:w="0" w:type="auto"/>
            <w:vMerge w:val="restart"/>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MMM</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RMSE</w:t>
            </w:r>
          </w:p>
        </w:tc>
        <w:tc>
          <w:tcPr>
            <w:tcW w:w="0" w:type="auto"/>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1.0821</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1.0818</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1.0552</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0.9638</w:t>
            </w:r>
          </w:p>
        </w:tc>
      </w:tr>
      <w:tr w:rsidR="00F8021F" w:rsidRPr="0045720B" w:rsidTr="00F8021F">
        <w:trPr>
          <w:trHeight w:val="285"/>
          <w:jc w:val="center"/>
        </w:trPr>
        <w:tc>
          <w:tcPr>
            <w:tcW w:w="0" w:type="auto"/>
            <w:vMerge/>
            <w:vAlign w:val="center"/>
            <w:hideMark/>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MAD</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0.7270</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0.7268</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0.7210</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0.6876</w:t>
            </w:r>
          </w:p>
        </w:tc>
      </w:tr>
      <w:tr w:rsidR="00F8021F" w:rsidRPr="0045720B" w:rsidTr="00F8021F">
        <w:trPr>
          <w:trHeight w:val="285"/>
          <w:jc w:val="center"/>
        </w:trPr>
        <w:tc>
          <w:tcPr>
            <w:tcW w:w="0" w:type="auto"/>
            <w:vMerge w:val="restart"/>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PTR</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RMSE</w:t>
            </w:r>
          </w:p>
        </w:tc>
        <w:tc>
          <w:tcPr>
            <w:tcW w:w="0" w:type="auto"/>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1.8908</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1.8902</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1.8525</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1.7093</w:t>
            </w:r>
          </w:p>
        </w:tc>
      </w:tr>
      <w:tr w:rsidR="00F8021F" w:rsidRPr="0045720B" w:rsidTr="00F8021F">
        <w:trPr>
          <w:trHeight w:val="285"/>
          <w:jc w:val="center"/>
        </w:trPr>
        <w:tc>
          <w:tcPr>
            <w:tcW w:w="0" w:type="auto"/>
            <w:vMerge/>
            <w:vAlign w:val="center"/>
            <w:hideMark/>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MAD</w:t>
            </w:r>
          </w:p>
        </w:tc>
        <w:tc>
          <w:tcPr>
            <w:tcW w:w="0" w:type="auto"/>
            <w:shd w:val="clear" w:color="auto" w:fill="auto"/>
            <w:noWrap/>
            <w:vAlign w:val="bottom"/>
            <w:hideMark/>
          </w:tcPr>
          <w:p w:rsidR="00F8021F" w:rsidRPr="0045720B" w:rsidRDefault="00F8021F" w:rsidP="00F8021F">
            <w:pPr>
              <w:jc w:val="center"/>
              <w:rPr>
                <w:rFonts w:ascii="Calibri" w:hAnsi="Calibri" w:cs="Calibri"/>
                <w:b/>
                <w:bCs/>
                <w:color w:val="000000"/>
              </w:rPr>
            </w:pPr>
            <w:r w:rsidRPr="0045720B">
              <w:rPr>
                <w:rFonts w:ascii="Calibri" w:hAnsi="Calibri" w:cs="Calibri"/>
                <w:b/>
                <w:bCs/>
                <w:color w:val="000000"/>
              </w:rPr>
              <w:t>1.3764</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1.3731</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rPr>
            </w:pPr>
            <w:r w:rsidRPr="0045720B">
              <w:rPr>
                <w:rFonts w:ascii="Calibri" w:hAnsi="Calibri" w:cs="Calibri"/>
                <w:color w:val="000000"/>
              </w:rPr>
              <w:t>1.3625</w:t>
            </w:r>
          </w:p>
        </w:tc>
        <w:tc>
          <w:tcPr>
            <w:tcW w:w="0" w:type="auto"/>
            <w:shd w:val="clear" w:color="auto" w:fill="auto"/>
            <w:noWrap/>
            <w:vAlign w:val="bottom"/>
            <w:hideMark/>
          </w:tcPr>
          <w:p w:rsidR="00F8021F" w:rsidRPr="0045720B" w:rsidRDefault="00F8021F" w:rsidP="00F8021F">
            <w:pPr>
              <w:jc w:val="center"/>
              <w:rPr>
                <w:rFonts w:ascii="Calibri" w:hAnsi="Calibri" w:cs="Calibri"/>
                <w:color w:val="000000"/>
                <w:u w:val="single"/>
              </w:rPr>
            </w:pPr>
            <w:r w:rsidRPr="0045720B">
              <w:rPr>
                <w:rFonts w:ascii="Calibri" w:hAnsi="Calibri" w:cs="Calibri"/>
                <w:color w:val="000000"/>
                <w:u w:val="single"/>
              </w:rPr>
              <w:t>1.2686</w:t>
            </w:r>
          </w:p>
        </w:tc>
      </w:tr>
    </w:tbl>
    <w:p w:rsidR="00F8021F" w:rsidRDefault="00CD68B3" w:rsidP="00F8021F">
      <w:pPr>
        <w:jc w:val="center"/>
        <w:rPr>
          <w:b/>
          <w:lang w:val="en-SG"/>
        </w:rPr>
      </w:pPr>
      <w:r>
        <w:rPr>
          <w:b/>
          <w:lang w:val="en-SG"/>
        </w:rPr>
        <w:lastRenderedPageBreak/>
        <w:t>Table 12</w:t>
      </w:r>
      <w:r w:rsidR="00F8021F" w:rsidRPr="0045720B">
        <w:rPr>
          <w:b/>
          <w:lang w:val="en-SG"/>
        </w:rPr>
        <w:t>: All Assets’ One Step Ahead Forecast RMSE and MAD Results</w:t>
      </w:r>
    </w:p>
    <w:tbl>
      <w:tblPr>
        <w:tblW w:w="0" w:type="auto"/>
        <w:jc w:val="center"/>
        <w:tblLook w:val="04A0" w:firstRow="1" w:lastRow="0" w:firstColumn="1" w:lastColumn="0" w:noHBand="0" w:noVBand="1"/>
      </w:tblPr>
      <w:tblGrid>
        <w:gridCol w:w="779"/>
        <w:gridCol w:w="1171"/>
        <w:gridCol w:w="2273"/>
        <w:gridCol w:w="2714"/>
        <w:gridCol w:w="798"/>
        <w:gridCol w:w="676"/>
      </w:tblGrid>
      <w:tr w:rsidR="00F8021F" w:rsidRPr="00187B37" w:rsidTr="00F8021F">
        <w:trPr>
          <w:trHeight w:val="285"/>
          <w:jc w:val="center"/>
        </w:trPr>
        <w:tc>
          <w:tcPr>
            <w:tcW w:w="0" w:type="auto"/>
            <w:gridSpan w:val="6"/>
            <w:tcBorders>
              <w:top w:val="nil"/>
              <w:left w:val="nil"/>
              <w:bottom w:val="single" w:sz="12" w:space="0" w:color="auto"/>
              <w:right w:val="nil"/>
            </w:tcBorders>
            <w:shd w:val="clear" w:color="auto" w:fill="auto"/>
            <w:noWrap/>
            <w:vAlign w:val="bottom"/>
          </w:tcPr>
          <w:p w:rsidR="00F8021F" w:rsidRPr="00187B37" w:rsidRDefault="00F8021F" w:rsidP="00F8021F">
            <w:pPr>
              <w:rPr>
                <w:rFonts w:ascii="Calibri" w:hAnsi="Calibri" w:cs="Calibri"/>
                <w:b/>
                <w:bCs/>
                <w:color w:val="000000"/>
              </w:rPr>
            </w:pPr>
            <w:r w:rsidRPr="0045720B">
              <w:rPr>
                <w:rFonts w:ascii="Calibri" w:hAnsi="Calibri" w:cs="Calibri"/>
                <w:b/>
                <w:bCs/>
                <w:color w:val="000000"/>
              </w:rPr>
              <w:t xml:space="preserve">Accuracy Measurement of </w:t>
            </w:r>
            <w:r>
              <w:rPr>
                <w:rFonts w:ascii="Calibri" w:hAnsi="Calibri" w:cs="Calibri"/>
                <w:b/>
                <w:bCs/>
                <w:color w:val="000000"/>
              </w:rPr>
              <w:t>All Assets’ One Step A</w:t>
            </w:r>
            <w:r w:rsidRPr="0045720B">
              <w:rPr>
                <w:rFonts w:ascii="Calibri" w:hAnsi="Calibri" w:cs="Calibri"/>
                <w:b/>
                <w:bCs/>
                <w:color w:val="000000"/>
              </w:rPr>
              <w:t>head Forecast</w:t>
            </w:r>
          </w:p>
        </w:tc>
      </w:tr>
      <w:tr w:rsidR="00F8021F" w:rsidRPr="00187B37" w:rsidTr="00F8021F">
        <w:trPr>
          <w:trHeight w:val="285"/>
          <w:jc w:val="center"/>
        </w:trPr>
        <w:tc>
          <w:tcPr>
            <w:tcW w:w="0" w:type="auto"/>
            <w:tcBorders>
              <w:top w:val="single" w:sz="12" w:space="0" w:color="auto"/>
              <w:left w:val="nil"/>
              <w:bottom w:val="single" w:sz="8" w:space="0" w:color="auto"/>
              <w:right w:val="nil"/>
            </w:tcBorders>
            <w:shd w:val="clear" w:color="auto" w:fill="auto"/>
            <w:noWrap/>
            <w:vAlign w:val="bottom"/>
            <w:hideMark/>
          </w:tcPr>
          <w:p w:rsidR="00F8021F" w:rsidRPr="00187B37" w:rsidRDefault="00F8021F" w:rsidP="00F8021F"/>
        </w:tc>
        <w:tc>
          <w:tcPr>
            <w:tcW w:w="0" w:type="auto"/>
            <w:tcBorders>
              <w:top w:val="single" w:sz="12" w:space="0" w:color="auto"/>
              <w:left w:val="nil"/>
              <w:bottom w:val="single" w:sz="8" w:space="0" w:color="auto"/>
              <w:right w:val="nil"/>
            </w:tcBorders>
            <w:shd w:val="clear" w:color="auto" w:fill="auto"/>
            <w:noWrap/>
            <w:vAlign w:val="bottom"/>
            <w:hideMark/>
          </w:tcPr>
          <w:p w:rsidR="00F8021F" w:rsidRPr="00187B37" w:rsidRDefault="00F8021F" w:rsidP="00F8021F">
            <w:pPr>
              <w:rPr>
                <w:sz w:val="20"/>
                <w:szCs w:val="20"/>
              </w:rPr>
            </w:pPr>
          </w:p>
        </w:tc>
        <w:tc>
          <w:tcPr>
            <w:tcW w:w="0" w:type="auto"/>
            <w:tcBorders>
              <w:top w:val="single" w:sz="12" w:space="0" w:color="auto"/>
              <w:left w:val="nil"/>
              <w:bottom w:val="single" w:sz="8" w:space="0" w:color="auto"/>
              <w:right w:val="nil"/>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AR</w:t>
            </w:r>
            <w:r>
              <w:rPr>
                <w:rFonts w:ascii="Calibri" w:hAnsi="Calibri" w:cs="Calibri"/>
                <w:b/>
                <w:bCs/>
                <w:color w:val="000000"/>
              </w:rPr>
              <w:t xml:space="preserve"> </w:t>
            </w:r>
            <w:r w:rsidRPr="00187B37">
              <w:rPr>
                <w:rFonts w:ascii="Calibri" w:hAnsi="Calibri" w:cs="Calibri"/>
                <w:b/>
                <w:bCs/>
                <w:color w:val="000000"/>
              </w:rPr>
              <w:t>(1)-GARCH</w:t>
            </w:r>
            <w:r>
              <w:rPr>
                <w:rFonts w:ascii="Calibri" w:hAnsi="Calibri" w:cs="Calibri"/>
                <w:b/>
                <w:bCs/>
                <w:color w:val="000000"/>
              </w:rPr>
              <w:t xml:space="preserve"> </w:t>
            </w:r>
            <w:r w:rsidRPr="00187B37">
              <w:rPr>
                <w:rFonts w:ascii="Calibri" w:hAnsi="Calibri" w:cs="Calibri"/>
                <w:b/>
                <w:bCs/>
                <w:color w:val="000000"/>
              </w:rPr>
              <w:t>(1,1)-t</w:t>
            </w:r>
          </w:p>
        </w:tc>
        <w:tc>
          <w:tcPr>
            <w:tcW w:w="0" w:type="auto"/>
            <w:tcBorders>
              <w:top w:val="single" w:sz="12" w:space="0" w:color="auto"/>
              <w:left w:val="nil"/>
              <w:bottom w:val="single" w:sz="8" w:space="0" w:color="auto"/>
              <w:right w:val="nil"/>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AR</w:t>
            </w:r>
            <w:r>
              <w:rPr>
                <w:rFonts w:ascii="Calibri" w:hAnsi="Calibri" w:cs="Calibri"/>
                <w:b/>
                <w:bCs/>
                <w:color w:val="000000"/>
              </w:rPr>
              <w:t xml:space="preserve"> (1)</w:t>
            </w:r>
            <w:r w:rsidRPr="00187B37">
              <w:rPr>
                <w:rFonts w:ascii="Calibri" w:hAnsi="Calibri" w:cs="Calibri"/>
                <w:b/>
                <w:bCs/>
                <w:color w:val="000000"/>
              </w:rPr>
              <w:t>-GJR-GARCH</w:t>
            </w:r>
            <w:r>
              <w:rPr>
                <w:rFonts w:ascii="Calibri" w:hAnsi="Calibri" w:cs="Calibri"/>
                <w:b/>
                <w:bCs/>
                <w:color w:val="000000"/>
              </w:rPr>
              <w:t xml:space="preserve"> </w:t>
            </w:r>
            <w:r w:rsidRPr="00187B37">
              <w:rPr>
                <w:rFonts w:ascii="Calibri" w:hAnsi="Calibri" w:cs="Calibri"/>
                <w:b/>
                <w:bCs/>
                <w:color w:val="000000"/>
              </w:rPr>
              <w:t>(1,1)-t</w:t>
            </w:r>
          </w:p>
        </w:tc>
        <w:tc>
          <w:tcPr>
            <w:tcW w:w="0" w:type="auto"/>
            <w:tcBorders>
              <w:top w:val="single" w:sz="12" w:space="0" w:color="auto"/>
              <w:left w:val="nil"/>
              <w:bottom w:val="single" w:sz="8" w:space="0" w:color="auto"/>
              <w:right w:val="nil"/>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HS-25</w:t>
            </w:r>
          </w:p>
        </w:tc>
        <w:tc>
          <w:tcPr>
            <w:tcW w:w="0" w:type="auto"/>
            <w:tcBorders>
              <w:top w:val="single" w:sz="12" w:space="0" w:color="auto"/>
              <w:left w:val="nil"/>
              <w:bottom w:val="single" w:sz="8" w:space="0" w:color="auto"/>
              <w:right w:val="nil"/>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HS-5</w:t>
            </w:r>
          </w:p>
        </w:tc>
      </w:tr>
      <w:tr w:rsidR="00F8021F" w:rsidRPr="00187B37" w:rsidTr="00F8021F">
        <w:trPr>
          <w:trHeight w:val="285"/>
          <w:jc w:val="center"/>
        </w:trPr>
        <w:tc>
          <w:tcPr>
            <w:tcW w:w="0" w:type="auto"/>
            <w:vMerge w:val="restart"/>
            <w:tcBorders>
              <w:top w:val="single" w:sz="8" w:space="0" w:color="auto"/>
              <w:left w:val="nil"/>
              <w:bottom w:val="nil"/>
              <w:right w:val="nil"/>
            </w:tcBorders>
            <w:shd w:val="clear" w:color="auto" w:fill="auto"/>
            <w:noWrap/>
            <w:vAlign w:val="center"/>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RMSE</w:t>
            </w:r>
          </w:p>
        </w:tc>
        <w:tc>
          <w:tcPr>
            <w:tcW w:w="0" w:type="auto"/>
            <w:tcBorders>
              <w:top w:val="single" w:sz="8" w:space="0" w:color="auto"/>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COKE</w:t>
            </w:r>
          </w:p>
        </w:tc>
        <w:tc>
          <w:tcPr>
            <w:tcW w:w="0" w:type="auto"/>
            <w:tcBorders>
              <w:top w:val="single" w:sz="8" w:space="0" w:color="auto"/>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single" w:sz="8" w:space="0" w:color="auto"/>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single" w:sz="8" w:space="0" w:color="auto"/>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c>
          <w:tcPr>
            <w:tcW w:w="0" w:type="auto"/>
            <w:tcBorders>
              <w:top w:val="single" w:sz="8" w:space="0" w:color="auto"/>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MSFT</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JNJ</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MMM</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PTR</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AVERAGE</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b/>
                <w:bCs/>
                <w:color w:val="000000"/>
              </w:rPr>
            </w:pPr>
            <w:r w:rsidRPr="00187B37">
              <w:rPr>
                <w:rFonts w:ascii="Calibri" w:hAnsi="Calibri" w:cs="Calibri"/>
                <w:b/>
                <w:bCs/>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1.6</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u w:val="single"/>
              </w:rPr>
            </w:pPr>
            <w:r w:rsidRPr="00187B37">
              <w:rPr>
                <w:rFonts w:ascii="Calibri" w:hAnsi="Calibri" w:cs="Calibri"/>
                <w:color w:val="000000"/>
                <w:u w:val="single"/>
              </w:rPr>
              <w:t>1.4</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MEDIAN</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b/>
                <w:bCs/>
                <w:color w:val="000000"/>
              </w:rPr>
            </w:pPr>
            <w:r w:rsidRPr="00187B37">
              <w:rPr>
                <w:rFonts w:ascii="Calibri" w:hAnsi="Calibri" w:cs="Calibri"/>
                <w:b/>
                <w:bCs/>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u w:val="single"/>
              </w:rPr>
            </w:pPr>
            <w:r w:rsidRPr="00187B37">
              <w:rPr>
                <w:rFonts w:ascii="Calibri" w:hAnsi="Calibri" w:cs="Calibri"/>
                <w:color w:val="000000"/>
                <w:u w:val="single"/>
              </w:rPr>
              <w:t>1</w:t>
            </w:r>
          </w:p>
        </w:tc>
      </w:tr>
      <w:tr w:rsidR="00F8021F" w:rsidRPr="00187B37" w:rsidTr="00F8021F">
        <w:trPr>
          <w:trHeight w:val="285"/>
          <w:jc w:val="center"/>
        </w:trPr>
        <w:tc>
          <w:tcPr>
            <w:tcW w:w="0" w:type="auto"/>
            <w:gridSpan w:val="6"/>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u w:val="single"/>
              </w:rPr>
            </w:pPr>
          </w:p>
        </w:tc>
      </w:tr>
      <w:tr w:rsidR="00F8021F" w:rsidRPr="00187B37" w:rsidTr="00F8021F">
        <w:trPr>
          <w:trHeight w:val="285"/>
          <w:jc w:val="center"/>
        </w:trPr>
        <w:tc>
          <w:tcPr>
            <w:tcW w:w="0" w:type="auto"/>
            <w:vMerge w:val="restart"/>
            <w:tcBorders>
              <w:top w:val="nil"/>
              <w:left w:val="nil"/>
              <w:bottom w:val="nil"/>
              <w:right w:val="nil"/>
            </w:tcBorders>
            <w:shd w:val="clear" w:color="auto" w:fill="auto"/>
            <w:noWrap/>
            <w:vAlign w:val="center"/>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MAD</w:t>
            </w:r>
          </w:p>
        </w:tc>
        <w:tc>
          <w:tcPr>
            <w:tcW w:w="0" w:type="auto"/>
            <w:tcBorders>
              <w:top w:val="nil"/>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COKE</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MSFT</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JNJ</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MMM</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rPr>
                <w:rFonts w:ascii="Calibri" w:hAnsi="Calibri" w:cs="Calibri"/>
                <w:color w:val="000000"/>
              </w:rPr>
            </w:pPr>
            <w:r w:rsidRPr="00187B37">
              <w:rPr>
                <w:rFonts w:ascii="Calibri" w:hAnsi="Calibri" w:cs="Calibri"/>
                <w:color w:val="000000"/>
              </w:rPr>
              <w:t>PTR</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1</w:t>
            </w:r>
          </w:p>
        </w:tc>
      </w:tr>
      <w:tr w:rsidR="00F8021F" w:rsidRPr="00187B37" w:rsidTr="00F8021F">
        <w:trPr>
          <w:trHeight w:val="285"/>
          <w:jc w:val="center"/>
        </w:trPr>
        <w:tc>
          <w:tcPr>
            <w:tcW w:w="0" w:type="auto"/>
            <w:vMerge/>
            <w:tcBorders>
              <w:top w:val="nil"/>
              <w:left w:val="nil"/>
              <w:bottom w:val="nil"/>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AVERAGE</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b/>
                <w:bCs/>
                <w:color w:val="000000"/>
              </w:rPr>
            </w:pPr>
            <w:r w:rsidRPr="00187B37">
              <w:rPr>
                <w:rFonts w:ascii="Calibri" w:hAnsi="Calibri" w:cs="Calibri"/>
                <w:b/>
                <w:bCs/>
                <w:color w:val="000000"/>
              </w:rPr>
              <w:t>4</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nil"/>
              <w:right w:val="nil"/>
            </w:tcBorders>
            <w:shd w:val="clear" w:color="auto" w:fill="auto"/>
            <w:noWrap/>
            <w:vAlign w:val="bottom"/>
            <w:hideMark/>
          </w:tcPr>
          <w:p w:rsidR="00F8021F" w:rsidRPr="00187B37" w:rsidRDefault="00F8021F" w:rsidP="00F8021F">
            <w:pPr>
              <w:jc w:val="right"/>
              <w:rPr>
                <w:rFonts w:ascii="Calibri" w:hAnsi="Calibri" w:cs="Calibri"/>
                <w:color w:val="000000"/>
                <w:u w:val="single"/>
              </w:rPr>
            </w:pPr>
            <w:r w:rsidRPr="00187B37">
              <w:rPr>
                <w:rFonts w:ascii="Calibri" w:hAnsi="Calibri" w:cs="Calibri"/>
                <w:color w:val="000000"/>
                <w:u w:val="single"/>
              </w:rPr>
              <w:t>1.8</w:t>
            </w:r>
          </w:p>
        </w:tc>
      </w:tr>
      <w:tr w:rsidR="00F8021F" w:rsidRPr="00187B37" w:rsidTr="00F8021F">
        <w:trPr>
          <w:trHeight w:val="285"/>
          <w:jc w:val="center"/>
        </w:trPr>
        <w:tc>
          <w:tcPr>
            <w:tcW w:w="0" w:type="auto"/>
            <w:vMerge/>
            <w:tcBorders>
              <w:top w:val="nil"/>
              <w:left w:val="nil"/>
              <w:bottom w:val="single" w:sz="12" w:space="0" w:color="auto"/>
              <w:right w:val="nil"/>
            </w:tcBorders>
            <w:vAlign w:val="center"/>
            <w:hideMark/>
          </w:tcPr>
          <w:p w:rsidR="00F8021F" w:rsidRPr="00187B37" w:rsidRDefault="00F8021F" w:rsidP="00F8021F">
            <w:pPr>
              <w:rPr>
                <w:rFonts w:ascii="Calibri" w:hAnsi="Calibri" w:cs="Calibri"/>
                <w:color w:val="000000"/>
              </w:rPr>
            </w:pPr>
          </w:p>
        </w:tc>
        <w:tc>
          <w:tcPr>
            <w:tcW w:w="0" w:type="auto"/>
            <w:tcBorders>
              <w:top w:val="nil"/>
              <w:left w:val="nil"/>
              <w:bottom w:val="single" w:sz="12" w:space="0" w:color="auto"/>
              <w:right w:val="nil"/>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MEDIAN</w:t>
            </w:r>
          </w:p>
        </w:tc>
        <w:tc>
          <w:tcPr>
            <w:tcW w:w="0" w:type="auto"/>
            <w:tcBorders>
              <w:top w:val="nil"/>
              <w:left w:val="nil"/>
              <w:bottom w:val="single" w:sz="12" w:space="0" w:color="auto"/>
              <w:right w:val="nil"/>
            </w:tcBorders>
            <w:shd w:val="clear" w:color="auto" w:fill="auto"/>
            <w:noWrap/>
            <w:vAlign w:val="bottom"/>
            <w:hideMark/>
          </w:tcPr>
          <w:p w:rsidR="00F8021F" w:rsidRPr="00187B37" w:rsidRDefault="00F8021F" w:rsidP="00F8021F">
            <w:pPr>
              <w:jc w:val="right"/>
              <w:rPr>
                <w:rFonts w:ascii="Calibri" w:hAnsi="Calibri" w:cs="Calibri"/>
                <w:b/>
                <w:bCs/>
                <w:color w:val="000000"/>
              </w:rPr>
            </w:pPr>
            <w:r w:rsidRPr="00187B37">
              <w:rPr>
                <w:rFonts w:ascii="Calibri" w:hAnsi="Calibri" w:cs="Calibri"/>
                <w:b/>
                <w:bCs/>
                <w:color w:val="000000"/>
              </w:rPr>
              <w:t>4</w:t>
            </w:r>
          </w:p>
        </w:tc>
        <w:tc>
          <w:tcPr>
            <w:tcW w:w="0" w:type="auto"/>
            <w:tcBorders>
              <w:top w:val="nil"/>
              <w:left w:val="nil"/>
              <w:bottom w:val="single" w:sz="12" w:space="0" w:color="auto"/>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3</w:t>
            </w:r>
          </w:p>
        </w:tc>
        <w:tc>
          <w:tcPr>
            <w:tcW w:w="0" w:type="auto"/>
            <w:tcBorders>
              <w:top w:val="nil"/>
              <w:left w:val="nil"/>
              <w:bottom w:val="single" w:sz="12" w:space="0" w:color="auto"/>
              <w:right w:val="nil"/>
            </w:tcBorders>
            <w:shd w:val="clear" w:color="auto" w:fill="auto"/>
            <w:noWrap/>
            <w:vAlign w:val="bottom"/>
            <w:hideMark/>
          </w:tcPr>
          <w:p w:rsidR="00F8021F" w:rsidRPr="00187B37" w:rsidRDefault="00F8021F" w:rsidP="00F8021F">
            <w:pPr>
              <w:jc w:val="right"/>
              <w:rPr>
                <w:rFonts w:ascii="Calibri" w:hAnsi="Calibri" w:cs="Calibri"/>
                <w:color w:val="000000"/>
              </w:rPr>
            </w:pPr>
            <w:r w:rsidRPr="00187B37">
              <w:rPr>
                <w:rFonts w:ascii="Calibri" w:hAnsi="Calibri" w:cs="Calibri"/>
                <w:color w:val="000000"/>
              </w:rPr>
              <w:t>2</w:t>
            </w:r>
          </w:p>
        </w:tc>
        <w:tc>
          <w:tcPr>
            <w:tcW w:w="0" w:type="auto"/>
            <w:tcBorders>
              <w:top w:val="nil"/>
              <w:left w:val="nil"/>
              <w:bottom w:val="single" w:sz="12" w:space="0" w:color="auto"/>
              <w:right w:val="nil"/>
            </w:tcBorders>
            <w:shd w:val="clear" w:color="auto" w:fill="auto"/>
            <w:noWrap/>
            <w:vAlign w:val="bottom"/>
            <w:hideMark/>
          </w:tcPr>
          <w:p w:rsidR="00F8021F" w:rsidRPr="00187B37" w:rsidRDefault="00F8021F" w:rsidP="00F8021F">
            <w:pPr>
              <w:jc w:val="right"/>
              <w:rPr>
                <w:rFonts w:ascii="Calibri" w:hAnsi="Calibri" w:cs="Calibri"/>
                <w:color w:val="000000"/>
                <w:u w:val="single"/>
              </w:rPr>
            </w:pPr>
            <w:r w:rsidRPr="00187B37">
              <w:rPr>
                <w:rFonts w:ascii="Calibri" w:hAnsi="Calibri" w:cs="Calibri"/>
                <w:color w:val="000000"/>
                <w:u w:val="single"/>
              </w:rPr>
              <w:t>1</w:t>
            </w:r>
          </w:p>
        </w:tc>
      </w:tr>
    </w:tbl>
    <w:p w:rsidR="00F8021F" w:rsidRDefault="00CD68B3" w:rsidP="00F8021F">
      <w:pPr>
        <w:jc w:val="center"/>
        <w:rPr>
          <w:b/>
          <w:lang w:val="en-SG"/>
        </w:rPr>
      </w:pPr>
      <w:r>
        <w:rPr>
          <w:b/>
          <w:lang w:val="en-SG"/>
        </w:rPr>
        <w:t>Table 13:</w:t>
      </w:r>
      <w:r w:rsidR="00F8021F" w:rsidRPr="0045720B">
        <w:rPr>
          <w:b/>
          <w:lang w:val="en-SG"/>
        </w:rPr>
        <w:t xml:space="preserve"> All Assets’ One Step Ahead Forecast RMSE and MAD R</w:t>
      </w:r>
      <w:r w:rsidR="00F8021F">
        <w:rPr>
          <w:b/>
          <w:lang w:val="en-SG"/>
        </w:rPr>
        <w:t>ank</w:t>
      </w:r>
    </w:p>
    <w:p w:rsidR="00F8021F" w:rsidRDefault="00F8021F" w:rsidP="00F8021F">
      <w:pPr>
        <w:pStyle w:val="4"/>
        <w:rPr>
          <w:lang w:val="en-SG"/>
        </w:rPr>
      </w:pPr>
      <w:r w:rsidRPr="00B2605B">
        <w:rPr>
          <w:lang w:val="en-SG"/>
        </w:rPr>
        <w:t>Multi-Period Ahead Forecast and Assessment</w:t>
      </w:r>
    </w:p>
    <w:p w:rsidR="00F8021F" w:rsidRDefault="00F8021F" w:rsidP="00F8021F">
      <w:pPr>
        <w:pStyle w:val="5"/>
        <w:rPr>
          <w:lang w:val="en-SG"/>
        </w:rPr>
      </w:pPr>
      <w:r>
        <w:rPr>
          <w:lang w:val="en-SG"/>
        </w:rPr>
        <w:t>Return Forecast</w:t>
      </w:r>
    </w:p>
    <w:p w:rsidR="00F8021F" w:rsidRPr="00782E9B" w:rsidRDefault="00F8021F" w:rsidP="00F8021F">
      <w:pPr>
        <w:jc w:val="both"/>
        <w:rPr>
          <w:lang w:val="en-SG"/>
        </w:rPr>
      </w:pPr>
      <w:r>
        <w:rPr>
          <w:lang w:val="en-SG"/>
        </w:rPr>
        <w:t>When estimating 840-step ahead forecast, AR (1)-GARCH (1,1)-t and AR (1)-GJR-GARCH (1,1)-t use the same expectation after step 1, which is the same with our derivation of auto-regressive formula since there is only one lag term in it and thus can only effectively generate one period ahead result based on historical information. HS-25 and HS-5 directly use period 1 results to estimate the whole out of sample periods since no more historical information can be updated into the model after period one. HS-25 generate the lowest return estimation during the whole period compared with other models, which may because of the influence from past relative low returns of COKE.</w:t>
      </w:r>
    </w:p>
    <w:p w:rsidR="00F8021F" w:rsidRDefault="00F8021F" w:rsidP="00F8021F">
      <w:pPr>
        <w:jc w:val="center"/>
        <w:rPr>
          <w:lang w:val="en-SG"/>
        </w:rPr>
      </w:pPr>
      <w:r>
        <w:rPr>
          <w:noProof/>
          <w:lang w:val="en-SG"/>
        </w:rPr>
        <w:drawing>
          <wp:inline distT="0" distB="0" distL="0" distR="0" wp14:anchorId="710CCAF6" wp14:editId="12D32F3D">
            <wp:extent cx="3874770" cy="2511706"/>
            <wp:effectExtent l="0" t="0" r="0" b="317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t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884732" cy="2518164"/>
                    </a:xfrm>
                    <a:prstGeom prst="rect">
                      <a:avLst/>
                    </a:prstGeom>
                  </pic:spPr>
                </pic:pic>
              </a:graphicData>
            </a:graphic>
          </wp:inline>
        </w:drawing>
      </w:r>
    </w:p>
    <w:p w:rsidR="00F8021F" w:rsidRPr="002B568D" w:rsidRDefault="00CD68B3" w:rsidP="00F8021F">
      <w:pPr>
        <w:jc w:val="center"/>
        <w:rPr>
          <w:b/>
          <w:i/>
          <w:lang w:val="en-SG"/>
        </w:rPr>
      </w:pPr>
      <w:r w:rsidRPr="00CD68B3">
        <w:rPr>
          <w:b/>
          <w:i/>
          <w:lang w:val="en-SG"/>
        </w:rPr>
        <w:t>Figure 26</w:t>
      </w:r>
      <w:r w:rsidR="00F8021F" w:rsidRPr="00CD68B3">
        <w:rPr>
          <w:b/>
          <w:i/>
          <w:lang w:val="en-SG"/>
        </w:rPr>
        <w:t>:</w:t>
      </w:r>
      <w:r w:rsidR="00F8021F">
        <w:rPr>
          <w:b/>
          <w:i/>
          <w:lang w:val="en-SG"/>
        </w:rPr>
        <w:t xml:space="preserve"> COKE 5</w:t>
      </w:r>
      <w:r w:rsidR="00F8021F" w:rsidRPr="002B568D">
        <w:rPr>
          <w:b/>
          <w:i/>
          <w:lang w:val="en-SG"/>
        </w:rPr>
        <w:t>0d</w:t>
      </w:r>
      <w:r w:rsidR="00F8021F">
        <w:rPr>
          <w:b/>
          <w:i/>
          <w:lang w:val="en-SG"/>
        </w:rPr>
        <w:t xml:space="preserve"> Out of Sample Multi</w:t>
      </w:r>
      <w:r w:rsidR="00F8021F" w:rsidRPr="002B568D">
        <w:rPr>
          <w:b/>
          <w:i/>
          <w:lang w:val="en-SG"/>
        </w:rPr>
        <w:t>-Step Ahead Forecast of four different methods</w:t>
      </w:r>
    </w:p>
    <w:p w:rsidR="00F8021F" w:rsidRDefault="00F8021F" w:rsidP="00F8021F">
      <w:pPr>
        <w:pStyle w:val="5"/>
        <w:rPr>
          <w:lang w:val="en-SG"/>
        </w:rPr>
      </w:pPr>
      <w:r>
        <w:rPr>
          <w:lang w:val="en-SG"/>
        </w:rPr>
        <w:t>Accuracy Assessment</w:t>
      </w:r>
    </w:p>
    <w:p w:rsidR="00F8021F" w:rsidRPr="0067215E" w:rsidRDefault="00F8021F" w:rsidP="00F8021F">
      <w:pPr>
        <w:jc w:val="both"/>
        <w:rPr>
          <w:lang w:val="en-SG"/>
        </w:rPr>
      </w:pPr>
      <w:r>
        <w:rPr>
          <w:lang w:val="en-SG"/>
        </w:rPr>
        <w:t xml:space="preserve">From the </w:t>
      </w:r>
      <w:r w:rsidRPr="00CD68B3">
        <w:rPr>
          <w:b/>
          <w:lang w:val="en-SG"/>
        </w:rPr>
        <w:t xml:space="preserve">Figure </w:t>
      </w:r>
      <w:r w:rsidR="00CD68B3" w:rsidRPr="00CD68B3">
        <w:rPr>
          <w:b/>
          <w:lang w:val="en-SG"/>
        </w:rPr>
        <w:t>26</w:t>
      </w:r>
      <w:r>
        <w:rPr>
          <w:lang w:val="en-SG"/>
        </w:rPr>
        <w:t xml:space="preserve"> we can see that AR (1)-GARCH (1,1)-t performs best and HS-5 performs worst, and parametric methods outperform nonparametric methods in COKE 840 step-ahead forecast. But the RMSE and MAD score in COKE forecast are quite high and unacceptable. </w:t>
      </w:r>
    </w:p>
    <w:tbl>
      <w:tblPr>
        <w:tblW w:w="0" w:type="auto"/>
        <w:jc w:val="center"/>
        <w:tblLook w:val="04A0" w:firstRow="1" w:lastRow="0" w:firstColumn="1" w:lastColumn="0" w:noHBand="0" w:noVBand="1"/>
      </w:tblPr>
      <w:tblGrid>
        <w:gridCol w:w="779"/>
        <w:gridCol w:w="2273"/>
        <w:gridCol w:w="2714"/>
        <w:gridCol w:w="889"/>
        <w:gridCol w:w="885"/>
      </w:tblGrid>
      <w:tr w:rsidR="00F8021F" w:rsidRPr="0067215E" w:rsidTr="00F8021F">
        <w:trPr>
          <w:trHeight w:val="285"/>
          <w:jc w:val="center"/>
        </w:trPr>
        <w:tc>
          <w:tcPr>
            <w:tcW w:w="0" w:type="auto"/>
            <w:gridSpan w:val="5"/>
            <w:tcBorders>
              <w:top w:val="nil"/>
              <w:left w:val="nil"/>
              <w:bottom w:val="single" w:sz="12" w:space="0" w:color="auto"/>
              <w:right w:val="nil"/>
            </w:tcBorders>
            <w:shd w:val="clear" w:color="auto" w:fill="auto"/>
            <w:noWrap/>
            <w:vAlign w:val="bottom"/>
          </w:tcPr>
          <w:p w:rsidR="00F8021F" w:rsidRPr="0067215E" w:rsidRDefault="00F8021F" w:rsidP="00F8021F">
            <w:pPr>
              <w:rPr>
                <w:rFonts w:ascii="Calibri" w:hAnsi="Calibri" w:cs="Calibri"/>
                <w:b/>
                <w:bCs/>
                <w:color w:val="000000"/>
              </w:rPr>
            </w:pPr>
            <w:r w:rsidRPr="0045720B">
              <w:rPr>
                <w:rFonts w:ascii="Calibri" w:hAnsi="Calibri" w:cs="Calibri"/>
                <w:b/>
                <w:bCs/>
                <w:color w:val="000000"/>
              </w:rPr>
              <w:lastRenderedPageBreak/>
              <w:t xml:space="preserve">Accuracy Measurement of </w:t>
            </w:r>
            <w:r>
              <w:rPr>
                <w:rFonts w:ascii="Calibri" w:hAnsi="Calibri" w:cs="Calibri"/>
                <w:b/>
                <w:bCs/>
                <w:color w:val="000000"/>
              </w:rPr>
              <w:t>COKE Multi Step A</w:t>
            </w:r>
            <w:r w:rsidRPr="0045720B">
              <w:rPr>
                <w:rFonts w:ascii="Calibri" w:hAnsi="Calibri" w:cs="Calibri"/>
                <w:b/>
                <w:bCs/>
                <w:color w:val="000000"/>
              </w:rPr>
              <w:t>head Forecast</w:t>
            </w:r>
          </w:p>
        </w:tc>
      </w:tr>
      <w:tr w:rsidR="00F8021F" w:rsidRPr="0067215E" w:rsidTr="00F8021F">
        <w:trPr>
          <w:trHeight w:val="285"/>
          <w:jc w:val="center"/>
        </w:trPr>
        <w:tc>
          <w:tcPr>
            <w:tcW w:w="0" w:type="auto"/>
            <w:tcBorders>
              <w:top w:val="single" w:sz="12" w:space="0" w:color="auto"/>
              <w:left w:val="nil"/>
              <w:bottom w:val="single" w:sz="8" w:space="0" w:color="auto"/>
              <w:right w:val="nil"/>
            </w:tcBorders>
            <w:shd w:val="clear" w:color="auto" w:fill="auto"/>
            <w:noWrap/>
            <w:vAlign w:val="bottom"/>
            <w:hideMark/>
          </w:tcPr>
          <w:p w:rsidR="00F8021F" w:rsidRPr="0067215E" w:rsidRDefault="00F8021F" w:rsidP="00F8021F"/>
        </w:tc>
        <w:tc>
          <w:tcPr>
            <w:tcW w:w="0" w:type="auto"/>
            <w:tcBorders>
              <w:top w:val="single" w:sz="12" w:space="0" w:color="auto"/>
              <w:left w:val="nil"/>
              <w:bottom w:val="single" w:sz="8" w:space="0" w:color="auto"/>
              <w:right w:val="nil"/>
            </w:tcBorders>
            <w:shd w:val="clear" w:color="auto" w:fill="auto"/>
            <w:noWrap/>
            <w:vAlign w:val="bottom"/>
            <w:hideMark/>
          </w:tcPr>
          <w:p w:rsidR="00F8021F" w:rsidRPr="0067215E" w:rsidRDefault="00F8021F" w:rsidP="00F8021F">
            <w:pPr>
              <w:jc w:val="center"/>
              <w:rPr>
                <w:rFonts w:ascii="Calibri" w:hAnsi="Calibri" w:cs="Calibri"/>
                <w:b/>
                <w:bCs/>
                <w:color w:val="000000"/>
              </w:rPr>
            </w:pPr>
            <w:r w:rsidRPr="0067215E">
              <w:rPr>
                <w:rFonts w:ascii="Calibri" w:hAnsi="Calibri" w:cs="Calibri"/>
                <w:b/>
                <w:bCs/>
                <w:color w:val="000000"/>
              </w:rPr>
              <w:t>AR</w:t>
            </w:r>
            <w:r>
              <w:rPr>
                <w:rFonts w:ascii="Calibri" w:hAnsi="Calibri" w:cs="Calibri"/>
                <w:b/>
                <w:bCs/>
                <w:color w:val="000000"/>
              </w:rPr>
              <w:t xml:space="preserve"> </w:t>
            </w:r>
            <w:r w:rsidRPr="0067215E">
              <w:rPr>
                <w:rFonts w:ascii="Calibri" w:hAnsi="Calibri" w:cs="Calibri"/>
                <w:b/>
                <w:bCs/>
                <w:color w:val="000000"/>
              </w:rPr>
              <w:t>(1)-GARCH</w:t>
            </w:r>
            <w:r>
              <w:rPr>
                <w:rFonts w:ascii="Calibri" w:hAnsi="Calibri" w:cs="Calibri"/>
                <w:b/>
                <w:bCs/>
                <w:color w:val="000000"/>
              </w:rPr>
              <w:t xml:space="preserve"> </w:t>
            </w:r>
            <w:r w:rsidRPr="0067215E">
              <w:rPr>
                <w:rFonts w:ascii="Calibri" w:hAnsi="Calibri" w:cs="Calibri"/>
                <w:b/>
                <w:bCs/>
                <w:color w:val="000000"/>
              </w:rPr>
              <w:t>(1,1)-t</w:t>
            </w:r>
          </w:p>
        </w:tc>
        <w:tc>
          <w:tcPr>
            <w:tcW w:w="0" w:type="auto"/>
            <w:tcBorders>
              <w:top w:val="single" w:sz="12" w:space="0" w:color="auto"/>
              <w:left w:val="nil"/>
              <w:bottom w:val="single" w:sz="8" w:space="0" w:color="auto"/>
              <w:right w:val="nil"/>
            </w:tcBorders>
            <w:shd w:val="clear" w:color="auto" w:fill="auto"/>
            <w:noWrap/>
            <w:vAlign w:val="bottom"/>
            <w:hideMark/>
          </w:tcPr>
          <w:p w:rsidR="00F8021F" w:rsidRPr="0067215E" w:rsidRDefault="00F8021F" w:rsidP="00F8021F">
            <w:pPr>
              <w:jc w:val="center"/>
              <w:rPr>
                <w:rFonts w:ascii="Calibri" w:hAnsi="Calibri" w:cs="Calibri"/>
                <w:b/>
                <w:bCs/>
                <w:color w:val="000000"/>
              </w:rPr>
            </w:pPr>
            <w:r w:rsidRPr="0067215E">
              <w:rPr>
                <w:rFonts w:ascii="Calibri" w:hAnsi="Calibri" w:cs="Calibri"/>
                <w:b/>
                <w:bCs/>
                <w:color w:val="000000"/>
              </w:rPr>
              <w:t>AR</w:t>
            </w:r>
            <w:r>
              <w:rPr>
                <w:rFonts w:ascii="Calibri" w:hAnsi="Calibri" w:cs="Calibri"/>
                <w:b/>
                <w:bCs/>
                <w:color w:val="000000"/>
              </w:rPr>
              <w:t xml:space="preserve"> (1)</w:t>
            </w:r>
            <w:r w:rsidRPr="0067215E">
              <w:rPr>
                <w:rFonts w:ascii="Calibri" w:hAnsi="Calibri" w:cs="Calibri"/>
                <w:b/>
                <w:bCs/>
                <w:color w:val="000000"/>
              </w:rPr>
              <w:t>-GJR-GARCH</w:t>
            </w:r>
            <w:r>
              <w:rPr>
                <w:rFonts w:ascii="Calibri" w:hAnsi="Calibri" w:cs="Calibri"/>
                <w:b/>
                <w:bCs/>
                <w:color w:val="000000"/>
              </w:rPr>
              <w:t xml:space="preserve"> </w:t>
            </w:r>
            <w:r w:rsidRPr="0067215E">
              <w:rPr>
                <w:rFonts w:ascii="Calibri" w:hAnsi="Calibri" w:cs="Calibri"/>
                <w:b/>
                <w:bCs/>
                <w:color w:val="000000"/>
              </w:rPr>
              <w:t>(1,1)-t</w:t>
            </w:r>
          </w:p>
        </w:tc>
        <w:tc>
          <w:tcPr>
            <w:tcW w:w="0" w:type="auto"/>
            <w:tcBorders>
              <w:top w:val="single" w:sz="12" w:space="0" w:color="auto"/>
              <w:left w:val="nil"/>
              <w:bottom w:val="single" w:sz="8" w:space="0" w:color="auto"/>
              <w:right w:val="nil"/>
            </w:tcBorders>
            <w:shd w:val="clear" w:color="auto" w:fill="auto"/>
            <w:noWrap/>
            <w:vAlign w:val="bottom"/>
            <w:hideMark/>
          </w:tcPr>
          <w:p w:rsidR="00F8021F" w:rsidRPr="0067215E" w:rsidRDefault="00F8021F" w:rsidP="00F8021F">
            <w:pPr>
              <w:jc w:val="center"/>
              <w:rPr>
                <w:rFonts w:ascii="Calibri" w:hAnsi="Calibri" w:cs="Calibri"/>
                <w:b/>
                <w:bCs/>
                <w:color w:val="000000"/>
              </w:rPr>
            </w:pPr>
            <w:r w:rsidRPr="0067215E">
              <w:rPr>
                <w:rFonts w:ascii="Calibri" w:hAnsi="Calibri" w:cs="Calibri"/>
                <w:b/>
                <w:bCs/>
                <w:color w:val="000000"/>
              </w:rPr>
              <w:t>HS-25</w:t>
            </w:r>
          </w:p>
        </w:tc>
        <w:tc>
          <w:tcPr>
            <w:tcW w:w="0" w:type="auto"/>
            <w:tcBorders>
              <w:top w:val="single" w:sz="12" w:space="0" w:color="auto"/>
              <w:left w:val="nil"/>
              <w:bottom w:val="single" w:sz="8" w:space="0" w:color="auto"/>
              <w:right w:val="nil"/>
            </w:tcBorders>
            <w:shd w:val="clear" w:color="auto" w:fill="auto"/>
            <w:noWrap/>
            <w:vAlign w:val="bottom"/>
            <w:hideMark/>
          </w:tcPr>
          <w:p w:rsidR="00F8021F" w:rsidRPr="0067215E" w:rsidRDefault="00F8021F" w:rsidP="00F8021F">
            <w:pPr>
              <w:jc w:val="center"/>
              <w:rPr>
                <w:rFonts w:ascii="Calibri" w:hAnsi="Calibri" w:cs="Calibri"/>
                <w:b/>
                <w:bCs/>
                <w:color w:val="000000"/>
              </w:rPr>
            </w:pPr>
            <w:r w:rsidRPr="0067215E">
              <w:rPr>
                <w:rFonts w:ascii="Calibri" w:hAnsi="Calibri" w:cs="Calibri"/>
                <w:b/>
                <w:bCs/>
                <w:color w:val="000000"/>
              </w:rPr>
              <w:t>HS-5</w:t>
            </w:r>
          </w:p>
        </w:tc>
      </w:tr>
      <w:tr w:rsidR="00F8021F" w:rsidRPr="0067215E" w:rsidTr="00F8021F">
        <w:trPr>
          <w:trHeight w:val="285"/>
          <w:jc w:val="center"/>
        </w:trPr>
        <w:tc>
          <w:tcPr>
            <w:tcW w:w="0" w:type="auto"/>
            <w:tcBorders>
              <w:top w:val="single" w:sz="8" w:space="0" w:color="auto"/>
              <w:left w:val="nil"/>
              <w:bottom w:val="nil"/>
              <w:right w:val="nil"/>
            </w:tcBorders>
            <w:shd w:val="clear" w:color="auto" w:fill="auto"/>
            <w:noWrap/>
            <w:vAlign w:val="bottom"/>
            <w:hideMark/>
          </w:tcPr>
          <w:p w:rsidR="00F8021F" w:rsidRPr="0067215E" w:rsidRDefault="00F8021F" w:rsidP="00F8021F">
            <w:pPr>
              <w:jc w:val="center"/>
              <w:rPr>
                <w:rFonts w:ascii="Calibri" w:hAnsi="Calibri" w:cs="Calibri"/>
                <w:color w:val="000000"/>
              </w:rPr>
            </w:pPr>
            <w:r w:rsidRPr="0067215E">
              <w:rPr>
                <w:rFonts w:ascii="Calibri" w:hAnsi="Calibri" w:cs="Calibri"/>
                <w:color w:val="000000"/>
              </w:rPr>
              <w:t>RMSE</w:t>
            </w:r>
          </w:p>
        </w:tc>
        <w:tc>
          <w:tcPr>
            <w:tcW w:w="0" w:type="auto"/>
            <w:tcBorders>
              <w:top w:val="single" w:sz="8" w:space="0" w:color="auto"/>
              <w:left w:val="nil"/>
              <w:bottom w:val="nil"/>
              <w:right w:val="nil"/>
            </w:tcBorders>
            <w:shd w:val="clear" w:color="auto" w:fill="auto"/>
            <w:noWrap/>
            <w:vAlign w:val="bottom"/>
            <w:hideMark/>
          </w:tcPr>
          <w:p w:rsidR="00F8021F" w:rsidRPr="0067215E" w:rsidRDefault="00F8021F" w:rsidP="00F8021F">
            <w:pPr>
              <w:jc w:val="center"/>
              <w:rPr>
                <w:rFonts w:ascii="Calibri" w:hAnsi="Calibri" w:cs="Calibri"/>
                <w:color w:val="000000"/>
                <w:u w:val="single"/>
              </w:rPr>
            </w:pPr>
            <w:r w:rsidRPr="0067215E">
              <w:rPr>
                <w:rFonts w:ascii="Calibri" w:hAnsi="Calibri" w:cs="Calibri"/>
                <w:color w:val="000000"/>
                <w:u w:val="single"/>
              </w:rPr>
              <w:t>2.0821</w:t>
            </w:r>
          </w:p>
        </w:tc>
        <w:tc>
          <w:tcPr>
            <w:tcW w:w="0" w:type="auto"/>
            <w:tcBorders>
              <w:top w:val="single" w:sz="8" w:space="0" w:color="auto"/>
              <w:left w:val="nil"/>
              <w:bottom w:val="nil"/>
              <w:right w:val="nil"/>
            </w:tcBorders>
            <w:shd w:val="clear" w:color="auto" w:fill="auto"/>
            <w:noWrap/>
            <w:vAlign w:val="bottom"/>
            <w:hideMark/>
          </w:tcPr>
          <w:p w:rsidR="00F8021F" w:rsidRPr="0067215E" w:rsidRDefault="00F8021F" w:rsidP="00F8021F">
            <w:pPr>
              <w:jc w:val="center"/>
              <w:rPr>
                <w:rFonts w:ascii="Calibri" w:hAnsi="Calibri" w:cs="Calibri"/>
                <w:color w:val="000000"/>
              </w:rPr>
            </w:pPr>
            <w:r w:rsidRPr="0067215E">
              <w:rPr>
                <w:rFonts w:ascii="Calibri" w:hAnsi="Calibri" w:cs="Calibri"/>
                <w:color w:val="000000"/>
              </w:rPr>
              <w:t>2.0828</w:t>
            </w:r>
          </w:p>
        </w:tc>
        <w:tc>
          <w:tcPr>
            <w:tcW w:w="0" w:type="auto"/>
            <w:tcBorders>
              <w:top w:val="single" w:sz="8" w:space="0" w:color="auto"/>
              <w:left w:val="nil"/>
              <w:bottom w:val="nil"/>
              <w:right w:val="nil"/>
            </w:tcBorders>
            <w:shd w:val="clear" w:color="auto" w:fill="auto"/>
            <w:noWrap/>
            <w:vAlign w:val="bottom"/>
            <w:hideMark/>
          </w:tcPr>
          <w:p w:rsidR="00F8021F" w:rsidRPr="0067215E" w:rsidRDefault="00F8021F" w:rsidP="00F8021F">
            <w:pPr>
              <w:jc w:val="center"/>
              <w:rPr>
                <w:rFonts w:ascii="Calibri" w:hAnsi="Calibri" w:cs="Calibri"/>
                <w:b/>
                <w:bCs/>
                <w:color w:val="000000"/>
              </w:rPr>
            </w:pPr>
            <w:r w:rsidRPr="0067215E">
              <w:rPr>
                <w:rFonts w:ascii="Calibri" w:hAnsi="Calibri" w:cs="Calibri"/>
                <w:b/>
                <w:bCs/>
                <w:color w:val="000000"/>
              </w:rPr>
              <w:t>2.0922</w:t>
            </w:r>
          </w:p>
        </w:tc>
        <w:tc>
          <w:tcPr>
            <w:tcW w:w="0" w:type="auto"/>
            <w:tcBorders>
              <w:top w:val="single" w:sz="8" w:space="0" w:color="auto"/>
              <w:left w:val="nil"/>
              <w:bottom w:val="nil"/>
              <w:right w:val="nil"/>
            </w:tcBorders>
            <w:shd w:val="clear" w:color="auto" w:fill="auto"/>
            <w:noWrap/>
            <w:vAlign w:val="bottom"/>
            <w:hideMark/>
          </w:tcPr>
          <w:p w:rsidR="00F8021F" w:rsidRPr="0067215E" w:rsidRDefault="00F8021F" w:rsidP="00F8021F">
            <w:pPr>
              <w:jc w:val="center"/>
              <w:rPr>
                <w:rFonts w:ascii="Calibri" w:hAnsi="Calibri" w:cs="Calibri"/>
                <w:color w:val="000000"/>
              </w:rPr>
            </w:pPr>
            <w:r w:rsidRPr="0067215E">
              <w:rPr>
                <w:rFonts w:ascii="Calibri" w:hAnsi="Calibri" w:cs="Calibri"/>
                <w:color w:val="000000"/>
              </w:rPr>
              <w:t>2.0842</w:t>
            </w:r>
          </w:p>
        </w:tc>
      </w:tr>
      <w:tr w:rsidR="00F8021F" w:rsidRPr="0067215E" w:rsidTr="00F8021F">
        <w:trPr>
          <w:trHeight w:val="285"/>
          <w:jc w:val="center"/>
        </w:trPr>
        <w:tc>
          <w:tcPr>
            <w:tcW w:w="0" w:type="auto"/>
            <w:tcBorders>
              <w:top w:val="nil"/>
              <w:left w:val="nil"/>
              <w:bottom w:val="single" w:sz="12" w:space="0" w:color="auto"/>
              <w:right w:val="nil"/>
            </w:tcBorders>
            <w:shd w:val="clear" w:color="auto" w:fill="auto"/>
            <w:noWrap/>
            <w:vAlign w:val="bottom"/>
            <w:hideMark/>
          </w:tcPr>
          <w:p w:rsidR="00F8021F" w:rsidRPr="0067215E" w:rsidRDefault="00F8021F" w:rsidP="00F8021F">
            <w:pPr>
              <w:jc w:val="center"/>
              <w:rPr>
                <w:rFonts w:ascii="Calibri" w:hAnsi="Calibri" w:cs="Calibri"/>
                <w:color w:val="000000"/>
              </w:rPr>
            </w:pPr>
            <w:r w:rsidRPr="0067215E">
              <w:rPr>
                <w:rFonts w:ascii="Calibri" w:hAnsi="Calibri" w:cs="Calibri"/>
                <w:color w:val="000000"/>
              </w:rPr>
              <w:t>MAD</w:t>
            </w:r>
          </w:p>
        </w:tc>
        <w:tc>
          <w:tcPr>
            <w:tcW w:w="0" w:type="auto"/>
            <w:tcBorders>
              <w:top w:val="nil"/>
              <w:left w:val="nil"/>
              <w:bottom w:val="single" w:sz="12" w:space="0" w:color="auto"/>
              <w:right w:val="nil"/>
            </w:tcBorders>
            <w:shd w:val="clear" w:color="auto" w:fill="auto"/>
            <w:noWrap/>
            <w:vAlign w:val="bottom"/>
            <w:hideMark/>
          </w:tcPr>
          <w:p w:rsidR="00F8021F" w:rsidRPr="0067215E" w:rsidRDefault="00F8021F" w:rsidP="00F8021F">
            <w:pPr>
              <w:jc w:val="center"/>
              <w:rPr>
                <w:rFonts w:ascii="Calibri" w:hAnsi="Calibri" w:cs="Calibri"/>
                <w:color w:val="000000"/>
                <w:u w:val="single"/>
              </w:rPr>
            </w:pPr>
            <w:r w:rsidRPr="0067215E">
              <w:rPr>
                <w:rFonts w:ascii="Calibri" w:hAnsi="Calibri" w:cs="Calibri"/>
                <w:color w:val="000000"/>
                <w:u w:val="single"/>
              </w:rPr>
              <w:t>1.3586</w:t>
            </w:r>
          </w:p>
        </w:tc>
        <w:tc>
          <w:tcPr>
            <w:tcW w:w="0" w:type="auto"/>
            <w:tcBorders>
              <w:top w:val="nil"/>
              <w:left w:val="nil"/>
              <w:bottom w:val="single" w:sz="12" w:space="0" w:color="auto"/>
              <w:right w:val="nil"/>
            </w:tcBorders>
            <w:shd w:val="clear" w:color="auto" w:fill="auto"/>
            <w:noWrap/>
            <w:vAlign w:val="bottom"/>
            <w:hideMark/>
          </w:tcPr>
          <w:p w:rsidR="00F8021F" w:rsidRPr="0067215E" w:rsidRDefault="00F8021F" w:rsidP="00F8021F">
            <w:pPr>
              <w:jc w:val="center"/>
              <w:rPr>
                <w:rFonts w:ascii="Calibri" w:hAnsi="Calibri" w:cs="Calibri"/>
                <w:color w:val="000000"/>
              </w:rPr>
            </w:pPr>
            <w:r w:rsidRPr="0067215E">
              <w:rPr>
                <w:rFonts w:ascii="Calibri" w:hAnsi="Calibri" w:cs="Calibri"/>
                <w:color w:val="000000"/>
              </w:rPr>
              <w:t>1.3591</w:t>
            </w:r>
          </w:p>
        </w:tc>
        <w:tc>
          <w:tcPr>
            <w:tcW w:w="0" w:type="auto"/>
            <w:tcBorders>
              <w:top w:val="nil"/>
              <w:left w:val="nil"/>
              <w:bottom w:val="single" w:sz="12" w:space="0" w:color="auto"/>
              <w:right w:val="nil"/>
            </w:tcBorders>
            <w:shd w:val="clear" w:color="auto" w:fill="auto"/>
            <w:noWrap/>
            <w:vAlign w:val="bottom"/>
            <w:hideMark/>
          </w:tcPr>
          <w:p w:rsidR="00F8021F" w:rsidRPr="0067215E" w:rsidRDefault="00F8021F" w:rsidP="00F8021F">
            <w:pPr>
              <w:jc w:val="center"/>
              <w:rPr>
                <w:rFonts w:ascii="Calibri" w:hAnsi="Calibri" w:cs="Calibri"/>
                <w:b/>
                <w:bCs/>
                <w:color w:val="000000"/>
              </w:rPr>
            </w:pPr>
            <w:r w:rsidRPr="0067215E">
              <w:rPr>
                <w:rFonts w:ascii="Calibri" w:hAnsi="Calibri" w:cs="Calibri"/>
                <w:b/>
                <w:bCs/>
                <w:color w:val="000000"/>
              </w:rPr>
              <w:t>1.3695</w:t>
            </w:r>
          </w:p>
        </w:tc>
        <w:tc>
          <w:tcPr>
            <w:tcW w:w="0" w:type="auto"/>
            <w:tcBorders>
              <w:top w:val="nil"/>
              <w:left w:val="nil"/>
              <w:bottom w:val="single" w:sz="12" w:space="0" w:color="auto"/>
              <w:right w:val="nil"/>
            </w:tcBorders>
            <w:shd w:val="clear" w:color="auto" w:fill="auto"/>
            <w:noWrap/>
            <w:vAlign w:val="bottom"/>
            <w:hideMark/>
          </w:tcPr>
          <w:p w:rsidR="00F8021F" w:rsidRPr="0067215E" w:rsidRDefault="00F8021F" w:rsidP="00F8021F">
            <w:pPr>
              <w:jc w:val="center"/>
              <w:rPr>
                <w:rFonts w:ascii="Calibri" w:hAnsi="Calibri" w:cs="Calibri"/>
                <w:color w:val="000000"/>
              </w:rPr>
            </w:pPr>
            <w:r w:rsidRPr="0067215E">
              <w:rPr>
                <w:rFonts w:ascii="Calibri" w:hAnsi="Calibri" w:cs="Calibri"/>
                <w:color w:val="000000"/>
              </w:rPr>
              <w:t>1.3604</w:t>
            </w:r>
          </w:p>
        </w:tc>
      </w:tr>
    </w:tbl>
    <w:p w:rsidR="00F8021F" w:rsidRPr="00CD68B3" w:rsidRDefault="00CD68B3" w:rsidP="00F8021F">
      <w:pPr>
        <w:jc w:val="center"/>
        <w:rPr>
          <w:b/>
          <w:lang w:val="en-SG"/>
        </w:rPr>
      </w:pPr>
      <w:r w:rsidRPr="00CD68B3">
        <w:rPr>
          <w:b/>
          <w:lang w:val="en-SG"/>
        </w:rPr>
        <w:t>Figure 27</w:t>
      </w:r>
      <w:r w:rsidR="00F8021F" w:rsidRPr="00CD68B3">
        <w:rPr>
          <w:b/>
          <w:lang w:val="en-SG"/>
        </w:rPr>
        <w:t>: COKE Multi Step Ahead Forecast RMSE and MAD Results</w:t>
      </w:r>
    </w:p>
    <w:p w:rsidR="00F8021F" w:rsidRPr="00107EF6" w:rsidRDefault="00F8021F" w:rsidP="00F8021F">
      <w:pPr>
        <w:jc w:val="both"/>
        <w:rPr>
          <w:lang w:val="en-SG"/>
        </w:rPr>
      </w:pPr>
      <w:r w:rsidRPr="00CD68B3">
        <w:rPr>
          <w:lang w:val="en-SG"/>
        </w:rPr>
        <w:t xml:space="preserve">In </w:t>
      </w:r>
      <w:r w:rsidRPr="00CD68B3">
        <w:rPr>
          <w:b/>
          <w:lang w:val="en-SG"/>
        </w:rPr>
        <w:t xml:space="preserve">Figure </w:t>
      </w:r>
      <w:r w:rsidR="00CD68B3" w:rsidRPr="00CD68B3">
        <w:rPr>
          <w:b/>
          <w:lang w:val="en-SG"/>
        </w:rPr>
        <w:t>26</w:t>
      </w:r>
      <w:r w:rsidRPr="00CD68B3">
        <w:rPr>
          <w:b/>
          <w:lang w:val="en-SG"/>
        </w:rPr>
        <w:t xml:space="preserve"> and Figure </w:t>
      </w:r>
      <w:r w:rsidR="00CD68B3" w:rsidRPr="00CD68B3">
        <w:rPr>
          <w:b/>
          <w:lang w:val="en-SG"/>
        </w:rPr>
        <w:t>27</w:t>
      </w:r>
      <w:r w:rsidRPr="00CD68B3">
        <w:rPr>
          <w:lang w:val="en-SG"/>
        </w:rPr>
        <w:t>, AR</w:t>
      </w:r>
      <w:r>
        <w:rPr>
          <w:lang w:val="en-SG"/>
        </w:rPr>
        <w:t xml:space="preserve"> (1)-GJR-GARCH (1,1)-t model generally performs better, and AR (1)- GARCH (1,1)-t model’s rank is also not bad. However, the nonparametric methods’ forecast results are worse compared with parametric methods, which is the same with COKE’s result. And HS-5 performs worse in most cases. In comparison with one step ahead forecast, we can obviously find that parametric methods are more suitable in long-term forecast than nonparametric methods and multi period ahead forecasts have higher errors than one step ahead forecast. For the general RMSE and MAD values, COKE has the highest RMSE and MAD while JNJ has the lowest, and the lowest rank in multi-step results is not the same with that in one-step table.</w:t>
      </w:r>
    </w:p>
    <w:tbl>
      <w:tblPr>
        <w:tblW w:w="0" w:type="auto"/>
        <w:jc w:val="center"/>
        <w:tblBorders>
          <w:top w:val="single" w:sz="12" w:space="0" w:color="auto"/>
          <w:bottom w:val="single" w:sz="12" w:space="0" w:color="auto"/>
        </w:tblBorders>
        <w:tblLook w:val="04A0" w:firstRow="1" w:lastRow="0" w:firstColumn="1" w:lastColumn="0" w:noHBand="0" w:noVBand="1"/>
      </w:tblPr>
      <w:tblGrid>
        <w:gridCol w:w="832"/>
        <w:gridCol w:w="779"/>
        <w:gridCol w:w="2328"/>
        <w:gridCol w:w="2769"/>
        <w:gridCol w:w="889"/>
        <w:gridCol w:w="889"/>
      </w:tblGrid>
      <w:tr w:rsidR="00F8021F" w:rsidRPr="00996A32" w:rsidTr="00F8021F">
        <w:trPr>
          <w:trHeight w:val="285"/>
          <w:jc w:val="center"/>
        </w:trPr>
        <w:tc>
          <w:tcPr>
            <w:tcW w:w="0" w:type="auto"/>
            <w:gridSpan w:val="6"/>
            <w:tcBorders>
              <w:top w:val="nil"/>
              <w:bottom w:val="single" w:sz="12" w:space="0" w:color="auto"/>
            </w:tcBorders>
          </w:tcPr>
          <w:p w:rsidR="00F8021F" w:rsidRPr="00996A32" w:rsidRDefault="00F8021F" w:rsidP="00F8021F">
            <w:pPr>
              <w:jc w:val="both"/>
              <w:rPr>
                <w:rFonts w:ascii="Calibri" w:hAnsi="Calibri" w:cs="Calibri"/>
                <w:b/>
                <w:bCs/>
                <w:color w:val="000000"/>
              </w:rPr>
            </w:pPr>
            <w:r w:rsidRPr="0045720B">
              <w:rPr>
                <w:rFonts w:ascii="Calibri" w:hAnsi="Calibri" w:cs="Calibri"/>
                <w:b/>
                <w:bCs/>
                <w:color w:val="000000"/>
              </w:rPr>
              <w:t xml:space="preserve">Accuracy Measurement of </w:t>
            </w:r>
            <w:r>
              <w:rPr>
                <w:rFonts w:ascii="Calibri" w:hAnsi="Calibri" w:cs="Calibri"/>
                <w:b/>
                <w:bCs/>
                <w:color w:val="000000"/>
              </w:rPr>
              <w:t>All Assets Multi Step A</w:t>
            </w:r>
            <w:r w:rsidRPr="0045720B">
              <w:rPr>
                <w:rFonts w:ascii="Calibri" w:hAnsi="Calibri" w:cs="Calibri"/>
                <w:b/>
                <w:bCs/>
                <w:color w:val="000000"/>
              </w:rPr>
              <w:t>head Forecast</w:t>
            </w:r>
          </w:p>
        </w:tc>
      </w:tr>
      <w:tr w:rsidR="00F8021F" w:rsidRPr="00996A32" w:rsidTr="00F8021F">
        <w:trPr>
          <w:trHeight w:val="285"/>
          <w:jc w:val="center"/>
        </w:trPr>
        <w:tc>
          <w:tcPr>
            <w:tcW w:w="0" w:type="auto"/>
            <w:tcBorders>
              <w:top w:val="single" w:sz="12" w:space="0" w:color="auto"/>
              <w:bottom w:val="single" w:sz="8" w:space="0" w:color="auto"/>
            </w:tcBorders>
          </w:tcPr>
          <w:p w:rsidR="00F8021F" w:rsidRPr="00996A32" w:rsidRDefault="00F8021F" w:rsidP="00F8021F"/>
        </w:tc>
        <w:tc>
          <w:tcPr>
            <w:tcW w:w="0" w:type="auto"/>
            <w:tcBorders>
              <w:top w:val="single" w:sz="12" w:space="0" w:color="auto"/>
              <w:bottom w:val="single" w:sz="8" w:space="0" w:color="auto"/>
            </w:tcBorders>
            <w:shd w:val="clear" w:color="auto" w:fill="auto"/>
            <w:noWrap/>
            <w:vAlign w:val="bottom"/>
            <w:hideMark/>
          </w:tcPr>
          <w:p w:rsidR="00F8021F" w:rsidRPr="00996A32" w:rsidRDefault="00F8021F" w:rsidP="00F8021F"/>
        </w:tc>
        <w:tc>
          <w:tcPr>
            <w:tcW w:w="0" w:type="auto"/>
            <w:tcBorders>
              <w:top w:val="single" w:sz="12" w:space="0" w:color="auto"/>
              <w:bottom w:val="single" w:sz="8" w:space="0" w:color="auto"/>
            </w:tcBorders>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AR</w:t>
            </w:r>
            <w:r>
              <w:rPr>
                <w:rFonts w:ascii="Calibri" w:hAnsi="Calibri" w:cs="Calibri"/>
                <w:b/>
                <w:bCs/>
                <w:color w:val="000000"/>
              </w:rPr>
              <w:t xml:space="preserve"> </w:t>
            </w:r>
            <w:r w:rsidRPr="00996A32">
              <w:rPr>
                <w:rFonts w:ascii="Calibri" w:hAnsi="Calibri" w:cs="Calibri"/>
                <w:b/>
                <w:bCs/>
                <w:color w:val="000000"/>
              </w:rPr>
              <w:t>(1)-</w:t>
            </w:r>
            <w:r>
              <w:rPr>
                <w:rFonts w:ascii="Calibri" w:hAnsi="Calibri" w:cs="Calibri"/>
                <w:b/>
                <w:bCs/>
                <w:color w:val="000000"/>
              </w:rPr>
              <w:t xml:space="preserve"> </w:t>
            </w:r>
            <w:r w:rsidRPr="00996A32">
              <w:rPr>
                <w:rFonts w:ascii="Calibri" w:hAnsi="Calibri" w:cs="Calibri"/>
                <w:b/>
                <w:bCs/>
                <w:color w:val="000000"/>
              </w:rPr>
              <w:t>GARCH</w:t>
            </w:r>
            <w:r>
              <w:rPr>
                <w:rFonts w:ascii="Calibri" w:hAnsi="Calibri" w:cs="Calibri"/>
                <w:b/>
                <w:bCs/>
                <w:color w:val="000000"/>
              </w:rPr>
              <w:t xml:space="preserve"> </w:t>
            </w:r>
            <w:r w:rsidRPr="00996A32">
              <w:rPr>
                <w:rFonts w:ascii="Calibri" w:hAnsi="Calibri" w:cs="Calibri"/>
                <w:b/>
                <w:bCs/>
                <w:color w:val="000000"/>
              </w:rPr>
              <w:t>(1,1)-t</w:t>
            </w:r>
          </w:p>
        </w:tc>
        <w:tc>
          <w:tcPr>
            <w:tcW w:w="0" w:type="auto"/>
            <w:tcBorders>
              <w:top w:val="single" w:sz="12" w:space="0" w:color="auto"/>
              <w:bottom w:val="single" w:sz="8" w:space="0" w:color="auto"/>
            </w:tcBorders>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AR</w:t>
            </w:r>
            <w:r>
              <w:rPr>
                <w:rFonts w:ascii="Calibri" w:hAnsi="Calibri" w:cs="Calibri"/>
                <w:b/>
                <w:bCs/>
                <w:color w:val="000000"/>
              </w:rPr>
              <w:t xml:space="preserve"> (1)</w:t>
            </w:r>
            <w:r w:rsidRPr="00996A32">
              <w:rPr>
                <w:rFonts w:ascii="Calibri" w:hAnsi="Calibri" w:cs="Calibri"/>
                <w:b/>
                <w:bCs/>
                <w:color w:val="000000"/>
              </w:rPr>
              <w:t>-GJR-</w:t>
            </w:r>
            <w:r>
              <w:rPr>
                <w:rFonts w:ascii="Calibri" w:hAnsi="Calibri" w:cs="Calibri"/>
                <w:b/>
                <w:bCs/>
                <w:color w:val="000000"/>
              </w:rPr>
              <w:t xml:space="preserve"> </w:t>
            </w:r>
            <w:r w:rsidRPr="00996A32">
              <w:rPr>
                <w:rFonts w:ascii="Calibri" w:hAnsi="Calibri" w:cs="Calibri"/>
                <w:b/>
                <w:bCs/>
                <w:color w:val="000000"/>
              </w:rPr>
              <w:t>GARCH</w:t>
            </w:r>
            <w:r>
              <w:rPr>
                <w:rFonts w:ascii="Calibri" w:hAnsi="Calibri" w:cs="Calibri"/>
                <w:b/>
                <w:bCs/>
                <w:color w:val="000000"/>
              </w:rPr>
              <w:t xml:space="preserve"> </w:t>
            </w:r>
            <w:r w:rsidRPr="00996A32">
              <w:rPr>
                <w:rFonts w:ascii="Calibri" w:hAnsi="Calibri" w:cs="Calibri"/>
                <w:b/>
                <w:bCs/>
                <w:color w:val="000000"/>
              </w:rPr>
              <w:t>(1,1)-t</w:t>
            </w:r>
          </w:p>
        </w:tc>
        <w:tc>
          <w:tcPr>
            <w:tcW w:w="0" w:type="auto"/>
            <w:tcBorders>
              <w:top w:val="single" w:sz="12" w:space="0" w:color="auto"/>
              <w:bottom w:val="single" w:sz="8" w:space="0" w:color="auto"/>
            </w:tcBorders>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HS-25</w:t>
            </w:r>
          </w:p>
        </w:tc>
        <w:tc>
          <w:tcPr>
            <w:tcW w:w="0" w:type="auto"/>
            <w:tcBorders>
              <w:top w:val="single" w:sz="12" w:space="0" w:color="auto"/>
              <w:bottom w:val="single" w:sz="8" w:space="0" w:color="auto"/>
            </w:tcBorders>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HS-5</w:t>
            </w:r>
          </w:p>
        </w:tc>
      </w:tr>
      <w:tr w:rsidR="00F8021F" w:rsidRPr="00996A32" w:rsidTr="00F8021F">
        <w:trPr>
          <w:trHeight w:val="285"/>
          <w:jc w:val="center"/>
        </w:trPr>
        <w:tc>
          <w:tcPr>
            <w:tcW w:w="0" w:type="auto"/>
            <w:vMerge w:val="restart"/>
            <w:tcBorders>
              <w:top w:val="single" w:sz="8" w:space="0" w:color="auto"/>
            </w:tcBorders>
            <w:vAlign w:val="bottom"/>
          </w:tcPr>
          <w:p w:rsidR="00F8021F" w:rsidRPr="0045720B" w:rsidRDefault="00F8021F" w:rsidP="00F8021F">
            <w:pPr>
              <w:jc w:val="center"/>
              <w:rPr>
                <w:rFonts w:ascii="Calibri" w:hAnsi="Calibri" w:cs="Calibri"/>
                <w:color w:val="000000"/>
              </w:rPr>
            </w:pPr>
            <w:r w:rsidRPr="0045720B">
              <w:rPr>
                <w:rFonts w:ascii="Calibri" w:hAnsi="Calibri" w:cs="Calibri"/>
                <w:color w:val="000000"/>
              </w:rPr>
              <w:t>COKE</w:t>
            </w:r>
          </w:p>
        </w:tc>
        <w:tc>
          <w:tcPr>
            <w:tcW w:w="0" w:type="auto"/>
            <w:tcBorders>
              <w:top w:val="single" w:sz="8" w:space="0" w:color="auto"/>
            </w:tcBorders>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RMSE</w:t>
            </w:r>
          </w:p>
        </w:tc>
        <w:tc>
          <w:tcPr>
            <w:tcW w:w="0" w:type="auto"/>
            <w:tcBorders>
              <w:top w:val="single" w:sz="8" w:space="0" w:color="auto"/>
            </w:tcBorders>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2.0821</w:t>
            </w:r>
          </w:p>
        </w:tc>
        <w:tc>
          <w:tcPr>
            <w:tcW w:w="0" w:type="auto"/>
            <w:tcBorders>
              <w:top w:val="single" w:sz="8" w:space="0" w:color="auto"/>
            </w:tcBorders>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2.0828</w:t>
            </w:r>
          </w:p>
        </w:tc>
        <w:tc>
          <w:tcPr>
            <w:tcW w:w="0" w:type="auto"/>
            <w:tcBorders>
              <w:top w:val="single" w:sz="8" w:space="0" w:color="auto"/>
            </w:tcBorders>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2.0922</w:t>
            </w:r>
          </w:p>
        </w:tc>
        <w:tc>
          <w:tcPr>
            <w:tcW w:w="0" w:type="auto"/>
            <w:tcBorders>
              <w:top w:val="single" w:sz="8" w:space="0" w:color="auto"/>
            </w:tcBorders>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2.0842</w:t>
            </w:r>
          </w:p>
        </w:tc>
      </w:tr>
      <w:tr w:rsidR="00F8021F" w:rsidRPr="00996A32" w:rsidTr="00F8021F">
        <w:trPr>
          <w:trHeight w:val="285"/>
          <w:jc w:val="center"/>
        </w:trPr>
        <w:tc>
          <w:tcPr>
            <w:tcW w:w="0" w:type="auto"/>
            <w:vMerge/>
            <w:vAlign w:val="center"/>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MAD</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1.3586</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1.3591</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1.3695</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1.3604</w:t>
            </w:r>
          </w:p>
        </w:tc>
      </w:tr>
      <w:tr w:rsidR="00F8021F" w:rsidRPr="00996A32" w:rsidTr="00F8021F">
        <w:trPr>
          <w:trHeight w:val="285"/>
          <w:jc w:val="center"/>
        </w:trPr>
        <w:tc>
          <w:tcPr>
            <w:tcW w:w="0" w:type="auto"/>
            <w:vMerge w:val="restart"/>
            <w:vAlign w:val="bottom"/>
          </w:tcPr>
          <w:p w:rsidR="00F8021F" w:rsidRPr="0045720B" w:rsidRDefault="00F8021F" w:rsidP="00F8021F">
            <w:pPr>
              <w:jc w:val="center"/>
              <w:rPr>
                <w:rFonts w:ascii="Calibri" w:hAnsi="Calibri" w:cs="Calibri"/>
                <w:color w:val="000000"/>
              </w:rPr>
            </w:pPr>
            <w:r w:rsidRPr="0045720B">
              <w:rPr>
                <w:rFonts w:ascii="Calibri" w:hAnsi="Calibri" w:cs="Calibri"/>
                <w:color w:val="000000"/>
              </w:rPr>
              <w:t>MSFT</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RMSE</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1.4746</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1.4748</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1.4783</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1.4749</w:t>
            </w:r>
          </w:p>
        </w:tc>
      </w:tr>
      <w:tr w:rsidR="00F8021F" w:rsidRPr="00996A32" w:rsidTr="00F8021F">
        <w:trPr>
          <w:trHeight w:val="285"/>
          <w:jc w:val="center"/>
        </w:trPr>
        <w:tc>
          <w:tcPr>
            <w:tcW w:w="0" w:type="auto"/>
            <w:vMerge/>
            <w:vAlign w:val="center"/>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MAD</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0.9722</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0.9723</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0.9756</w:t>
            </w:r>
          </w:p>
        </w:tc>
        <w:tc>
          <w:tcPr>
            <w:tcW w:w="0" w:type="auto"/>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0.9772</w:t>
            </w:r>
          </w:p>
        </w:tc>
      </w:tr>
      <w:tr w:rsidR="00F8021F" w:rsidRPr="00996A32" w:rsidTr="00F8021F">
        <w:trPr>
          <w:trHeight w:val="285"/>
          <w:jc w:val="center"/>
        </w:trPr>
        <w:tc>
          <w:tcPr>
            <w:tcW w:w="0" w:type="auto"/>
            <w:vMerge w:val="restart"/>
            <w:vAlign w:val="bottom"/>
          </w:tcPr>
          <w:p w:rsidR="00F8021F" w:rsidRPr="0045720B" w:rsidRDefault="00F8021F" w:rsidP="00F8021F">
            <w:pPr>
              <w:jc w:val="center"/>
              <w:rPr>
                <w:rFonts w:ascii="Calibri" w:hAnsi="Calibri" w:cs="Calibri"/>
                <w:color w:val="000000"/>
              </w:rPr>
            </w:pPr>
            <w:r w:rsidRPr="0045720B">
              <w:rPr>
                <w:rFonts w:ascii="Calibri" w:hAnsi="Calibri" w:cs="Calibri"/>
                <w:color w:val="000000"/>
              </w:rPr>
              <w:t>JNJ</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RMSE</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0.9553</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0.9552</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0.9662</w:t>
            </w:r>
          </w:p>
        </w:tc>
        <w:tc>
          <w:tcPr>
            <w:tcW w:w="0" w:type="auto"/>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1.0219</w:t>
            </w:r>
          </w:p>
        </w:tc>
      </w:tr>
      <w:tr w:rsidR="00F8021F" w:rsidRPr="00996A32" w:rsidTr="00F8021F">
        <w:trPr>
          <w:trHeight w:val="285"/>
          <w:jc w:val="center"/>
        </w:trPr>
        <w:tc>
          <w:tcPr>
            <w:tcW w:w="0" w:type="auto"/>
            <w:vMerge/>
            <w:vAlign w:val="center"/>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MAD</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0.6795</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0.6793</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0.6922</w:t>
            </w:r>
          </w:p>
        </w:tc>
        <w:tc>
          <w:tcPr>
            <w:tcW w:w="0" w:type="auto"/>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0.7606</w:t>
            </w:r>
          </w:p>
        </w:tc>
      </w:tr>
      <w:tr w:rsidR="00F8021F" w:rsidRPr="00996A32" w:rsidTr="00F8021F">
        <w:trPr>
          <w:trHeight w:val="285"/>
          <w:jc w:val="center"/>
        </w:trPr>
        <w:tc>
          <w:tcPr>
            <w:tcW w:w="0" w:type="auto"/>
            <w:vMerge w:val="restart"/>
            <w:vAlign w:val="bottom"/>
          </w:tcPr>
          <w:p w:rsidR="00F8021F" w:rsidRPr="0045720B" w:rsidRDefault="00F8021F" w:rsidP="00F8021F">
            <w:pPr>
              <w:jc w:val="center"/>
              <w:rPr>
                <w:rFonts w:ascii="Calibri" w:hAnsi="Calibri" w:cs="Calibri"/>
                <w:color w:val="000000"/>
              </w:rPr>
            </w:pPr>
            <w:r w:rsidRPr="0045720B">
              <w:rPr>
                <w:rFonts w:ascii="Calibri" w:hAnsi="Calibri" w:cs="Calibri"/>
                <w:color w:val="000000"/>
              </w:rPr>
              <w:t>MMM</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RMSE</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1.0832</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1.0828</w:t>
            </w:r>
          </w:p>
        </w:tc>
        <w:tc>
          <w:tcPr>
            <w:tcW w:w="0" w:type="auto"/>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1.0929</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1.0854</w:t>
            </w:r>
          </w:p>
        </w:tc>
      </w:tr>
      <w:tr w:rsidR="00F8021F" w:rsidRPr="00996A32" w:rsidTr="00F8021F">
        <w:trPr>
          <w:trHeight w:val="285"/>
          <w:jc w:val="center"/>
        </w:trPr>
        <w:tc>
          <w:tcPr>
            <w:tcW w:w="0" w:type="auto"/>
            <w:vMerge/>
            <w:vAlign w:val="center"/>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MAD</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0.7282</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0.7280</w:t>
            </w:r>
          </w:p>
        </w:tc>
        <w:tc>
          <w:tcPr>
            <w:tcW w:w="0" w:type="auto"/>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0.7373</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0.7300</w:t>
            </w:r>
          </w:p>
        </w:tc>
      </w:tr>
      <w:tr w:rsidR="00F8021F" w:rsidRPr="00996A32" w:rsidTr="00F8021F">
        <w:trPr>
          <w:trHeight w:val="285"/>
          <w:jc w:val="center"/>
        </w:trPr>
        <w:tc>
          <w:tcPr>
            <w:tcW w:w="0" w:type="auto"/>
            <w:vMerge w:val="restart"/>
            <w:vAlign w:val="bottom"/>
          </w:tcPr>
          <w:p w:rsidR="00F8021F" w:rsidRPr="0045720B" w:rsidRDefault="00F8021F" w:rsidP="00F8021F">
            <w:pPr>
              <w:jc w:val="center"/>
              <w:rPr>
                <w:rFonts w:ascii="Calibri" w:hAnsi="Calibri" w:cs="Calibri"/>
                <w:color w:val="000000"/>
              </w:rPr>
            </w:pPr>
            <w:r w:rsidRPr="0045720B">
              <w:rPr>
                <w:rFonts w:ascii="Calibri" w:hAnsi="Calibri" w:cs="Calibri"/>
                <w:color w:val="000000"/>
              </w:rPr>
              <w:t>PTR</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RMSE</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1.8929</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1.8924</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1.8959</w:t>
            </w:r>
          </w:p>
        </w:tc>
        <w:tc>
          <w:tcPr>
            <w:tcW w:w="0" w:type="auto"/>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2.0585</w:t>
            </w:r>
          </w:p>
        </w:tc>
      </w:tr>
      <w:tr w:rsidR="00F8021F" w:rsidRPr="00996A32" w:rsidTr="00F8021F">
        <w:trPr>
          <w:trHeight w:val="285"/>
          <w:jc w:val="center"/>
        </w:trPr>
        <w:tc>
          <w:tcPr>
            <w:tcW w:w="0" w:type="auto"/>
            <w:vMerge/>
            <w:vAlign w:val="center"/>
          </w:tcPr>
          <w:p w:rsidR="00F8021F" w:rsidRPr="0045720B" w:rsidRDefault="00F8021F" w:rsidP="00F8021F">
            <w:pPr>
              <w:rPr>
                <w:rFonts w:ascii="Calibri" w:hAnsi="Calibri" w:cs="Calibri"/>
                <w:color w:val="000000"/>
              </w:rPr>
            </w:pP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MAD</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1.3806</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u w:val="single"/>
              </w:rPr>
            </w:pPr>
            <w:r w:rsidRPr="00996A32">
              <w:rPr>
                <w:rFonts w:ascii="Calibri" w:hAnsi="Calibri" w:cs="Calibri"/>
                <w:color w:val="000000"/>
                <w:u w:val="single"/>
              </w:rPr>
              <w:t>1.3796</w:t>
            </w:r>
          </w:p>
        </w:tc>
        <w:tc>
          <w:tcPr>
            <w:tcW w:w="0" w:type="auto"/>
            <w:shd w:val="clear" w:color="auto" w:fill="auto"/>
            <w:noWrap/>
            <w:vAlign w:val="bottom"/>
            <w:hideMark/>
          </w:tcPr>
          <w:p w:rsidR="00F8021F" w:rsidRPr="00996A32" w:rsidRDefault="00F8021F" w:rsidP="00F8021F">
            <w:pPr>
              <w:jc w:val="center"/>
              <w:rPr>
                <w:rFonts w:ascii="Calibri" w:hAnsi="Calibri" w:cs="Calibri"/>
                <w:color w:val="000000"/>
              </w:rPr>
            </w:pPr>
            <w:r w:rsidRPr="00996A32">
              <w:rPr>
                <w:rFonts w:ascii="Calibri" w:hAnsi="Calibri" w:cs="Calibri"/>
                <w:color w:val="000000"/>
              </w:rPr>
              <w:t>1.3858</w:t>
            </w:r>
          </w:p>
        </w:tc>
        <w:tc>
          <w:tcPr>
            <w:tcW w:w="0" w:type="auto"/>
            <w:shd w:val="clear" w:color="auto" w:fill="auto"/>
            <w:noWrap/>
            <w:vAlign w:val="bottom"/>
            <w:hideMark/>
          </w:tcPr>
          <w:p w:rsidR="00F8021F" w:rsidRPr="00996A32" w:rsidRDefault="00F8021F" w:rsidP="00F8021F">
            <w:pPr>
              <w:jc w:val="center"/>
              <w:rPr>
                <w:rFonts w:ascii="Calibri" w:hAnsi="Calibri" w:cs="Calibri"/>
                <w:b/>
                <w:bCs/>
                <w:color w:val="000000"/>
              </w:rPr>
            </w:pPr>
            <w:r w:rsidRPr="00996A32">
              <w:rPr>
                <w:rFonts w:ascii="Calibri" w:hAnsi="Calibri" w:cs="Calibri"/>
                <w:b/>
                <w:bCs/>
                <w:color w:val="000000"/>
              </w:rPr>
              <w:t>1.5867</w:t>
            </w:r>
          </w:p>
        </w:tc>
      </w:tr>
    </w:tbl>
    <w:p w:rsidR="00F8021F" w:rsidRDefault="00CD68B3" w:rsidP="00F8021F">
      <w:pPr>
        <w:jc w:val="center"/>
        <w:rPr>
          <w:b/>
          <w:lang w:val="en-SG"/>
        </w:rPr>
      </w:pPr>
      <w:r w:rsidRPr="00CD68B3">
        <w:rPr>
          <w:b/>
          <w:lang w:val="en-SG"/>
        </w:rPr>
        <w:t xml:space="preserve">Figure </w:t>
      </w:r>
      <w:r>
        <w:rPr>
          <w:b/>
          <w:lang w:val="en-SG"/>
        </w:rPr>
        <w:t>28</w:t>
      </w:r>
      <w:r w:rsidR="00F8021F" w:rsidRPr="00832936">
        <w:rPr>
          <w:b/>
          <w:lang w:val="en-SG"/>
        </w:rPr>
        <w:t>:</w:t>
      </w:r>
      <w:r w:rsidR="00F8021F">
        <w:rPr>
          <w:b/>
          <w:lang w:val="en-SG"/>
        </w:rPr>
        <w:t xml:space="preserve"> All Assets’</w:t>
      </w:r>
      <w:r w:rsidR="00F8021F" w:rsidRPr="00832936">
        <w:rPr>
          <w:b/>
          <w:lang w:val="en-SG"/>
        </w:rPr>
        <w:t xml:space="preserve"> </w:t>
      </w:r>
      <w:r w:rsidR="00F8021F">
        <w:rPr>
          <w:b/>
          <w:lang w:val="en-SG"/>
        </w:rPr>
        <w:t>Multi</w:t>
      </w:r>
      <w:r w:rsidR="00F8021F" w:rsidRPr="00832936">
        <w:rPr>
          <w:b/>
          <w:lang w:val="en-SG"/>
        </w:rPr>
        <w:t xml:space="preserve"> Step Ahead Forecast RMSE and MAD Results</w:t>
      </w:r>
    </w:p>
    <w:tbl>
      <w:tblPr>
        <w:tblW w:w="0" w:type="auto"/>
        <w:jc w:val="center"/>
        <w:tblBorders>
          <w:top w:val="single" w:sz="12" w:space="0" w:color="auto"/>
          <w:bottom w:val="single" w:sz="12" w:space="0" w:color="auto"/>
        </w:tblBorders>
        <w:tblLook w:val="04A0" w:firstRow="1" w:lastRow="0" w:firstColumn="1" w:lastColumn="0" w:noHBand="0" w:noVBand="1"/>
      </w:tblPr>
      <w:tblGrid>
        <w:gridCol w:w="779"/>
        <w:gridCol w:w="1171"/>
        <w:gridCol w:w="2273"/>
        <w:gridCol w:w="2714"/>
        <w:gridCol w:w="798"/>
        <w:gridCol w:w="676"/>
      </w:tblGrid>
      <w:tr w:rsidR="00F8021F" w:rsidRPr="002F4F3E" w:rsidTr="00F8021F">
        <w:trPr>
          <w:trHeight w:val="285"/>
          <w:jc w:val="center"/>
        </w:trPr>
        <w:tc>
          <w:tcPr>
            <w:tcW w:w="0" w:type="auto"/>
            <w:gridSpan w:val="6"/>
            <w:tcBorders>
              <w:top w:val="nil"/>
              <w:bottom w:val="nil"/>
            </w:tcBorders>
            <w:shd w:val="clear" w:color="auto" w:fill="auto"/>
            <w:noWrap/>
            <w:vAlign w:val="bottom"/>
          </w:tcPr>
          <w:p w:rsidR="00F8021F" w:rsidRPr="002F4F3E" w:rsidRDefault="00F8021F" w:rsidP="00F8021F">
            <w:pPr>
              <w:jc w:val="center"/>
              <w:rPr>
                <w:rFonts w:ascii="Calibri" w:hAnsi="Calibri" w:cs="Calibri"/>
                <w:b/>
                <w:bCs/>
                <w:color w:val="000000"/>
              </w:rPr>
            </w:pPr>
          </w:p>
        </w:tc>
      </w:tr>
      <w:tr w:rsidR="00F8021F" w:rsidRPr="002F4F3E" w:rsidTr="00F8021F">
        <w:trPr>
          <w:trHeight w:val="285"/>
          <w:jc w:val="center"/>
        </w:trPr>
        <w:tc>
          <w:tcPr>
            <w:tcW w:w="0" w:type="auto"/>
            <w:gridSpan w:val="6"/>
            <w:tcBorders>
              <w:top w:val="nil"/>
              <w:bottom w:val="single" w:sz="8" w:space="0" w:color="auto"/>
            </w:tcBorders>
            <w:shd w:val="clear" w:color="auto" w:fill="auto"/>
            <w:noWrap/>
            <w:vAlign w:val="bottom"/>
          </w:tcPr>
          <w:p w:rsidR="00F8021F" w:rsidRPr="002F4F3E" w:rsidRDefault="00F8021F" w:rsidP="00F8021F">
            <w:pPr>
              <w:rPr>
                <w:rFonts w:ascii="Calibri" w:hAnsi="Calibri" w:cs="Calibri"/>
                <w:b/>
                <w:bCs/>
                <w:color w:val="000000"/>
              </w:rPr>
            </w:pPr>
            <w:r w:rsidRPr="0045720B">
              <w:rPr>
                <w:rFonts w:ascii="Calibri" w:hAnsi="Calibri" w:cs="Calibri"/>
                <w:b/>
                <w:bCs/>
                <w:color w:val="000000"/>
              </w:rPr>
              <w:t xml:space="preserve">Accuracy Measurement of </w:t>
            </w:r>
            <w:r>
              <w:rPr>
                <w:rFonts w:ascii="Calibri" w:hAnsi="Calibri" w:cs="Calibri"/>
                <w:b/>
                <w:bCs/>
                <w:color w:val="000000"/>
              </w:rPr>
              <w:t>All Assets Multi Step A</w:t>
            </w:r>
            <w:r w:rsidRPr="0045720B">
              <w:rPr>
                <w:rFonts w:ascii="Calibri" w:hAnsi="Calibri" w:cs="Calibri"/>
                <w:b/>
                <w:bCs/>
                <w:color w:val="000000"/>
              </w:rPr>
              <w:t>head Forecast</w:t>
            </w:r>
          </w:p>
        </w:tc>
      </w:tr>
      <w:tr w:rsidR="00F8021F" w:rsidRPr="002F4F3E" w:rsidTr="00F8021F">
        <w:trPr>
          <w:trHeight w:val="285"/>
          <w:jc w:val="center"/>
        </w:trPr>
        <w:tc>
          <w:tcPr>
            <w:tcW w:w="0" w:type="auto"/>
            <w:tcBorders>
              <w:top w:val="single" w:sz="12" w:space="0" w:color="auto"/>
              <w:bottom w:val="single" w:sz="8" w:space="0" w:color="auto"/>
            </w:tcBorders>
            <w:shd w:val="clear" w:color="auto" w:fill="auto"/>
            <w:noWrap/>
            <w:vAlign w:val="bottom"/>
            <w:hideMark/>
          </w:tcPr>
          <w:p w:rsidR="00F8021F" w:rsidRPr="002F4F3E" w:rsidRDefault="00F8021F" w:rsidP="00F8021F"/>
        </w:tc>
        <w:tc>
          <w:tcPr>
            <w:tcW w:w="0" w:type="auto"/>
            <w:tcBorders>
              <w:top w:val="single" w:sz="12" w:space="0" w:color="auto"/>
              <w:bottom w:val="single" w:sz="8" w:space="0" w:color="auto"/>
            </w:tcBorders>
            <w:shd w:val="clear" w:color="auto" w:fill="auto"/>
            <w:noWrap/>
            <w:vAlign w:val="bottom"/>
            <w:hideMark/>
          </w:tcPr>
          <w:p w:rsidR="00F8021F" w:rsidRPr="002F4F3E" w:rsidRDefault="00F8021F" w:rsidP="00F8021F">
            <w:pPr>
              <w:rPr>
                <w:sz w:val="20"/>
                <w:szCs w:val="20"/>
              </w:rPr>
            </w:pPr>
          </w:p>
        </w:tc>
        <w:tc>
          <w:tcPr>
            <w:tcW w:w="0" w:type="auto"/>
            <w:tcBorders>
              <w:top w:val="single" w:sz="12" w:space="0" w:color="auto"/>
              <w:bottom w:val="single" w:sz="8" w:space="0" w:color="auto"/>
            </w:tcBorders>
            <w:shd w:val="clear" w:color="auto" w:fill="auto"/>
            <w:noWrap/>
            <w:vAlign w:val="bottom"/>
            <w:hideMark/>
          </w:tcPr>
          <w:p w:rsidR="00F8021F" w:rsidRPr="002F4F3E" w:rsidRDefault="00F8021F" w:rsidP="00F8021F">
            <w:pPr>
              <w:jc w:val="center"/>
              <w:rPr>
                <w:rFonts w:ascii="Calibri" w:hAnsi="Calibri" w:cs="Calibri"/>
                <w:b/>
                <w:bCs/>
                <w:color w:val="000000"/>
              </w:rPr>
            </w:pPr>
            <w:r w:rsidRPr="002F4F3E">
              <w:rPr>
                <w:rFonts w:ascii="Calibri" w:hAnsi="Calibri" w:cs="Calibri"/>
                <w:b/>
                <w:bCs/>
                <w:color w:val="000000"/>
              </w:rPr>
              <w:t>AR</w:t>
            </w:r>
            <w:r>
              <w:rPr>
                <w:rFonts w:ascii="Calibri" w:hAnsi="Calibri" w:cs="Calibri"/>
                <w:b/>
                <w:bCs/>
                <w:color w:val="000000"/>
              </w:rPr>
              <w:t xml:space="preserve"> </w:t>
            </w:r>
            <w:r w:rsidRPr="002F4F3E">
              <w:rPr>
                <w:rFonts w:ascii="Calibri" w:hAnsi="Calibri" w:cs="Calibri"/>
                <w:b/>
                <w:bCs/>
                <w:color w:val="000000"/>
              </w:rPr>
              <w:t>(1)-GARCH</w:t>
            </w:r>
            <w:r>
              <w:rPr>
                <w:rFonts w:ascii="Calibri" w:hAnsi="Calibri" w:cs="Calibri"/>
                <w:b/>
                <w:bCs/>
                <w:color w:val="000000"/>
              </w:rPr>
              <w:t xml:space="preserve"> </w:t>
            </w:r>
            <w:r w:rsidRPr="002F4F3E">
              <w:rPr>
                <w:rFonts w:ascii="Calibri" w:hAnsi="Calibri" w:cs="Calibri"/>
                <w:b/>
                <w:bCs/>
                <w:color w:val="000000"/>
              </w:rPr>
              <w:t>(1,1)-t</w:t>
            </w:r>
          </w:p>
        </w:tc>
        <w:tc>
          <w:tcPr>
            <w:tcW w:w="0" w:type="auto"/>
            <w:tcBorders>
              <w:top w:val="single" w:sz="12" w:space="0" w:color="auto"/>
              <w:bottom w:val="single" w:sz="8" w:space="0" w:color="auto"/>
            </w:tcBorders>
            <w:shd w:val="clear" w:color="auto" w:fill="auto"/>
            <w:noWrap/>
            <w:vAlign w:val="bottom"/>
            <w:hideMark/>
          </w:tcPr>
          <w:p w:rsidR="00F8021F" w:rsidRPr="002F4F3E" w:rsidRDefault="00F8021F" w:rsidP="00F8021F">
            <w:pPr>
              <w:jc w:val="center"/>
              <w:rPr>
                <w:rFonts w:ascii="Calibri" w:hAnsi="Calibri" w:cs="Calibri"/>
                <w:b/>
                <w:bCs/>
                <w:color w:val="000000"/>
              </w:rPr>
            </w:pPr>
            <w:r w:rsidRPr="002F4F3E">
              <w:rPr>
                <w:rFonts w:ascii="Calibri" w:hAnsi="Calibri" w:cs="Calibri"/>
                <w:b/>
                <w:bCs/>
                <w:color w:val="000000"/>
              </w:rPr>
              <w:t>AR</w:t>
            </w:r>
            <w:r>
              <w:rPr>
                <w:rFonts w:ascii="Calibri" w:hAnsi="Calibri" w:cs="Calibri"/>
                <w:b/>
                <w:bCs/>
                <w:color w:val="000000"/>
              </w:rPr>
              <w:t xml:space="preserve"> (1)</w:t>
            </w:r>
            <w:r w:rsidRPr="002F4F3E">
              <w:rPr>
                <w:rFonts w:ascii="Calibri" w:hAnsi="Calibri" w:cs="Calibri"/>
                <w:b/>
                <w:bCs/>
                <w:color w:val="000000"/>
              </w:rPr>
              <w:t>-GJR-GARCH</w:t>
            </w:r>
            <w:r>
              <w:rPr>
                <w:rFonts w:ascii="Calibri" w:hAnsi="Calibri" w:cs="Calibri"/>
                <w:b/>
                <w:bCs/>
                <w:color w:val="000000"/>
              </w:rPr>
              <w:t xml:space="preserve"> </w:t>
            </w:r>
            <w:r w:rsidRPr="002F4F3E">
              <w:rPr>
                <w:rFonts w:ascii="Calibri" w:hAnsi="Calibri" w:cs="Calibri"/>
                <w:b/>
                <w:bCs/>
                <w:color w:val="000000"/>
              </w:rPr>
              <w:t>(1,1)-t</w:t>
            </w:r>
          </w:p>
        </w:tc>
        <w:tc>
          <w:tcPr>
            <w:tcW w:w="0" w:type="auto"/>
            <w:tcBorders>
              <w:top w:val="single" w:sz="12" w:space="0" w:color="auto"/>
              <w:bottom w:val="single" w:sz="8" w:space="0" w:color="auto"/>
            </w:tcBorders>
            <w:shd w:val="clear" w:color="auto" w:fill="auto"/>
            <w:noWrap/>
            <w:vAlign w:val="bottom"/>
            <w:hideMark/>
          </w:tcPr>
          <w:p w:rsidR="00F8021F" w:rsidRPr="002F4F3E" w:rsidRDefault="00F8021F" w:rsidP="00F8021F">
            <w:pPr>
              <w:jc w:val="center"/>
              <w:rPr>
                <w:rFonts w:ascii="Calibri" w:hAnsi="Calibri" w:cs="Calibri"/>
                <w:b/>
                <w:bCs/>
                <w:color w:val="000000"/>
              </w:rPr>
            </w:pPr>
            <w:r w:rsidRPr="002F4F3E">
              <w:rPr>
                <w:rFonts w:ascii="Calibri" w:hAnsi="Calibri" w:cs="Calibri"/>
                <w:b/>
                <w:bCs/>
                <w:color w:val="000000"/>
              </w:rPr>
              <w:t>HS-25</w:t>
            </w:r>
          </w:p>
        </w:tc>
        <w:tc>
          <w:tcPr>
            <w:tcW w:w="0" w:type="auto"/>
            <w:tcBorders>
              <w:top w:val="single" w:sz="12" w:space="0" w:color="auto"/>
              <w:bottom w:val="single" w:sz="8" w:space="0" w:color="auto"/>
            </w:tcBorders>
            <w:shd w:val="clear" w:color="auto" w:fill="auto"/>
            <w:noWrap/>
            <w:vAlign w:val="bottom"/>
            <w:hideMark/>
          </w:tcPr>
          <w:p w:rsidR="00F8021F" w:rsidRPr="002F4F3E" w:rsidRDefault="00F8021F" w:rsidP="00F8021F">
            <w:pPr>
              <w:jc w:val="center"/>
              <w:rPr>
                <w:rFonts w:ascii="Calibri" w:hAnsi="Calibri" w:cs="Calibri"/>
                <w:b/>
                <w:bCs/>
                <w:color w:val="000000"/>
              </w:rPr>
            </w:pPr>
            <w:r w:rsidRPr="002F4F3E">
              <w:rPr>
                <w:rFonts w:ascii="Calibri" w:hAnsi="Calibri" w:cs="Calibri"/>
                <w:b/>
                <w:bCs/>
                <w:color w:val="000000"/>
              </w:rPr>
              <w:t>HS-5</w:t>
            </w:r>
          </w:p>
        </w:tc>
      </w:tr>
      <w:tr w:rsidR="00F8021F" w:rsidRPr="002F4F3E" w:rsidTr="00F8021F">
        <w:trPr>
          <w:trHeight w:val="285"/>
          <w:jc w:val="center"/>
        </w:trPr>
        <w:tc>
          <w:tcPr>
            <w:tcW w:w="0" w:type="auto"/>
            <w:vMerge w:val="restart"/>
            <w:tcBorders>
              <w:top w:val="single" w:sz="8" w:space="0" w:color="auto"/>
            </w:tcBorders>
            <w:shd w:val="clear" w:color="auto" w:fill="auto"/>
            <w:noWrap/>
            <w:vAlign w:val="center"/>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RMSE</w:t>
            </w:r>
          </w:p>
        </w:tc>
        <w:tc>
          <w:tcPr>
            <w:tcW w:w="0" w:type="auto"/>
            <w:tcBorders>
              <w:top w:val="single" w:sz="8" w:space="0" w:color="auto"/>
            </w:tcBorders>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COKE</w:t>
            </w:r>
          </w:p>
        </w:tc>
        <w:tc>
          <w:tcPr>
            <w:tcW w:w="0" w:type="auto"/>
            <w:tcBorders>
              <w:top w:val="single" w:sz="8" w:space="0" w:color="auto"/>
            </w:tcBorders>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tcBorders>
              <w:top w:val="single" w:sz="8" w:space="0" w:color="auto"/>
            </w:tcBorders>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tcBorders>
              <w:top w:val="single" w:sz="8" w:space="0" w:color="auto"/>
            </w:tcBorders>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c>
          <w:tcPr>
            <w:tcW w:w="0" w:type="auto"/>
            <w:tcBorders>
              <w:top w:val="single" w:sz="8" w:space="0" w:color="auto"/>
            </w:tcBorders>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MSFT</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JNJ</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MMM</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PTR</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b/>
                <w:bCs/>
                <w:color w:val="000000"/>
              </w:rPr>
            </w:pPr>
            <w:r w:rsidRPr="002F4F3E">
              <w:rPr>
                <w:rFonts w:ascii="Calibri" w:hAnsi="Calibri" w:cs="Calibri"/>
                <w:b/>
                <w:bCs/>
                <w:color w:val="000000"/>
              </w:rPr>
              <w:t>AVERAGE</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1.6</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u w:val="single"/>
              </w:rPr>
            </w:pPr>
            <w:r w:rsidRPr="002F4F3E">
              <w:rPr>
                <w:rFonts w:ascii="Calibri" w:hAnsi="Calibri" w:cs="Calibri"/>
                <w:color w:val="000000"/>
                <w:u w:val="single"/>
              </w:rPr>
              <w:t>1.4</w:t>
            </w:r>
          </w:p>
        </w:tc>
        <w:tc>
          <w:tcPr>
            <w:tcW w:w="0" w:type="auto"/>
            <w:shd w:val="clear" w:color="auto" w:fill="auto"/>
            <w:noWrap/>
            <w:vAlign w:val="bottom"/>
            <w:hideMark/>
          </w:tcPr>
          <w:p w:rsidR="00F8021F" w:rsidRPr="002F4F3E" w:rsidRDefault="00F8021F" w:rsidP="00F8021F">
            <w:pPr>
              <w:jc w:val="center"/>
              <w:rPr>
                <w:rFonts w:ascii="Calibri" w:hAnsi="Calibri" w:cs="Calibri"/>
                <w:b/>
                <w:bCs/>
                <w:color w:val="000000"/>
              </w:rPr>
            </w:pPr>
            <w:r w:rsidRPr="002F4F3E">
              <w:rPr>
                <w:rFonts w:ascii="Calibri" w:hAnsi="Calibri" w:cs="Calibri"/>
                <w:b/>
                <w:bCs/>
                <w:color w:val="000000"/>
              </w:rPr>
              <w:t>3.6</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3.4</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b/>
                <w:bCs/>
                <w:color w:val="000000"/>
              </w:rPr>
            </w:pPr>
            <w:r w:rsidRPr="002F4F3E">
              <w:rPr>
                <w:rFonts w:ascii="Calibri" w:hAnsi="Calibri" w:cs="Calibri"/>
                <w:b/>
                <w:bCs/>
                <w:color w:val="000000"/>
              </w:rPr>
              <w:t>MEDIAN</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u w:val="single"/>
              </w:rPr>
            </w:pPr>
            <w:r w:rsidRPr="002F4F3E">
              <w:rPr>
                <w:rFonts w:ascii="Calibri" w:hAnsi="Calibri" w:cs="Calibri"/>
                <w:color w:val="000000"/>
                <w:u w:val="single"/>
              </w:rPr>
              <w:t>1</w:t>
            </w:r>
          </w:p>
        </w:tc>
        <w:tc>
          <w:tcPr>
            <w:tcW w:w="0" w:type="auto"/>
            <w:shd w:val="clear" w:color="auto" w:fill="auto"/>
            <w:noWrap/>
            <w:vAlign w:val="bottom"/>
            <w:hideMark/>
          </w:tcPr>
          <w:p w:rsidR="00F8021F" w:rsidRPr="002F4F3E" w:rsidRDefault="00F8021F" w:rsidP="00F8021F">
            <w:pPr>
              <w:jc w:val="center"/>
              <w:rPr>
                <w:rFonts w:ascii="Calibri" w:hAnsi="Calibri" w:cs="Calibri"/>
                <w:b/>
                <w:bCs/>
                <w:color w:val="000000"/>
              </w:rPr>
            </w:pPr>
            <w:r w:rsidRPr="002F4F3E">
              <w:rPr>
                <w:rFonts w:ascii="Calibri" w:hAnsi="Calibri" w:cs="Calibri"/>
                <w:b/>
                <w:bCs/>
                <w:color w:val="000000"/>
              </w:rPr>
              <w:t>4</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r>
      <w:tr w:rsidR="00F8021F" w:rsidRPr="002F4F3E" w:rsidTr="00F8021F">
        <w:trPr>
          <w:trHeight w:val="285"/>
          <w:jc w:val="center"/>
        </w:trPr>
        <w:tc>
          <w:tcPr>
            <w:tcW w:w="0" w:type="auto"/>
            <w:gridSpan w:val="6"/>
            <w:shd w:val="clear" w:color="auto" w:fill="auto"/>
            <w:noWrap/>
            <w:vAlign w:val="bottom"/>
            <w:hideMark/>
          </w:tcPr>
          <w:p w:rsidR="00F8021F" w:rsidRPr="002F4F3E" w:rsidRDefault="00F8021F" w:rsidP="00F8021F">
            <w:pPr>
              <w:jc w:val="center"/>
              <w:rPr>
                <w:rFonts w:ascii="Calibri" w:hAnsi="Calibri" w:cs="Calibri"/>
                <w:color w:val="000000"/>
              </w:rPr>
            </w:pPr>
          </w:p>
        </w:tc>
      </w:tr>
      <w:tr w:rsidR="00F8021F" w:rsidRPr="002F4F3E" w:rsidTr="00F8021F">
        <w:trPr>
          <w:trHeight w:val="285"/>
          <w:jc w:val="center"/>
        </w:trPr>
        <w:tc>
          <w:tcPr>
            <w:tcW w:w="0" w:type="auto"/>
            <w:vMerge w:val="restart"/>
            <w:shd w:val="clear" w:color="auto" w:fill="auto"/>
            <w:noWrap/>
            <w:vAlign w:val="center"/>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MAD</w:t>
            </w:r>
          </w:p>
        </w:tc>
        <w:tc>
          <w:tcPr>
            <w:tcW w:w="0" w:type="auto"/>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COKE</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MSFT</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JNJ</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MMM</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color w:val="000000"/>
              </w:rPr>
            </w:pPr>
            <w:r w:rsidRPr="002F4F3E">
              <w:rPr>
                <w:rFonts w:ascii="Calibri" w:hAnsi="Calibri" w:cs="Calibri"/>
                <w:color w:val="000000"/>
              </w:rPr>
              <w:t>PTR</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4</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b/>
                <w:bCs/>
                <w:color w:val="000000"/>
              </w:rPr>
            </w:pPr>
            <w:r w:rsidRPr="002F4F3E">
              <w:rPr>
                <w:rFonts w:ascii="Calibri" w:hAnsi="Calibri" w:cs="Calibri"/>
                <w:b/>
                <w:bCs/>
                <w:color w:val="000000"/>
              </w:rPr>
              <w:t>AVERAGE</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1.6</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u w:val="single"/>
              </w:rPr>
            </w:pPr>
            <w:r w:rsidRPr="002F4F3E">
              <w:rPr>
                <w:rFonts w:ascii="Calibri" w:hAnsi="Calibri" w:cs="Calibri"/>
                <w:color w:val="000000"/>
                <w:u w:val="single"/>
              </w:rPr>
              <w:t>1.4</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3.4</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3.6</w:t>
            </w:r>
          </w:p>
        </w:tc>
      </w:tr>
      <w:tr w:rsidR="00F8021F" w:rsidRPr="002F4F3E" w:rsidTr="00F8021F">
        <w:trPr>
          <w:trHeight w:val="285"/>
          <w:jc w:val="center"/>
        </w:trPr>
        <w:tc>
          <w:tcPr>
            <w:tcW w:w="0" w:type="auto"/>
            <w:vMerge/>
            <w:vAlign w:val="center"/>
            <w:hideMark/>
          </w:tcPr>
          <w:p w:rsidR="00F8021F" w:rsidRPr="002F4F3E" w:rsidRDefault="00F8021F" w:rsidP="00F8021F">
            <w:pPr>
              <w:rPr>
                <w:rFonts w:ascii="Calibri" w:hAnsi="Calibri" w:cs="Calibri"/>
                <w:color w:val="000000"/>
              </w:rPr>
            </w:pPr>
          </w:p>
        </w:tc>
        <w:tc>
          <w:tcPr>
            <w:tcW w:w="0" w:type="auto"/>
            <w:shd w:val="clear" w:color="auto" w:fill="auto"/>
            <w:noWrap/>
            <w:vAlign w:val="bottom"/>
            <w:hideMark/>
          </w:tcPr>
          <w:p w:rsidR="00F8021F" w:rsidRPr="002F4F3E" w:rsidRDefault="00F8021F" w:rsidP="00F8021F">
            <w:pPr>
              <w:rPr>
                <w:rFonts w:ascii="Calibri" w:hAnsi="Calibri" w:cs="Calibri"/>
                <w:b/>
                <w:bCs/>
                <w:color w:val="000000"/>
              </w:rPr>
            </w:pPr>
            <w:r w:rsidRPr="002F4F3E">
              <w:rPr>
                <w:rFonts w:ascii="Calibri" w:hAnsi="Calibri" w:cs="Calibri"/>
                <w:b/>
                <w:bCs/>
                <w:color w:val="000000"/>
              </w:rPr>
              <w:t>MEDIAN</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2</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u w:val="single"/>
              </w:rPr>
            </w:pPr>
            <w:r w:rsidRPr="002F4F3E">
              <w:rPr>
                <w:rFonts w:ascii="Calibri" w:hAnsi="Calibri" w:cs="Calibri"/>
                <w:color w:val="000000"/>
                <w:u w:val="single"/>
              </w:rPr>
              <w:t>1</w:t>
            </w:r>
          </w:p>
        </w:tc>
        <w:tc>
          <w:tcPr>
            <w:tcW w:w="0" w:type="auto"/>
            <w:shd w:val="clear" w:color="auto" w:fill="auto"/>
            <w:noWrap/>
            <w:vAlign w:val="bottom"/>
            <w:hideMark/>
          </w:tcPr>
          <w:p w:rsidR="00F8021F" w:rsidRPr="002F4F3E" w:rsidRDefault="00F8021F" w:rsidP="00F8021F">
            <w:pPr>
              <w:jc w:val="center"/>
              <w:rPr>
                <w:rFonts w:ascii="Calibri" w:hAnsi="Calibri" w:cs="Calibri"/>
                <w:color w:val="000000"/>
              </w:rPr>
            </w:pPr>
            <w:r w:rsidRPr="002F4F3E">
              <w:rPr>
                <w:rFonts w:ascii="Calibri" w:hAnsi="Calibri" w:cs="Calibri"/>
                <w:color w:val="000000"/>
              </w:rPr>
              <w:t>3</w:t>
            </w:r>
          </w:p>
        </w:tc>
        <w:tc>
          <w:tcPr>
            <w:tcW w:w="0" w:type="auto"/>
            <w:shd w:val="clear" w:color="auto" w:fill="auto"/>
            <w:noWrap/>
            <w:vAlign w:val="bottom"/>
            <w:hideMark/>
          </w:tcPr>
          <w:p w:rsidR="00F8021F" w:rsidRPr="002F4F3E" w:rsidRDefault="00F8021F" w:rsidP="00F8021F">
            <w:pPr>
              <w:jc w:val="center"/>
              <w:rPr>
                <w:rFonts w:ascii="Calibri" w:hAnsi="Calibri" w:cs="Calibri"/>
                <w:b/>
                <w:bCs/>
                <w:color w:val="000000"/>
              </w:rPr>
            </w:pPr>
            <w:r w:rsidRPr="002F4F3E">
              <w:rPr>
                <w:rFonts w:ascii="Calibri" w:hAnsi="Calibri" w:cs="Calibri"/>
                <w:b/>
                <w:bCs/>
                <w:color w:val="000000"/>
              </w:rPr>
              <w:t>4</w:t>
            </w:r>
          </w:p>
        </w:tc>
      </w:tr>
    </w:tbl>
    <w:p w:rsidR="00F8021F" w:rsidRDefault="00CD68B3" w:rsidP="00F8021F">
      <w:pPr>
        <w:jc w:val="center"/>
        <w:rPr>
          <w:b/>
          <w:lang w:val="en-SG"/>
        </w:rPr>
      </w:pPr>
      <w:r w:rsidRPr="00CD68B3">
        <w:rPr>
          <w:b/>
          <w:lang w:val="en-SG"/>
        </w:rPr>
        <w:t>Figure 29</w:t>
      </w:r>
      <w:r w:rsidR="00F8021F" w:rsidRPr="00CD68B3">
        <w:rPr>
          <w:b/>
          <w:lang w:val="en-SG"/>
        </w:rPr>
        <w:t>: All</w:t>
      </w:r>
      <w:r w:rsidR="00F8021F">
        <w:rPr>
          <w:b/>
          <w:lang w:val="en-SG"/>
        </w:rPr>
        <w:t xml:space="preserve"> Assets’</w:t>
      </w:r>
      <w:r w:rsidR="00F8021F" w:rsidRPr="00832936">
        <w:rPr>
          <w:b/>
          <w:lang w:val="en-SG"/>
        </w:rPr>
        <w:t xml:space="preserve"> </w:t>
      </w:r>
      <w:r w:rsidR="00F8021F">
        <w:rPr>
          <w:b/>
          <w:lang w:val="en-SG"/>
        </w:rPr>
        <w:t>Multi</w:t>
      </w:r>
      <w:r w:rsidR="00F8021F" w:rsidRPr="00832936">
        <w:rPr>
          <w:b/>
          <w:lang w:val="en-SG"/>
        </w:rPr>
        <w:t xml:space="preserve"> Step Ahead Forecast RMSE and MAD R</w:t>
      </w:r>
      <w:r w:rsidR="00F8021F">
        <w:rPr>
          <w:b/>
          <w:lang w:val="en-SG"/>
        </w:rPr>
        <w:t>anks</w:t>
      </w:r>
    </w:p>
    <w:p w:rsidR="00F8021F" w:rsidRDefault="00F8021F" w:rsidP="00F8021F">
      <w:pPr>
        <w:rPr>
          <w:b/>
          <w:i/>
          <w:lang w:val="en-SG"/>
        </w:rPr>
      </w:pPr>
    </w:p>
    <w:p w:rsidR="00F8021F" w:rsidRPr="00F8021F" w:rsidRDefault="00F8021F" w:rsidP="00F8021F">
      <w:pPr>
        <w:rPr>
          <w:lang w:val="en-US"/>
        </w:rPr>
      </w:pPr>
    </w:p>
    <w:p w:rsidR="00FC35B9" w:rsidRDefault="00F8021F" w:rsidP="00F8021F">
      <w:pPr>
        <w:pStyle w:val="3"/>
        <w:numPr>
          <w:ilvl w:val="2"/>
          <w:numId w:val="1"/>
        </w:numPr>
        <w:rPr>
          <w:lang w:val="en-US"/>
        </w:rPr>
      </w:pPr>
      <w:r>
        <w:rPr>
          <w:lang w:val="en-US"/>
        </w:rPr>
        <w:t>Volatility Forecasts and Accuracy Assessment</w:t>
      </w:r>
    </w:p>
    <w:p w:rsidR="00F8021F" w:rsidRDefault="00F8021F" w:rsidP="00F8021F">
      <w:pPr>
        <w:pStyle w:val="4"/>
        <w:rPr>
          <w:lang w:val="en-SG"/>
        </w:rPr>
      </w:pPr>
      <w:r w:rsidRPr="00EF6467">
        <w:rPr>
          <w:lang w:val="en-SG"/>
        </w:rPr>
        <w:t>One-Step Ahead Forecast and Assessment</w:t>
      </w:r>
    </w:p>
    <w:p w:rsidR="00F8021F" w:rsidRDefault="00F8021F" w:rsidP="00F8021F">
      <w:pPr>
        <w:pStyle w:val="5"/>
        <w:rPr>
          <w:lang w:val="en-SG"/>
        </w:rPr>
      </w:pPr>
      <w:r>
        <w:rPr>
          <w:lang w:val="en-SG"/>
        </w:rPr>
        <w:t>Volatility Forecast</w:t>
      </w:r>
    </w:p>
    <w:p w:rsidR="00F8021F" w:rsidRPr="00107EF6" w:rsidRDefault="00F8021F" w:rsidP="00F8021F">
      <w:pPr>
        <w:rPr>
          <w:lang w:val="en-SG"/>
        </w:rPr>
      </w:pPr>
      <w:r>
        <w:rPr>
          <w:lang w:val="en-SG"/>
        </w:rPr>
        <w:t xml:space="preserve">From </w:t>
      </w:r>
      <w:r w:rsidRPr="00CD68B3">
        <w:rPr>
          <w:lang w:val="en-SG"/>
        </w:rPr>
        <w:t xml:space="preserve">the </w:t>
      </w:r>
      <w:r w:rsidR="00CD68B3" w:rsidRPr="00CD68B3">
        <w:rPr>
          <w:b/>
          <w:lang w:val="en-SG"/>
        </w:rPr>
        <w:t>Figure 30</w:t>
      </w:r>
      <w:r w:rsidRPr="00CD68B3">
        <w:rPr>
          <w:b/>
          <w:lang w:val="en-SG"/>
        </w:rPr>
        <w:t xml:space="preserve"> and </w:t>
      </w:r>
      <w:r w:rsidR="00CD68B3" w:rsidRPr="00CD68B3">
        <w:rPr>
          <w:b/>
          <w:lang w:val="en-SG"/>
        </w:rPr>
        <w:t>31</w:t>
      </w:r>
      <w:r w:rsidRPr="00CD68B3">
        <w:rPr>
          <w:lang w:val="en-SG"/>
        </w:rPr>
        <w:t xml:space="preserve"> below we can see that HS-5’s forecast is most volatile and can well follow the trend, then followed by IGARCH (1,1)-g and two other GARCH type models. IGARCH here reverses</w:t>
      </w:r>
      <w:r>
        <w:rPr>
          <w:lang w:val="en-SG"/>
        </w:rPr>
        <w:t xml:space="preserve"> slowest in these models because of its non-stationary property. But Compared with those three, HS-25 gives the smoothest results, which is reasonable, since it averages last 25 day’s history return, which is quite long, without diminishing history information by time order. </w:t>
      </w:r>
    </w:p>
    <w:p w:rsidR="00F8021F" w:rsidRDefault="00F8021F" w:rsidP="00F8021F">
      <w:pPr>
        <w:rPr>
          <w:lang w:val="en-SG"/>
        </w:rPr>
      </w:pPr>
      <w:r>
        <w:rPr>
          <w:noProof/>
          <w:lang w:val="en-SG"/>
        </w:rPr>
        <w:drawing>
          <wp:inline distT="0" distB="0" distL="0" distR="0" wp14:anchorId="604C0353" wp14:editId="5F286CE7">
            <wp:extent cx="5731510" cy="29489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ke_std_who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F8021F" w:rsidRDefault="00CD68B3" w:rsidP="00F8021F">
      <w:pPr>
        <w:jc w:val="center"/>
        <w:rPr>
          <w:b/>
          <w:lang w:val="en-SG"/>
        </w:rPr>
      </w:pPr>
      <w:r w:rsidRPr="00CD68B3">
        <w:rPr>
          <w:b/>
          <w:lang w:val="en-SG"/>
        </w:rPr>
        <w:t>Figure 30</w:t>
      </w:r>
      <w:r w:rsidR="00F8021F" w:rsidRPr="00CD68B3">
        <w:rPr>
          <w:b/>
          <w:lang w:val="en-SG"/>
        </w:rPr>
        <w:t>: Coke</w:t>
      </w:r>
      <w:r w:rsidR="00F8021F">
        <w:rPr>
          <w:b/>
          <w:lang w:val="en-SG"/>
        </w:rPr>
        <w:t xml:space="preserve"> One</w:t>
      </w:r>
      <w:r w:rsidR="00F8021F" w:rsidRPr="00832936">
        <w:rPr>
          <w:b/>
          <w:lang w:val="en-SG"/>
        </w:rPr>
        <w:t xml:space="preserve"> Step Ahead </w:t>
      </w:r>
      <w:r w:rsidR="00F8021F">
        <w:rPr>
          <w:b/>
          <w:lang w:val="en-SG"/>
        </w:rPr>
        <w:t xml:space="preserve">in Sample and Out of Sample Forecast </w:t>
      </w:r>
      <w:r w:rsidR="00F8021F" w:rsidRPr="00832936">
        <w:rPr>
          <w:b/>
          <w:lang w:val="en-SG"/>
        </w:rPr>
        <w:t>Results</w:t>
      </w:r>
    </w:p>
    <w:p w:rsidR="00F8021F" w:rsidRDefault="00F8021F" w:rsidP="00F8021F">
      <w:pPr>
        <w:jc w:val="center"/>
        <w:rPr>
          <w:b/>
          <w:lang w:val="en-SG"/>
        </w:rPr>
      </w:pPr>
      <w:r>
        <w:rPr>
          <w:b/>
          <w:noProof/>
          <w:lang w:val="en-SG"/>
        </w:rPr>
        <w:drawing>
          <wp:inline distT="0" distB="0" distL="0" distR="0" wp14:anchorId="2CE6CD62" wp14:editId="2D61FEEC">
            <wp:extent cx="4499428" cy="3374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ke_std_foreca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07192" cy="3380644"/>
                    </a:xfrm>
                    <a:prstGeom prst="rect">
                      <a:avLst/>
                    </a:prstGeom>
                  </pic:spPr>
                </pic:pic>
              </a:graphicData>
            </a:graphic>
          </wp:inline>
        </w:drawing>
      </w:r>
    </w:p>
    <w:p w:rsidR="00F8021F" w:rsidRPr="00F54012" w:rsidRDefault="00CD68B3" w:rsidP="00F8021F">
      <w:pPr>
        <w:jc w:val="center"/>
        <w:rPr>
          <w:b/>
          <w:lang w:val="en-SG"/>
        </w:rPr>
      </w:pPr>
      <w:r w:rsidRPr="00CD68B3">
        <w:rPr>
          <w:b/>
          <w:lang w:val="en-SG"/>
        </w:rPr>
        <w:t>Figure 31</w:t>
      </w:r>
      <w:r w:rsidR="00F8021F" w:rsidRPr="00CD68B3">
        <w:rPr>
          <w:b/>
          <w:lang w:val="en-SG"/>
        </w:rPr>
        <w:t>: Coke</w:t>
      </w:r>
      <w:r w:rsidR="00F8021F">
        <w:rPr>
          <w:b/>
          <w:lang w:val="en-SG"/>
        </w:rPr>
        <w:t xml:space="preserve"> One</w:t>
      </w:r>
      <w:r w:rsidR="00F8021F" w:rsidRPr="00832936">
        <w:rPr>
          <w:b/>
          <w:lang w:val="en-SG"/>
        </w:rPr>
        <w:t xml:space="preserve"> Step Ahead </w:t>
      </w:r>
      <w:r w:rsidR="00F8021F">
        <w:rPr>
          <w:b/>
          <w:lang w:val="en-SG"/>
        </w:rPr>
        <w:t xml:space="preserve">Out of Sample Forecast </w:t>
      </w:r>
      <w:r w:rsidR="00F8021F" w:rsidRPr="00832936">
        <w:rPr>
          <w:b/>
          <w:lang w:val="en-SG"/>
        </w:rPr>
        <w:t>Results</w:t>
      </w:r>
    </w:p>
    <w:p w:rsidR="00F8021F" w:rsidRDefault="00F8021F" w:rsidP="00F8021F">
      <w:pPr>
        <w:pStyle w:val="5"/>
        <w:rPr>
          <w:lang w:val="en-SG"/>
        </w:rPr>
      </w:pPr>
      <w:r>
        <w:rPr>
          <w:lang w:val="en-SG"/>
        </w:rPr>
        <w:lastRenderedPageBreak/>
        <w:t>Forecast Assessment</w:t>
      </w:r>
    </w:p>
    <w:p w:rsidR="00F8021F" w:rsidRPr="00F54012" w:rsidRDefault="00F8021F" w:rsidP="00F8021F">
      <w:pPr>
        <w:jc w:val="both"/>
        <w:rPr>
          <w:lang w:val="en-SG"/>
        </w:rPr>
      </w:pPr>
      <w:r>
        <w:rPr>
          <w:lang w:val="en-SG"/>
        </w:rPr>
        <w:t>In the Following RMSE and MAD score table, HS-25 performs best, well followed by IGARCH, the semi-parametric model. The two AR-GARCH type models rank at the middle of this chart. And HS-5 ranks at the bottom. COKE generally has the highest RMSE and MAD which may because the return and volatility pattern are hard to capture and this stock is more active than others. The performance of forecast method in one step volatility forecast deviates that in one step return forecast. Since in one step volatility forecast HS-25 performs the best and HS-25 performs worst, while in return forecast HS-5 performs the best and HS-25 performs the worst. The reason for that may because volatility varies a lot, recent volatilities are not good estimate of that in tomorrow, while return changes slower and recent return is a good proxy for near future. Plus, in one-step volatility table, parametric methods rank in the middle while in return forecast, parametric methods’ results are not acceptable. This is also interpretable since GARCH type model is designed for modelling volatility, thus, it is not surprised that they can have better result than in return forecast.</w:t>
      </w:r>
    </w:p>
    <w:tbl>
      <w:tblPr>
        <w:tblW w:w="8924" w:type="dxa"/>
        <w:jc w:val="center"/>
        <w:tblBorders>
          <w:top w:val="single" w:sz="12" w:space="0" w:color="auto"/>
          <w:bottom w:val="single" w:sz="12" w:space="0" w:color="auto"/>
        </w:tblBorders>
        <w:tblLook w:val="04A0" w:firstRow="1" w:lastRow="0" w:firstColumn="1" w:lastColumn="0" w:noHBand="0" w:noVBand="1"/>
      </w:tblPr>
      <w:tblGrid>
        <w:gridCol w:w="745"/>
        <w:gridCol w:w="894"/>
        <w:gridCol w:w="1840"/>
        <w:gridCol w:w="2254"/>
        <w:gridCol w:w="1597"/>
        <w:gridCol w:w="843"/>
        <w:gridCol w:w="847"/>
      </w:tblGrid>
      <w:tr w:rsidR="00F8021F" w:rsidRPr="00F54012" w:rsidTr="00F8021F">
        <w:trPr>
          <w:trHeight w:val="255"/>
          <w:jc w:val="center"/>
        </w:trPr>
        <w:tc>
          <w:tcPr>
            <w:tcW w:w="0" w:type="auto"/>
            <w:gridSpan w:val="7"/>
            <w:tcBorders>
              <w:top w:val="nil"/>
              <w:bottom w:val="single" w:sz="8" w:space="0" w:color="auto"/>
            </w:tcBorders>
            <w:shd w:val="clear" w:color="auto" w:fill="auto"/>
            <w:noWrap/>
            <w:vAlign w:val="bottom"/>
          </w:tcPr>
          <w:p w:rsidR="00F8021F" w:rsidRPr="0067215E" w:rsidRDefault="00F8021F" w:rsidP="00F8021F">
            <w:pPr>
              <w:rPr>
                <w:rFonts w:ascii="Calibri" w:hAnsi="Calibri" w:cs="Calibri"/>
                <w:b/>
                <w:bCs/>
                <w:color w:val="000000"/>
              </w:rPr>
            </w:pPr>
            <w:r w:rsidRPr="0045720B">
              <w:rPr>
                <w:rFonts w:ascii="Calibri" w:hAnsi="Calibri" w:cs="Calibri"/>
                <w:b/>
                <w:bCs/>
                <w:color w:val="000000"/>
              </w:rPr>
              <w:t xml:space="preserve">Accuracy Measurement of </w:t>
            </w:r>
            <w:r>
              <w:rPr>
                <w:rFonts w:ascii="Calibri" w:hAnsi="Calibri" w:cs="Calibri"/>
                <w:b/>
                <w:bCs/>
                <w:color w:val="000000"/>
              </w:rPr>
              <w:t>COKE One Step A</w:t>
            </w:r>
            <w:r w:rsidRPr="0045720B">
              <w:rPr>
                <w:rFonts w:ascii="Calibri" w:hAnsi="Calibri" w:cs="Calibri"/>
                <w:b/>
                <w:bCs/>
                <w:color w:val="000000"/>
              </w:rPr>
              <w:t>head Forecast</w:t>
            </w:r>
          </w:p>
        </w:tc>
      </w:tr>
      <w:tr w:rsidR="00F8021F" w:rsidRPr="00F54012" w:rsidTr="00F8021F">
        <w:trPr>
          <w:trHeight w:val="255"/>
          <w:jc w:val="center"/>
        </w:trPr>
        <w:tc>
          <w:tcPr>
            <w:tcW w:w="0" w:type="auto"/>
            <w:tcBorders>
              <w:top w:val="single" w:sz="12" w:space="0" w:color="auto"/>
              <w:bottom w:val="single" w:sz="8" w:space="0" w:color="auto"/>
            </w:tcBorders>
            <w:shd w:val="clear" w:color="auto" w:fill="auto"/>
            <w:noWrap/>
            <w:vAlign w:val="bottom"/>
            <w:hideMark/>
          </w:tcPr>
          <w:p w:rsidR="00F8021F" w:rsidRPr="00F54012" w:rsidRDefault="00F8021F" w:rsidP="00F8021F"/>
        </w:tc>
        <w:tc>
          <w:tcPr>
            <w:tcW w:w="0" w:type="auto"/>
            <w:tcBorders>
              <w:top w:val="single" w:sz="12" w:space="0" w:color="auto"/>
              <w:bottom w:val="single" w:sz="8" w:space="0" w:color="auto"/>
            </w:tcBorders>
            <w:shd w:val="clear" w:color="auto" w:fill="auto"/>
            <w:noWrap/>
            <w:vAlign w:val="bottom"/>
            <w:hideMark/>
          </w:tcPr>
          <w:p w:rsidR="00F8021F" w:rsidRPr="00F54012" w:rsidRDefault="00F8021F" w:rsidP="00F8021F">
            <w:pPr>
              <w:rPr>
                <w:sz w:val="20"/>
                <w:szCs w:val="20"/>
              </w:rPr>
            </w:pPr>
          </w:p>
        </w:tc>
        <w:tc>
          <w:tcPr>
            <w:tcW w:w="0" w:type="auto"/>
            <w:tcBorders>
              <w:top w:val="single" w:sz="12" w:space="0" w:color="auto"/>
              <w:bottom w:val="single" w:sz="8" w:space="0" w:color="auto"/>
            </w:tcBorders>
            <w:shd w:val="clear" w:color="auto" w:fill="auto"/>
            <w:noWrap/>
            <w:vAlign w:val="bottom"/>
            <w:hideMark/>
          </w:tcPr>
          <w:p w:rsidR="00F8021F" w:rsidRPr="00F54012" w:rsidRDefault="00F8021F" w:rsidP="00F8021F">
            <w:pPr>
              <w:jc w:val="center"/>
              <w:rPr>
                <w:rFonts w:ascii="Calibri" w:hAnsi="Calibri" w:cs="Calibri"/>
                <w:b/>
                <w:bCs/>
                <w:color w:val="000000"/>
              </w:rPr>
            </w:pPr>
            <w:r>
              <w:rPr>
                <w:rFonts w:ascii="Calibri" w:hAnsi="Calibri" w:cs="Calibri"/>
                <w:b/>
                <w:bCs/>
                <w:color w:val="000000"/>
              </w:rPr>
              <w:t>AR</w:t>
            </w:r>
            <w:r w:rsidRPr="00F54012">
              <w:rPr>
                <w:rFonts w:ascii="Calibri" w:hAnsi="Calibri" w:cs="Calibri"/>
                <w:b/>
                <w:bCs/>
                <w:color w:val="000000"/>
              </w:rPr>
              <w:t>-GARCH</w:t>
            </w:r>
            <w:r>
              <w:rPr>
                <w:rFonts w:ascii="Calibri" w:hAnsi="Calibri" w:cs="Calibri"/>
                <w:b/>
                <w:bCs/>
                <w:color w:val="000000"/>
              </w:rPr>
              <w:t xml:space="preserve"> </w:t>
            </w:r>
            <w:r w:rsidRPr="00F54012">
              <w:rPr>
                <w:rFonts w:ascii="Calibri" w:hAnsi="Calibri" w:cs="Calibri"/>
                <w:b/>
                <w:bCs/>
                <w:color w:val="000000"/>
              </w:rPr>
              <w:t>(1,1)-t</w:t>
            </w:r>
          </w:p>
        </w:tc>
        <w:tc>
          <w:tcPr>
            <w:tcW w:w="0" w:type="auto"/>
            <w:tcBorders>
              <w:top w:val="single" w:sz="12" w:space="0" w:color="auto"/>
              <w:bottom w:val="single" w:sz="8" w:space="0" w:color="auto"/>
            </w:tcBorders>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AR-GJR-GARCH</w:t>
            </w:r>
            <w:r>
              <w:rPr>
                <w:rFonts w:ascii="Calibri" w:hAnsi="Calibri" w:cs="Calibri"/>
                <w:b/>
                <w:bCs/>
                <w:color w:val="000000"/>
              </w:rPr>
              <w:t xml:space="preserve"> </w:t>
            </w:r>
            <w:r w:rsidRPr="00F54012">
              <w:rPr>
                <w:rFonts w:ascii="Calibri" w:hAnsi="Calibri" w:cs="Calibri"/>
                <w:b/>
                <w:bCs/>
                <w:color w:val="000000"/>
              </w:rPr>
              <w:t>(1,1)-t</w:t>
            </w:r>
          </w:p>
        </w:tc>
        <w:tc>
          <w:tcPr>
            <w:tcW w:w="0" w:type="auto"/>
            <w:tcBorders>
              <w:top w:val="single" w:sz="12" w:space="0" w:color="auto"/>
              <w:bottom w:val="single" w:sz="8" w:space="0" w:color="auto"/>
            </w:tcBorders>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IGARCH</w:t>
            </w:r>
            <w:r>
              <w:rPr>
                <w:rFonts w:ascii="Calibri" w:hAnsi="Calibri" w:cs="Calibri"/>
                <w:b/>
                <w:bCs/>
                <w:color w:val="000000"/>
              </w:rPr>
              <w:t xml:space="preserve"> (1,1)-g</w:t>
            </w:r>
          </w:p>
        </w:tc>
        <w:tc>
          <w:tcPr>
            <w:tcW w:w="0" w:type="auto"/>
            <w:tcBorders>
              <w:top w:val="single" w:sz="12" w:space="0" w:color="auto"/>
              <w:bottom w:val="single" w:sz="8" w:space="0" w:color="auto"/>
            </w:tcBorders>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HS-25</w:t>
            </w:r>
          </w:p>
        </w:tc>
        <w:tc>
          <w:tcPr>
            <w:tcW w:w="0" w:type="auto"/>
            <w:tcBorders>
              <w:top w:val="single" w:sz="12" w:space="0" w:color="auto"/>
              <w:bottom w:val="single" w:sz="8" w:space="0" w:color="auto"/>
            </w:tcBorders>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HS-5</w:t>
            </w:r>
          </w:p>
        </w:tc>
      </w:tr>
      <w:tr w:rsidR="00F8021F" w:rsidRPr="00F54012" w:rsidTr="00F8021F">
        <w:trPr>
          <w:trHeight w:val="255"/>
          <w:jc w:val="center"/>
        </w:trPr>
        <w:tc>
          <w:tcPr>
            <w:tcW w:w="0" w:type="auto"/>
            <w:vMerge w:val="restart"/>
            <w:tcBorders>
              <w:top w:val="single" w:sz="8" w:space="0" w:color="auto"/>
            </w:tcBorders>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RMSE</w:t>
            </w:r>
          </w:p>
        </w:tc>
        <w:tc>
          <w:tcPr>
            <w:tcW w:w="0" w:type="auto"/>
            <w:tcBorders>
              <w:top w:val="single" w:sz="8" w:space="0" w:color="auto"/>
            </w:tcBorders>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Proxy 1</w:t>
            </w:r>
          </w:p>
        </w:tc>
        <w:tc>
          <w:tcPr>
            <w:tcW w:w="0" w:type="auto"/>
            <w:tcBorders>
              <w:top w:val="single" w:sz="8" w:space="0" w:color="auto"/>
            </w:tcBorders>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1.7648</w:t>
            </w:r>
          </w:p>
        </w:tc>
        <w:tc>
          <w:tcPr>
            <w:tcW w:w="0" w:type="auto"/>
            <w:tcBorders>
              <w:top w:val="single" w:sz="8" w:space="0" w:color="auto"/>
            </w:tcBorders>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1.8142</w:t>
            </w:r>
          </w:p>
        </w:tc>
        <w:tc>
          <w:tcPr>
            <w:tcW w:w="0" w:type="auto"/>
            <w:tcBorders>
              <w:top w:val="single" w:sz="8" w:space="0" w:color="auto"/>
            </w:tcBorders>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1.7271</w:t>
            </w:r>
          </w:p>
        </w:tc>
        <w:tc>
          <w:tcPr>
            <w:tcW w:w="0" w:type="auto"/>
            <w:tcBorders>
              <w:top w:val="single" w:sz="8" w:space="0" w:color="auto"/>
            </w:tcBorders>
            <w:shd w:val="clear" w:color="auto" w:fill="auto"/>
            <w:noWrap/>
            <w:vAlign w:val="bottom"/>
            <w:hideMark/>
          </w:tcPr>
          <w:p w:rsidR="00F8021F" w:rsidRPr="00F54012" w:rsidRDefault="00F8021F" w:rsidP="00F8021F">
            <w:pPr>
              <w:jc w:val="center"/>
              <w:rPr>
                <w:rFonts w:ascii="Calibri" w:hAnsi="Calibri" w:cs="Calibri"/>
                <w:color w:val="000000"/>
                <w:u w:val="single"/>
              </w:rPr>
            </w:pPr>
            <w:r w:rsidRPr="00F54012">
              <w:rPr>
                <w:rFonts w:ascii="Calibri" w:hAnsi="Calibri" w:cs="Calibri"/>
                <w:color w:val="000000"/>
                <w:u w:val="single"/>
              </w:rPr>
              <w:t>1.5747</w:t>
            </w:r>
          </w:p>
        </w:tc>
        <w:tc>
          <w:tcPr>
            <w:tcW w:w="0" w:type="auto"/>
            <w:tcBorders>
              <w:top w:val="single" w:sz="8" w:space="0" w:color="auto"/>
            </w:tcBorders>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1.9076</w:t>
            </w:r>
          </w:p>
        </w:tc>
      </w:tr>
      <w:tr w:rsidR="00F8021F" w:rsidRPr="00F54012" w:rsidTr="00F8021F">
        <w:trPr>
          <w:trHeight w:val="255"/>
          <w:jc w:val="center"/>
        </w:trPr>
        <w:tc>
          <w:tcPr>
            <w:tcW w:w="0" w:type="auto"/>
            <w:vMerge/>
            <w:vAlign w:val="center"/>
            <w:hideMark/>
          </w:tcPr>
          <w:p w:rsidR="00F8021F" w:rsidRPr="00F54012" w:rsidRDefault="00F8021F" w:rsidP="00F8021F">
            <w:pPr>
              <w:rPr>
                <w:rFonts w:ascii="Calibri" w:hAnsi="Calibri" w:cs="Calibri"/>
                <w:color w:val="000000"/>
              </w:rPr>
            </w:pP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Proxy 2</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1.3387</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1.4141</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1.2718</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u w:val="single"/>
              </w:rPr>
            </w:pPr>
            <w:r w:rsidRPr="00F54012">
              <w:rPr>
                <w:rFonts w:ascii="Calibri" w:hAnsi="Calibri" w:cs="Calibri"/>
                <w:color w:val="000000"/>
                <w:u w:val="single"/>
              </w:rPr>
              <w:t>1.2403</w:t>
            </w:r>
          </w:p>
        </w:tc>
        <w:tc>
          <w:tcPr>
            <w:tcW w:w="0" w:type="auto"/>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1.5779</w:t>
            </w:r>
          </w:p>
        </w:tc>
      </w:tr>
      <w:tr w:rsidR="00F8021F" w:rsidRPr="00F54012" w:rsidTr="00F8021F">
        <w:trPr>
          <w:trHeight w:val="255"/>
          <w:jc w:val="center"/>
        </w:trPr>
        <w:tc>
          <w:tcPr>
            <w:tcW w:w="0" w:type="auto"/>
            <w:vMerge/>
            <w:vAlign w:val="center"/>
            <w:hideMark/>
          </w:tcPr>
          <w:p w:rsidR="00F8021F" w:rsidRPr="00F54012" w:rsidRDefault="00F8021F" w:rsidP="00F8021F">
            <w:pPr>
              <w:rPr>
                <w:rFonts w:ascii="Calibri" w:hAnsi="Calibri" w:cs="Calibri"/>
                <w:color w:val="000000"/>
              </w:rPr>
            </w:pP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Proxy 3</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1.4163</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1.4864</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u w:val="single"/>
              </w:rPr>
            </w:pPr>
            <w:r w:rsidRPr="00F54012">
              <w:rPr>
                <w:rFonts w:ascii="Calibri" w:hAnsi="Calibri" w:cs="Calibri"/>
                <w:color w:val="000000"/>
                <w:u w:val="single"/>
              </w:rPr>
              <w:t>1.3518</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1.4044</w:t>
            </w:r>
          </w:p>
        </w:tc>
        <w:tc>
          <w:tcPr>
            <w:tcW w:w="0" w:type="auto"/>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1.6716</w:t>
            </w:r>
          </w:p>
        </w:tc>
      </w:tr>
      <w:tr w:rsidR="00F8021F" w:rsidRPr="00F54012" w:rsidTr="00F8021F">
        <w:trPr>
          <w:trHeight w:val="255"/>
          <w:jc w:val="center"/>
        </w:trPr>
        <w:tc>
          <w:tcPr>
            <w:tcW w:w="0" w:type="auto"/>
            <w:vMerge/>
            <w:vAlign w:val="center"/>
            <w:hideMark/>
          </w:tcPr>
          <w:p w:rsidR="00F8021F" w:rsidRPr="00F54012" w:rsidRDefault="00F8021F" w:rsidP="00F8021F">
            <w:pPr>
              <w:rPr>
                <w:rFonts w:ascii="Calibri" w:hAnsi="Calibri" w:cs="Calibri"/>
                <w:color w:val="000000"/>
              </w:rPr>
            </w:pP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Proxy 4</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1.4799</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1.5450</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u w:val="single"/>
              </w:rPr>
            </w:pPr>
            <w:r w:rsidRPr="00F54012">
              <w:rPr>
                <w:rFonts w:ascii="Calibri" w:hAnsi="Calibri" w:cs="Calibri"/>
                <w:color w:val="000000"/>
                <w:u w:val="single"/>
              </w:rPr>
              <w:t>1.4173</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1.5324</w:t>
            </w:r>
          </w:p>
        </w:tc>
        <w:tc>
          <w:tcPr>
            <w:tcW w:w="0" w:type="auto"/>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1.7452</w:t>
            </w:r>
          </w:p>
        </w:tc>
      </w:tr>
      <w:tr w:rsidR="00F8021F" w:rsidRPr="00F54012" w:rsidTr="00F8021F">
        <w:trPr>
          <w:trHeight w:val="255"/>
          <w:jc w:val="center"/>
        </w:trPr>
        <w:tc>
          <w:tcPr>
            <w:tcW w:w="0" w:type="auto"/>
            <w:vMerge w:val="restart"/>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MAD</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Proxy 1</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1.2604</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1.2670</w:t>
            </w:r>
          </w:p>
        </w:tc>
        <w:tc>
          <w:tcPr>
            <w:tcW w:w="0" w:type="auto"/>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1.2925</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u w:val="single"/>
              </w:rPr>
            </w:pPr>
            <w:r w:rsidRPr="00F54012">
              <w:rPr>
                <w:rFonts w:ascii="Calibri" w:hAnsi="Calibri" w:cs="Calibri"/>
                <w:color w:val="000000"/>
                <w:u w:val="single"/>
              </w:rPr>
              <w:t>0.9702</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1.2508</w:t>
            </w:r>
          </w:p>
        </w:tc>
      </w:tr>
      <w:tr w:rsidR="00F8021F" w:rsidRPr="00F54012" w:rsidTr="00F8021F">
        <w:trPr>
          <w:trHeight w:val="255"/>
          <w:jc w:val="center"/>
        </w:trPr>
        <w:tc>
          <w:tcPr>
            <w:tcW w:w="0" w:type="auto"/>
            <w:vMerge/>
            <w:vAlign w:val="center"/>
            <w:hideMark/>
          </w:tcPr>
          <w:p w:rsidR="00F8021F" w:rsidRPr="00F54012" w:rsidRDefault="00F8021F" w:rsidP="00F8021F">
            <w:pPr>
              <w:rPr>
                <w:rFonts w:ascii="Calibri" w:hAnsi="Calibri" w:cs="Calibri"/>
                <w:color w:val="000000"/>
              </w:rPr>
            </w:pP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Proxy 2</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0.8357</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0.8576</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0.8577</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u w:val="single"/>
              </w:rPr>
            </w:pPr>
            <w:r w:rsidRPr="00F54012">
              <w:rPr>
                <w:rFonts w:ascii="Calibri" w:hAnsi="Calibri" w:cs="Calibri"/>
                <w:color w:val="000000"/>
                <w:u w:val="single"/>
              </w:rPr>
              <w:t>0.6451</w:t>
            </w:r>
          </w:p>
        </w:tc>
        <w:tc>
          <w:tcPr>
            <w:tcW w:w="0" w:type="auto"/>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0.9341</w:t>
            </w:r>
          </w:p>
        </w:tc>
      </w:tr>
      <w:tr w:rsidR="00F8021F" w:rsidRPr="00F54012" w:rsidTr="00F8021F">
        <w:trPr>
          <w:trHeight w:val="255"/>
          <w:jc w:val="center"/>
        </w:trPr>
        <w:tc>
          <w:tcPr>
            <w:tcW w:w="0" w:type="auto"/>
            <w:vMerge/>
            <w:vAlign w:val="center"/>
            <w:hideMark/>
          </w:tcPr>
          <w:p w:rsidR="00F8021F" w:rsidRPr="00F54012" w:rsidRDefault="00F8021F" w:rsidP="00F8021F">
            <w:pPr>
              <w:rPr>
                <w:rFonts w:ascii="Calibri" w:hAnsi="Calibri" w:cs="Calibri"/>
                <w:color w:val="000000"/>
              </w:rPr>
            </w:pP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Proxy 3</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0.8136</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0.8356</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0.8318</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u w:val="single"/>
              </w:rPr>
            </w:pPr>
            <w:r w:rsidRPr="00F54012">
              <w:rPr>
                <w:rFonts w:ascii="Calibri" w:hAnsi="Calibri" w:cs="Calibri"/>
                <w:color w:val="000000"/>
                <w:u w:val="single"/>
              </w:rPr>
              <w:t>0.7153</w:t>
            </w:r>
          </w:p>
        </w:tc>
        <w:tc>
          <w:tcPr>
            <w:tcW w:w="0" w:type="auto"/>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0.9596</w:t>
            </w:r>
          </w:p>
        </w:tc>
      </w:tr>
      <w:tr w:rsidR="00F8021F" w:rsidRPr="00F54012" w:rsidTr="00F8021F">
        <w:trPr>
          <w:trHeight w:val="255"/>
          <w:jc w:val="center"/>
        </w:trPr>
        <w:tc>
          <w:tcPr>
            <w:tcW w:w="0" w:type="auto"/>
            <w:vMerge/>
            <w:vAlign w:val="center"/>
            <w:hideMark/>
          </w:tcPr>
          <w:p w:rsidR="00F8021F" w:rsidRPr="00F54012" w:rsidRDefault="00F8021F" w:rsidP="00F8021F">
            <w:pPr>
              <w:rPr>
                <w:rFonts w:ascii="Calibri" w:hAnsi="Calibri" w:cs="Calibri"/>
                <w:color w:val="000000"/>
              </w:rPr>
            </w:pP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Proxy 4</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0.8266</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0.8505</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rPr>
            </w:pPr>
            <w:r w:rsidRPr="00F54012">
              <w:rPr>
                <w:rFonts w:ascii="Calibri" w:hAnsi="Calibri" w:cs="Calibri"/>
                <w:color w:val="000000"/>
              </w:rPr>
              <w:t>0.8384</w:t>
            </w:r>
          </w:p>
        </w:tc>
        <w:tc>
          <w:tcPr>
            <w:tcW w:w="0" w:type="auto"/>
            <w:shd w:val="clear" w:color="auto" w:fill="auto"/>
            <w:noWrap/>
            <w:vAlign w:val="bottom"/>
            <w:hideMark/>
          </w:tcPr>
          <w:p w:rsidR="00F8021F" w:rsidRPr="00F54012" w:rsidRDefault="00F8021F" w:rsidP="00F8021F">
            <w:pPr>
              <w:jc w:val="center"/>
              <w:rPr>
                <w:rFonts w:ascii="Calibri" w:hAnsi="Calibri" w:cs="Calibri"/>
                <w:color w:val="000000"/>
                <w:u w:val="single"/>
              </w:rPr>
            </w:pPr>
            <w:r w:rsidRPr="00F54012">
              <w:rPr>
                <w:rFonts w:ascii="Calibri" w:hAnsi="Calibri" w:cs="Calibri"/>
                <w:color w:val="000000"/>
                <w:u w:val="single"/>
              </w:rPr>
              <w:t>0.8033</w:t>
            </w:r>
          </w:p>
        </w:tc>
        <w:tc>
          <w:tcPr>
            <w:tcW w:w="0" w:type="auto"/>
            <w:shd w:val="clear" w:color="auto" w:fill="auto"/>
            <w:noWrap/>
            <w:vAlign w:val="bottom"/>
            <w:hideMark/>
          </w:tcPr>
          <w:p w:rsidR="00F8021F" w:rsidRPr="00F54012" w:rsidRDefault="00F8021F" w:rsidP="00F8021F">
            <w:pPr>
              <w:jc w:val="center"/>
              <w:rPr>
                <w:rFonts w:ascii="Calibri" w:hAnsi="Calibri" w:cs="Calibri"/>
                <w:b/>
                <w:bCs/>
                <w:color w:val="000000"/>
              </w:rPr>
            </w:pPr>
            <w:r w:rsidRPr="00F54012">
              <w:rPr>
                <w:rFonts w:ascii="Calibri" w:hAnsi="Calibri" w:cs="Calibri"/>
                <w:b/>
                <w:bCs/>
                <w:color w:val="000000"/>
              </w:rPr>
              <w:t>1.0007</w:t>
            </w:r>
          </w:p>
        </w:tc>
      </w:tr>
    </w:tbl>
    <w:p w:rsidR="00F8021F" w:rsidRPr="00CD68B3" w:rsidRDefault="00CD68B3" w:rsidP="00F8021F">
      <w:pPr>
        <w:jc w:val="center"/>
        <w:rPr>
          <w:b/>
          <w:lang w:val="en-SG"/>
        </w:rPr>
      </w:pPr>
      <w:r w:rsidRPr="00CD68B3">
        <w:rPr>
          <w:b/>
          <w:lang w:val="en-SG"/>
        </w:rPr>
        <w:t>Figure 32</w:t>
      </w:r>
      <w:r w:rsidR="00F8021F" w:rsidRPr="00CD68B3">
        <w:rPr>
          <w:b/>
          <w:lang w:val="en-SG"/>
        </w:rPr>
        <w:t>: Coke One Step Ahead Forecast RMSE and MAD Results</w:t>
      </w:r>
    </w:p>
    <w:p w:rsidR="00F8021F" w:rsidRPr="000E39A0" w:rsidRDefault="00F8021F" w:rsidP="00F8021F">
      <w:pPr>
        <w:jc w:val="both"/>
        <w:rPr>
          <w:lang w:val="en-SG"/>
        </w:rPr>
      </w:pPr>
      <w:r w:rsidRPr="00CD68B3">
        <w:rPr>
          <w:lang w:val="en-SG"/>
        </w:rPr>
        <w:t xml:space="preserve">From the general table in </w:t>
      </w:r>
      <w:r w:rsidRPr="00CD68B3">
        <w:rPr>
          <w:b/>
          <w:lang w:val="en-SG"/>
        </w:rPr>
        <w:t xml:space="preserve">Figure </w:t>
      </w:r>
      <w:r w:rsidR="00CD68B3" w:rsidRPr="00CD68B3">
        <w:rPr>
          <w:b/>
          <w:lang w:val="en-SG"/>
        </w:rPr>
        <w:t>32</w:t>
      </w:r>
      <w:r w:rsidRPr="00CD68B3">
        <w:rPr>
          <w:lang w:val="en-SG"/>
        </w:rPr>
        <w:t xml:space="preserve"> we can see that all assets’ RMSE and MAD behaviours follow the same situation of COKE’s results</w:t>
      </w:r>
      <w:r>
        <w:rPr>
          <w:lang w:val="en-SG"/>
        </w:rPr>
        <w:t xml:space="preserve">. HS-25 ranks at the top, IGARCH ranks the second, and AR-GARCH types follows, and then HS-5 has the lowest rank. Thus, we can draw the same conclusion with COKE’s one step ahead volatility forecast and the reason why this pattern exists is quite the same with COKE’s.  Except that COKE has the highest RMSE and MAD, JNJ’s RMSE and MAD here is the smallest. Compared with one step RMSE and MAD return summary, the highest ranked stock in volatility table is the same whereas the lowest ranked stock is different. </w:t>
      </w:r>
    </w:p>
    <w:tbl>
      <w:tblPr>
        <w:tblW w:w="0" w:type="auto"/>
        <w:jc w:val="center"/>
        <w:tblBorders>
          <w:top w:val="single" w:sz="12" w:space="0" w:color="auto"/>
          <w:bottom w:val="single" w:sz="12" w:space="0" w:color="auto"/>
        </w:tblBorders>
        <w:tblLook w:val="04A0" w:firstRow="1" w:lastRow="0" w:firstColumn="1" w:lastColumn="0" w:noHBand="0" w:noVBand="1"/>
      </w:tblPr>
      <w:tblGrid>
        <w:gridCol w:w="832"/>
        <w:gridCol w:w="779"/>
        <w:gridCol w:w="939"/>
        <w:gridCol w:w="1439"/>
        <w:gridCol w:w="1880"/>
        <w:gridCol w:w="1180"/>
        <w:gridCol w:w="889"/>
        <w:gridCol w:w="889"/>
      </w:tblGrid>
      <w:tr w:rsidR="00F8021F" w:rsidRPr="000E39A0" w:rsidTr="00F8021F">
        <w:trPr>
          <w:trHeight w:val="285"/>
          <w:jc w:val="center"/>
        </w:trPr>
        <w:tc>
          <w:tcPr>
            <w:tcW w:w="0" w:type="auto"/>
            <w:gridSpan w:val="8"/>
            <w:tcBorders>
              <w:top w:val="nil"/>
              <w:bottom w:val="nil"/>
            </w:tcBorders>
            <w:shd w:val="clear" w:color="auto" w:fill="auto"/>
            <w:noWrap/>
            <w:vAlign w:val="bottom"/>
          </w:tcPr>
          <w:p w:rsidR="00F8021F" w:rsidRPr="000E39A0" w:rsidRDefault="00F8021F" w:rsidP="00F8021F">
            <w:pPr>
              <w:rPr>
                <w:rFonts w:ascii="Calibri" w:hAnsi="Calibri" w:cs="Calibri"/>
                <w:b/>
                <w:bCs/>
                <w:color w:val="000000"/>
              </w:rPr>
            </w:pPr>
            <w:r w:rsidRPr="0045720B">
              <w:rPr>
                <w:rFonts w:ascii="Calibri" w:hAnsi="Calibri" w:cs="Calibri"/>
                <w:b/>
                <w:bCs/>
                <w:color w:val="000000"/>
              </w:rPr>
              <w:t xml:space="preserve">Accuracy Measurement of </w:t>
            </w:r>
            <w:r>
              <w:rPr>
                <w:rFonts w:ascii="Calibri" w:hAnsi="Calibri" w:cs="Calibri"/>
                <w:b/>
                <w:bCs/>
                <w:color w:val="000000"/>
              </w:rPr>
              <w:t>All Assets’ One Step A</w:t>
            </w:r>
            <w:r w:rsidRPr="0045720B">
              <w:rPr>
                <w:rFonts w:ascii="Calibri" w:hAnsi="Calibri" w:cs="Calibri"/>
                <w:b/>
                <w:bCs/>
                <w:color w:val="000000"/>
              </w:rPr>
              <w:t>head Forecast</w:t>
            </w:r>
          </w:p>
        </w:tc>
      </w:tr>
      <w:tr w:rsidR="00F8021F" w:rsidRPr="000E39A0" w:rsidTr="00F8021F">
        <w:trPr>
          <w:trHeight w:val="285"/>
          <w:jc w:val="center"/>
        </w:trPr>
        <w:tc>
          <w:tcPr>
            <w:tcW w:w="0" w:type="auto"/>
            <w:tcBorders>
              <w:top w:val="single" w:sz="12" w:space="0" w:color="auto"/>
              <w:bottom w:val="nil"/>
            </w:tcBorders>
            <w:shd w:val="clear" w:color="auto" w:fill="auto"/>
            <w:noWrap/>
            <w:vAlign w:val="bottom"/>
            <w:hideMark/>
          </w:tcPr>
          <w:p w:rsidR="00F8021F" w:rsidRPr="000E39A0" w:rsidRDefault="00F8021F" w:rsidP="00F8021F"/>
        </w:tc>
        <w:tc>
          <w:tcPr>
            <w:tcW w:w="0" w:type="auto"/>
            <w:tcBorders>
              <w:top w:val="single" w:sz="12" w:space="0" w:color="auto"/>
              <w:bottom w:val="nil"/>
            </w:tcBorders>
            <w:shd w:val="clear" w:color="auto" w:fill="auto"/>
            <w:noWrap/>
            <w:vAlign w:val="bottom"/>
            <w:hideMark/>
          </w:tcPr>
          <w:p w:rsidR="00F8021F" w:rsidRPr="000E39A0" w:rsidRDefault="00F8021F" w:rsidP="00F8021F">
            <w:pPr>
              <w:rPr>
                <w:sz w:val="20"/>
                <w:szCs w:val="20"/>
              </w:rPr>
            </w:pPr>
          </w:p>
        </w:tc>
        <w:tc>
          <w:tcPr>
            <w:tcW w:w="0" w:type="auto"/>
            <w:tcBorders>
              <w:top w:val="single" w:sz="12" w:space="0" w:color="auto"/>
              <w:bottom w:val="nil"/>
            </w:tcBorders>
            <w:shd w:val="clear" w:color="auto" w:fill="auto"/>
            <w:noWrap/>
            <w:vAlign w:val="bottom"/>
            <w:hideMark/>
          </w:tcPr>
          <w:p w:rsidR="00F8021F" w:rsidRPr="000E39A0" w:rsidRDefault="00F8021F" w:rsidP="00F8021F">
            <w:pPr>
              <w:rPr>
                <w:sz w:val="20"/>
                <w:szCs w:val="20"/>
              </w:rPr>
            </w:pPr>
          </w:p>
        </w:tc>
        <w:tc>
          <w:tcPr>
            <w:tcW w:w="0" w:type="auto"/>
            <w:tcBorders>
              <w:top w:val="single" w:sz="12" w:space="0" w:color="auto"/>
              <w:bottom w:val="nil"/>
            </w:tcBorders>
            <w:shd w:val="clear" w:color="auto" w:fill="auto"/>
            <w:noWrap/>
            <w:vAlign w:val="bottom"/>
            <w:hideMark/>
          </w:tcPr>
          <w:p w:rsidR="00F8021F" w:rsidRPr="000E39A0" w:rsidRDefault="00F8021F" w:rsidP="00F8021F">
            <w:pPr>
              <w:jc w:val="center"/>
              <w:rPr>
                <w:rFonts w:ascii="Calibri" w:hAnsi="Calibri" w:cs="Calibri"/>
                <w:b/>
                <w:bCs/>
                <w:color w:val="000000"/>
              </w:rPr>
            </w:pPr>
            <w:r>
              <w:rPr>
                <w:rFonts w:ascii="Calibri" w:hAnsi="Calibri" w:cs="Calibri"/>
                <w:b/>
                <w:bCs/>
                <w:color w:val="000000"/>
              </w:rPr>
              <w:t>AR</w:t>
            </w:r>
            <w:r w:rsidRPr="000E39A0">
              <w:rPr>
                <w:rFonts w:ascii="Calibri" w:hAnsi="Calibri" w:cs="Calibri"/>
                <w:b/>
                <w:bCs/>
                <w:color w:val="000000"/>
              </w:rPr>
              <w:t>-GARCH</w:t>
            </w:r>
            <w:r>
              <w:rPr>
                <w:rFonts w:ascii="Calibri" w:hAnsi="Calibri" w:cs="Calibri"/>
                <w:b/>
                <w:bCs/>
                <w:color w:val="000000"/>
              </w:rPr>
              <w:t>-</w:t>
            </w:r>
            <w:r w:rsidRPr="000E39A0">
              <w:rPr>
                <w:rFonts w:ascii="Calibri" w:hAnsi="Calibri" w:cs="Calibri"/>
                <w:b/>
                <w:bCs/>
                <w:color w:val="000000"/>
              </w:rPr>
              <w:t>t</w:t>
            </w:r>
          </w:p>
        </w:tc>
        <w:tc>
          <w:tcPr>
            <w:tcW w:w="0" w:type="auto"/>
            <w:tcBorders>
              <w:top w:val="single" w:sz="12" w:space="0" w:color="auto"/>
              <w:bottom w:val="nil"/>
            </w:tcBorders>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AR-GJR-GARCH</w:t>
            </w:r>
            <w:r>
              <w:rPr>
                <w:rFonts w:ascii="Calibri" w:hAnsi="Calibri" w:cs="Calibri"/>
                <w:b/>
                <w:bCs/>
                <w:color w:val="000000"/>
              </w:rPr>
              <w:t>-</w:t>
            </w:r>
            <w:r w:rsidRPr="000E39A0">
              <w:rPr>
                <w:rFonts w:ascii="Calibri" w:hAnsi="Calibri" w:cs="Calibri"/>
                <w:b/>
                <w:bCs/>
                <w:color w:val="000000"/>
              </w:rPr>
              <w:t>t</w:t>
            </w:r>
          </w:p>
        </w:tc>
        <w:tc>
          <w:tcPr>
            <w:tcW w:w="0" w:type="auto"/>
            <w:tcBorders>
              <w:top w:val="single" w:sz="12" w:space="0" w:color="auto"/>
              <w:bottom w:val="nil"/>
            </w:tcBorders>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IGARCH</w:t>
            </w:r>
            <w:r>
              <w:rPr>
                <w:rFonts w:ascii="Calibri" w:hAnsi="Calibri" w:cs="Calibri"/>
                <w:b/>
                <w:bCs/>
                <w:color w:val="000000"/>
              </w:rPr>
              <w:t>-g</w:t>
            </w:r>
          </w:p>
        </w:tc>
        <w:tc>
          <w:tcPr>
            <w:tcW w:w="0" w:type="auto"/>
            <w:tcBorders>
              <w:top w:val="single" w:sz="12" w:space="0" w:color="auto"/>
              <w:bottom w:val="nil"/>
            </w:tcBorders>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HS-25</w:t>
            </w:r>
          </w:p>
        </w:tc>
        <w:tc>
          <w:tcPr>
            <w:tcW w:w="0" w:type="auto"/>
            <w:tcBorders>
              <w:top w:val="single" w:sz="12" w:space="0" w:color="auto"/>
              <w:bottom w:val="nil"/>
            </w:tcBorders>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HS-5</w:t>
            </w:r>
          </w:p>
        </w:tc>
      </w:tr>
      <w:tr w:rsidR="00F8021F" w:rsidRPr="000E39A0" w:rsidTr="00F8021F">
        <w:trPr>
          <w:trHeight w:val="285"/>
          <w:jc w:val="center"/>
        </w:trPr>
        <w:tc>
          <w:tcPr>
            <w:tcW w:w="0" w:type="auto"/>
            <w:vMerge w:val="restart"/>
            <w:tcBorders>
              <w:top w:val="nil"/>
              <w:bottom w:val="single" w:sz="8" w:space="0" w:color="auto"/>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COKE</w:t>
            </w:r>
          </w:p>
        </w:tc>
        <w:tc>
          <w:tcPr>
            <w:tcW w:w="0" w:type="auto"/>
            <w:vMerge w:val="restart"/>
            <w:tcBorders>
              <w:top w:val="nil"/>
              <w:bottom w:val="single" w:sz="8" w:space="0" w:color="auto"/>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RMSE</w:t>
            </w:r>
          </w:p>
        </w:tc>
        <w:tc>
          <w:tcPr>
            <w:tcW w:w="0" w:type="auto"/>
            <w:tcBorders>
              <w:top w:val="nil"/>
              <w:bottom w:val="nil"/>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tcBorders>
              <w:top w:val="nil"/>
              <w:bottom w:val="nil"/>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1.7648</w:t>
            </w:r>
          </w:p>
        </w:tc>
        <w:tc>
          <w:tcPr>
            <w:tcW w:w="0" w:type="auto"/>
            <w:tcBorders>
              <w:top w:val="nil"/>
              <w:bottom w:val="nil"/>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1.2133</w:t>
            </w:r>
          </w:p>
        </w:tc>
        <w:tc>
          <w:tcPr>
            <w:tcW w:w="0" w:type="auto"/>
            <w:tcBorders>
              <w:top w:val="nil"/>
              <w:bottom w:val="nil"/>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0.6996</w:t>
            </w:r>
          </w:p>
        </w:tc>
        <w:tc>
          <w:tcPr>
            <w:tcW w:w="0" w:type="auto"/>
            <w:tcBorders>
              <w:top w:val="nil"/>
              <w:bottom w:val="nil"/>
            </w:tcBorders>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0.8605</w:t>
            </w:r>
          </w:p>
        </w:tc>
        <w:tc>
          <w:tcPr>
            <w:tcW w:w="0" w:type="auto"/>
            <w:tcBorders>
              <w:top w:val="nil"/>
              <w:bottom w:val="nil"/>
            </w:tcBorders>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1.3492</w:t>
            </w:r>
          </w:p>
        </w:tc>
      </w:tr>
      <w:tr w:rsidR="00F8021F" w:rsidRPr="000E39A0" w:rsidTr="00F8021F">
        <w:trPr>
          <w:trHeight w:val="285"/>
          <w:jc w:val="center"/>
        </w:trPr>
        <w:tc>
          <w:tcPr>
            <w:tcW w:w="0" w:type="auto"/>
            <w:vMerge/>
            <w:tcBorders>
              <w:top w:val="single" w:sz="8" w:space="0" w:color="auto"/>
            </w:tcBorders>
            <w:vAlign w:val="center"/>
            <w:hideMark/>
          </w:tcPr>
          <w:p w:rsidR="00F8021F" w:rsidRPr="000E39A0" w:rsidRDefault="00F8021F" w:rsidP="00F8021F">
            <w:pPr>
              <w:rPr>
                <w:rFonts w:ascii="Calibri" w:hAnsi="Calibri" w:cs="Calibri"/>
                <w:color w:val="000000"/>
              </w:rPr>
            </w:pPr>
          </w:p>
        </w:tc>
        <w:tc>
          <w:tcPr>
            <w:tcW w:w="0" w:type="auto"/>
            <w:vMerge/>
            <w:tcBorders>
              <w:top w:val="single" w:sz="8" w:space="0" w:color="auto"/>
            </w:tcBorders>
            <w:vAlign w:val="center"/>
            <w:hideMark/>
          </w:tcPr>
          <w:p w:rsidR="00F8021F" w:rsidRPr="000E39A0" w:rsidRDefault="00F8021F" w:rsidP="00F8021F">
            <w:pPr>
              <w:rPr>
                <w:rFonts w:ascii="Calibri" w:hAnsi="Calibri" w:cs="Calibri"/>
                <w:color w:val="000000"/>
              </w:rPr>
            </w:pPr>
          </w:p>
        </w:tc>
        <w:tc>
          <w:tcPr>
            <w:tcW w:w="0" w:type="auto"/>
            <w:tcBorders>
              <w:top w:val="nil"/>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tcBorders>
              <w:top w:val="nil"/>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1.3387</w:t>
            </w:r>
          </w:p>
        </w:tc>
        <w:tc>
          <w:tcPr>
            <w:tcW w:w="0" w:type="auto"/>
            <w:tcBorders>
              <w:top w:val="nil"/>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1.4141</w:t>
            </w:r>
          </w:p>
        </w:tc>
        <w:tc>
          <w:tcPr>
            <w:tcW w:w="0" w:type="auto"/>
            <w:tcBorders>
              <w:top w:val="nil"/>
            </w:tcBorders>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1.2718</w:t>
            </w:r>
          </w:p>
        </w:tc>
        <w:tc>
          <w:tcPr>
            <w:tcW w:w="0" w:type="auto"/>
            <w:tcBorders>
              <w:top w:val="nil"/>
            </w:tcBorders>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1.2403</w:t>
            </w:r>
          </w:p>
        </w:tc>
        <w:tc>
          <w:tcPr>
            <w:tcW w:w="0" w:type="auto"/>
            <w:tcBorders>
              <w:top w:val="nil"/>
            </w:tcBorders>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1.5779</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1.4163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1.4864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1.3518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1.4044</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1.6716</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1.4799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1.5450</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1.4173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1.5324</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1.7452</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MAD</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1.2604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1.2670</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1.2925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0.9702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1.2508</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0.8357</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0.8576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0.8577</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0.6451</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0.9341</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0.8136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0.8356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0.8318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0.7153</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0.9596</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0.8266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0.8505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0.8384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0.8033</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1.0007</w:t>
            </w:r>
          </w:p>
        </w:tc>
      </w:tr>
      <w:tr w:rsidR="00F8021F" w:rsidRPr="000E39A0" w:rsidTr="00F8021F">
        <w:trPr>
          <w:trHeight w:val="285"/>
          <w:jc w:val="center"/>
        </w:trPr>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MSFT</w:t>
            </w:r>
          </w:p>
        </w:tc>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RMSE</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1.2133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1.2003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1.1789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1.1080</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1.2610</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0.7269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0.7183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0.6703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0.5436</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0.8254</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0.8341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0.8255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0.8053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0.7822</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0.9581</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0.6896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0.6816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0.6581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0.6153</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0.8259</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MAD</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0.9269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0.9055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0.8881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0.7785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0.8586</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0.6044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0.5854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0.5495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0.4084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0.5523</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0.5771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0.5571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0.5384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0.4517</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0.6012</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0.5362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0.5206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0.5001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0.4133</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0.5693</w:t>
            </w:r>
          </w:p>
        </w:tc>
      </w:tr>
      <w:tr w:rsidR="00F8021F" w:rsidRPr="000E39A0" w:rsidTr="00F8021F">
        <w:trPr>
          <w:trHeight w:val="285"/>
          <w:jc w:val="center"/>
        </w:trPr>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JNJ</w:t>
            </w:r>
          </w:p>
        </w:tc>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RMSE</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0.6996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0.7001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0.6990</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0.6998</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0.7593</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0.5149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0.5194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0.5179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0.5232</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0.5994</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0.5467</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0.5472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0.5565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0.5619</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0.6336</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0.5670</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0.5665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0.5740</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0.5815</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0.6558</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MAD</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0.5464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0.5428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0.5391</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0.5548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0.5512</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0.3338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0.3380</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0.3228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0.3441</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0.3771</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0.3097</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0.3165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0.3071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0.3228</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0.3853</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0.3174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0.3258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0.3139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0.3273</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0.3932</w:t>
            </w:r>
          </w:p>
        </w:tc>
      </w:tr>
      <w:tr w:rsidR="00F8021F" w:rsidRPr="000E39A0" w:rsidTr="00F8021F">
        <w:trPr>
          <w:trHeight w:val="285"/>
          <w:jc w:val="center"/>
        </w:trPr>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MMM</w:t>
            </w:r>
          </w:p>
        </w:tc>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RMSE</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0.8605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0.8653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0.8262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0.8159</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0.9025</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0.5205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0.5312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0.4673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0.4466</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0.6080</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0.5359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0.5414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0.5108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0.5039</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0.6520</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0.4990</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0.5072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0.4724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0.4658</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0.6206</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MAD</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0.6632</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0.6640</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0.6206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0.6128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0.6189</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0.4247</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0.4268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0.3683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0.3552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0.4105</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0.3854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0.3857</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0.3472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0.3403</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0.4231</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0.3758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0.3786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0.3375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0.3319</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0.4214</w:t>
            </w:r>
          </w:p>
        </w:tc>
      </w:tr>
      <w:tr w:rsidR="00F8021F" w:rsidRPr="000E39A0" w:rsidTr="00F8021F">
        <w:trPr>
          <w:trHeight w:val="285"/>
          <w:jc w:val="center"/>
        </w:trPr>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PTR</w:t>
            </w:r>
          </w:p>
        </w:tc>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RMSE</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1.3492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1.3448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1.3300</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1.2520</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1.4597</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1.0555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1.0514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1.0087</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0.5769</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1.1080</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0.8974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0.8868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0.8669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0.7964</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1.0362</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0.9389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0.9322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0.8948</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0.5673</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1.0240</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MAD</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1.0837</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1.0819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1.0555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0.9213</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1.1039</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0.9465</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0.9490</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0.8904</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0.5001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0.8336</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3</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0.7309</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0.7265</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0.6841</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0.5472</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0.7413</w:t>
            </w:r>
          </w:p>
        </w:tc>
      </w:tr>
      <w:tr w:rsidR="00F8021F" w:rsidRPr="000E39A0" w:rsidTr="00F8021F">
        <w:trPr>
          <w:trHeight w:val="285"/>
          <w:jc w:val="center"/>
        </w:trPr>
        <w:tc>
          <w:tcPr>
            <w:tcW w:w="0" w:type="auto"/>
            <w:vMerge/>
            <w:vAlign w:val="center"/>
            <w:hideMark/>
          </w:tcPr>
          <w:p w:rsidR="00F8021F" w:rsidRPr="000E39A0" w:rsidRDefault="00F8021F" w:rsidP="00F8021F">
            <w:pPr>
              <w:rPr>
                <w:rFonts w:ascii="Calibri" w:hAnsi="Calibri" w:cs="Calibri"/>
                <w:color w:val="000000"/>
              </w:rPr>
            </w:pPr>
          </w:p>
        </w:tc>
        <w:tc>
          <w:tcPr>
            <w:tcW w:w="0" w:type="auto"/>
            <w:vMerge/>
            <w:vAlign w:val="center"/>
            <w:hideMark/>
          </w:tcPr>
          <w:p w:rsidR="00F8021F" w:rsidRPr="000E39A0" w:rsidRDefault="00F8021F" w:rsidP="00F8021F">
            <w:pPr>
              <w:rPr>
                <w:rFonts w:ascii="Calibri" w:hAnsi="Calibri" w:cs="Calibri"/>
                <w:color w:val="000000"/>
              </w:rPr>
            </w:pP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Proxy 4</w:t>
            </w:r>
          </w:p>
        </w:tc>
        <w:tc>
          <w:tcPr>
            <w:tcW w:w="0" w:type="auto"/>
            <w:shd w:val="clear" w:color="auto" w:fill="auto"/>
            <w:noWrap/>
            <w:vAlign w:val="bottom"/>
            <w:hideMark/>
          </w:tcPr>
          <w:p w:rsidR="00F8021F" w:rsidRPr="000E39A0" w:rsidRDefault="00F8021F" w:rsidP="00F8021F">
            <w:pPr>
              <w:jc w:val="center"/>
              <w:rPr>
                <w:rFonts w:ascii="Calibri" w:hAnsi="Calibri" w:cs="Calibri"/>
                <w:b/>
                <w:bCs/>
                <w:color w:val="000000"/>
              </w:rPr>
            </w:pPr>
            <w:r w:rsidRPr="000E39A0">
              <w:rPr>
                <w:rFonts w:ascii="Calibri" w:hAnsi="Calibri" w:cs="Calibri"/>
                <w:b/>
                <w:bCs/>
                <w:color w:val="000000"/>
              </w:rPr>
              <w:t>0.8172</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0.8167</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0.7637</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u w:val="single"/>
              </w:rPr>
            </w:pPr>
            <w:r w:rsidRPr="000E39A0">
              <w:rPr>
                <w:rFonts w:ascii="Calibri" w:hAnsi="Calibri" w:cs="Calibri"/>
                <w:color w:val="000000"/>
                <w:u w:val="single"/>
              </w:rPr>
              <w:t>0.4576</w:t>
            </w:r>
          </w:p>
        </w:tc>
        <w:tc>
          <w:tcPr>
            <w:tcW w:w="0" w:type="auto"/>
            <w:shd w:val="clear" w:color="auto" w:fill="auto"/>
            <w:noWrap/>
            <w:vAlign w:val="bottom"/>
            <w:hideMark/>
          </w:tcPr>
          <w:p w:rsidR="00F8021F" w:rsidRPr="000E39A0" w:rsidRDefault="00F8021F" w:rsidP="00F8021F">
            <w:pPr>
              <w:jc w:val="center"/>
              <w:rPr>
                <w:rFonts w:ascii="Calibri" w:hAnsi="Calibri" w:cs="Calibri"/>
                <w:color w:val="000000"/>
              </w:rPr>
            </w:pPr>
            <w:r w:rsidRPr="000E39A0">
              <w:rPr>
                <w:rFonts w:ascii="Calibri" w:hAnsi="Calibri" w:cs="Calibri"/>
                <w:color w:val="000000"/>
              </w:rPr>
              <w:t>0.7556</w:t>
            </w:r>
          </w:p>
        </w:tc>
      </w:tr>
    </w:tbl>
    <w:p w:rsidR="00F8021F" w:rsidRPr="00CD68B3" w:rsidRDefault="00CD68B3" w:rsidP="00F8021F">
      <w:pPr>
        <w:jc w:val="center"/>
        <w:rPr>
          <w:b/>
          <w:lang w:val="en-SG"/>
        </w:rPr>
      </w:pPr>
      <w:r w:rsidRPr="00CD68B3">
        <w:rPr>
          <w:b/>
          <w:lang w:val="en-SG"/>
        </w:rPr>
        <w:t>Figure 33</w:t>
      </w:r>
      <w:r w:rsidR="00F8021F" w:rsidRPr="00CD68B3">
        <w:rPr>
          <w:b/>
          <w:lang w:val="en-SG"/>
        </w:rPr>
        <w:t>: Coke One Step Ahead Forecast RMSE and MAD Results</w:t>
      </w:r>
    </w:p>
    <w:p w:rsidR="00F8021F" w:rsidRDefault="00F8021F" w:rsidP="00F8021F">
      <w:pPr>
        <w:pStyle w:val="4"/>
        <w:rPr>
          <w:lang w:val="en-SG"/>
        </w:rPr>
      </w:pPr>
      <w:r w:rsidRPr="00CD68B3">
        <w:rPr>
          <w:lang w:val="en-SG"/>
        </w:rPr>
        <w:t>Multi-Period Ahead Forecast</w:t>
      </w:r>
      <w:r>
        <w:rPr>
          <w:lang w:val="en-SG"/>
        </w:rPr>
        <w:t xml:space="preserve"> and Assessment</w:t>
      </w:r>
    </w:p>
    <w:p w:rsidR="00F8021F" w:rsidRDefault="00F8021F" w:rsidP="00F8021F">
      <w:pPr>
        <w:pStyle w:val="5"/>
        <w:rPr>
          <w:lang w:val="en-SG"/>
        </w:rPr>
      </w:pPr>
      <w:r>
        <w:rPr>
          <w:lang w:val="en-SG"/>
        </w:rPr>
        <w:t>Volatility Forecast</w:t>
      </w:r>
    </w:p>
    <w:p w:rsidR="00F8021F" w:rsidRPr="00D821E2" w:rsidRDefault="00F8021F" w:rsidP="00F8021F">
      <w:pPr>
        <w:jc w:val="both"/>
        <w:rPr>
          <w:lang w:val="en-SG"/>
        </w:rPr>
      </w:pPr>
      <w:r w:rsidRPr="00D821E2">
        <w:rPr>
          <w:lang w:val="en-SG"/>
        </w:rPr>
        <w:t>From the Figure below, we can see that in COKE’s forecast, two AR-GARCH type models and the IGARCH model gives the same level of forecast and are obviously higher than that of H</w:t>
      </w:r>
      <w:r>
        <w:rPr>
          <w:lang w:val="en-SG"/>
        </w:rPr>
        <w:t>S expectation. This may because</w:t>
      </w:r>
      <w:r w:rsidRPr="00D821E2">
        <w:rPr>
          <w:lang w:val="en-SG"/>
        </w:rPr>
        <w:t xml:space="preserve"> the parametric and semi-parametric models stock more historical shock information during in sample model estimation stage, and thus </w:t>
      </w:r>
      <w:r>
        <w:rPr>
          <w:lang w:val="en-SG"/>
        </w:rPr>
        <w:t xml:space="preserve">the </w:t>
      </w:r>
      <w:r w:rsidRPr="00D821E2">
        <w:rPr>
          <w:lang w:val="en-SG"/>
        </w:rPr>
        <w:t>higher volatility</w:t>
      </w:r>
      <w:r>
        <w:rPr>
          <w:lang w:val="en-SG"/>
        </w:rPr>
        <w:t xml:space="preserve"> may be influenced by historical shocks</w:t>
      </w:r>
      <w:r w:rsidRPr="00D821E2">
        <w:rPr>
          <w:lang w:val="en-SG"/>
        </w:rPr>
        <w:t>. HS methods just use the t+1 forecast to estimate all the out of sample volatilities, while the volatility estimation of GARCH type models marginally diminishing and then maintain the same after around half a year.</w:t>
      </w:r>
    </w:p>
    <w:p w:rsidR="00F8021F" w:rsidRDefault="00F8021F" w:rsidP="00F8021F">
      <w:pPr>
        <w:rPr>
          <w:lang w:val="en-SG"/>
        </w:rPr>
      </w:pPr>
      <w:r>
        <w:rPr>
          <w:noProof/>
          <w:lang w:val="en-SG"/>
        </w:rPr>
        <w:lastRenderedPageBreak/>
        <w:drawing>
          <wp:inline distT="0" distB="0" distL="0" distR="0" wp14:anchorId="237D60CE" wp14:editId="1BF773BD">
            <wp:extent cx="5731510" cy="308546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l_l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rsidR="00F8021F" w:rsidRPr="000C5319" w:rsidRDefault="00CD68B3" w:rsidP="00F8021F">
      <w:pPr>
        <w:jc w:val="center"/>
        <w:rPr>
          <w:b/>
          <w:lang w:val="en-SG"/>
        </w:rPr>
      </w:pPr>
      <w:r w:rsidRPr="00CD68B3">
        <w:rPr>
          <w:b/>
          <w:lang w:val="en-SG"/>
        </w:rPr>
        <w:t>Figure 34</w:t>
      </w:r>
      <w:r w:rsidR="00F8021F" w:rsidRPr="00CD68B3">
        <w:rPr>
          <w:b/>
          <w:lang w:val="en-SG"/>
        </w:rPr>
        <w:t>: Coke</w:t>
      </w:r>
      <w:r w:rsidR="00F8021F">
        <w:rPr>
          <w:b/>
          <w:lang w:val="en-SG"/>
        </w:rPr>
        <w:t xml:space="preserve"> Multi</w:t>
      </w:r>
      <w:r w:rsidR="00F8021F" w:rsidRPr="00832936">
        <w:rPr>
          <w:b/>
          <w:lang w:val="en-SG"/>
        </w:rPr>
        <w:t xml:space="preserve"> Step Ahead </w:t>
      </w:r>
      <w:r w:rsidR="00F8021F">
        <w:rPr>
          <w:b/>
          <w:lang w:val="en-SG"/>
        </w:rPr>
        <w:t xml:space="preserve">in Sample and Out of Sample Forecast </w:t>
      </w:r>
      <w:r w:rsidR="00F8021F" w:rsidRPr="00832936">
        <w:rPr>
          <w:b/>
          <w:lang w:val="en-SG"/>
        </w:rPr>
        <w:t>Results</w:t>
      </w:r>
    </w:p>
    <w:p w:rsidR="00F8021F" w:rsidRDefault="00F8021F" w:rsidP="00F8021F">
      <w:pPr>
        <w:rPr>
          <w:lang w:val="en-SG"/>
        </w:rPr>
      </w:pPr>
      <w:r>
        <w:rPr>
          <w:noProof/>
          <w:lang w:val="en-SG"/>
        </w:rPr>
        <w:drawing>
          <wp:inline distT="0" distB="0" distL="0" distR="0" wp14:anchorId="48F082A3" wp14:editId="4DD07BF5">
            <wp:extent cx="5829165" cy="3650343"/>
            <wp:effectExtent l="0" t="0" r="63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ol.png"/>
                    <pic:cNvPicPr/>
                  </pic:nvPicPr>
                  <pic:blipFill>
                    <a:blip r:embed="rId41">
                      <a:extLst>
                        <a:ext uri="{28A0092B-C50C-407E-A947-70E740481C1C}">
                          <a14:useLocalDpi xmlns:a14="http://schemas.microsoft.com/office/drawing/2010/main" val="0"/>
                        </a:ext>
                      </a:extLst>
                    </a:blip>
                    <a:stretch>
                      <a:fillRect/>
                    </a:stretch>
                  </pic:blipFill>
                  <pic:spPr>
                    <a:xfrm>
                      <a:off x="0" y="0"/>
                      <a:ext cx="5834036" cy="3653393"/>
                    </a:xfrm>
                    <a:prstGeom prst="rect">
                      <a:avLst/>
                    </a:prstGeom>
                  </pic:spPr>
                </pic:pic>
              </a:graphicData>
            </a:graphic>
          </wp:inline>
        </w:drawing>
      </w:r>
    </w:p>
    <w:p w:rsidR="00F8021F" w:rsidRPr="00CD68B3" w:rsidRDefault="00CD68B3" w:rsidP="00F8021F">
      <w:pPr>
        <w:jc w:val="center"/>
        <w:rPr>
          <w:b/>
          <w:lang w:val="en-SG"/>
        </w:rPr>
      </w:pPr>
      <w:r w:rsidRPr="00CD68B3">
        <w:rPr>
          <w:b/>
          <w:lang w:val="en-SG"/>
        </w:rPr>
        <w:t>Figure 35</w:t>
      </w:r>
      <w:r w:rsidR="00F8021F" w:rsidRPr="00CD68B3">
        <w:rPr>
          <w:b/>
          <w:lang w:val="en-SG"/>
        </w:rPr>
        <w:t>: Coke Multi Step Ahead Out of Sample Forecast Results</w:t>
      </w:r>
    </w:p>
    <w:p w:rsidR="00F8021F" w:rsidRPr="00CD68B3" w:rsidRDefault="00F8021F" w:rsidP="00F8021F">
      <w:pPr>
        <w:pStyle w:val="5"/>
        <w:rPr>
          <w:lang w:val="en-SG"/>
        </w:rPr>
      </w:pPr>
      <w:r w:rsidRPr="00CD68B3">
        <w:rPr>
          <w:lang w:val="en-SG"/>
        </w:rPr>
        <w:t>Accuracy Assessment</w:t>
      </w:r>
    </w:p>
    <w:p w:rsidR="00F8021F" w:rsidRPr="00187B37" w:rsidRDefault="00F8021F" w:rsidP="00F8021F">
      <w:pPr>
        <w:jc w:val="both"/>
        <w:rPr>
          <w:lang w:val="en-SG"/>
        </w:rPr>
      </w:pPr>
      <w:r w:rsidRPr="00CD68B3">
        <w:rPr>
          <w:lang w:val="en-SG"/>
        </w:rPr>
        <w:t xml:space="preserve">From </w:t>
      </w:r>
      <w:r w:rsidRPr="00CD68B3">
        <w:rPr>
          <w:b/>
          <w:lang w:val="en-SG"/>
        </w:rPr>
        <w:t xml:space="preserve">Figure </w:t>
      </w:r>
      <w:r w:rsidR="00CD68B3" w:rsidRPr="00CD68B3">
        <w:rPr>
          <w:b/>
          <w:lang w:val="en-SG"/>
        </w:rPr>
        <w:t>35</w:t>
      </w:r>
      <w:r w:rsidRPr="00CD68B3">
        <w:rPr>
          <w:lang w:val="en-SG"/>
        </w:rPr>
        <w:t>, we can see that for COKE the results scatter quite wide, but AR-GJR-GARCH-t model generally performs worst and HS methods have quite good results. The 5 models almost use one</w:t>
      </w:r>
      <w:r>
        <w:rPr>
          <w:lang w:val="en-SG"/>
        </w:rPr>
        <w:t xml:space="preserve"> average estimation to forecast the following daily volatility in the following 840 trading days, the volatilities in which change a lot day by day, thus, all models’ results may not be believable since long run expectation discard too much information into the residual terms and this may be why the RMSE and MAD score scatter quite random. </w:t>
      </w:r>
    </w:p>
    <w:tbl>
      <w:tblPr>
        <w:tblW w:w="0" w:type="auto"/>
        <w:jc w:val="center"/>
        <w:tblBorders>
          <w:top w:val="single" w:sz="12" w:space="0" w:color="auto"/>
          <w:bottom w:val="single" w:sz="12" w:space="0" w:color="auto"/>
        </w:tblBorders>
        <w:tblLook w:val="04A0" w:firstRow="1" w:lastRow="0" w:firstColumn="1" w:lastColumn="0" w:noHBand="0" w:noVBand="1"/>
      </w:tblPr>
      <w:tblGrid>
        <w:gridCol w:w="222"/>
        <w:gridCol w:w="779"/>
        <w:gridCol w:w="939"/>
        <w:gridCol w:w="1439"/>
        <w:gridCol w:w="1880"/>
        <w:gridCol w:w="1180"/>
        <w:gridCol w:w="885"/>
        <w:gridCol w:w="885"/>
      </w:tblGrid>
      <w:tr w:rsidR="00F8021F" w:rsidRPr="00187B37" w:rsidTr="00F8021F">
        <w:trPr>
          <w:trHeight w:val="285"/>
          <w:jc w:val="center"/>
        </w:trPr>
        <w:tc>
          <w:tcPr>
            <w:tcW w:w="0" w:type="auto"/>
            <w:gridSpan w:val="8"/>
            <w:tcBorders>
              <w:top w:val="nil"/>
              <w:bottom w:val="single" w:sz="12" w:space="0" w:color="auto"/>
            </w:tcBorders>
            <w:shd w:val="clear" w:color="auto" w:fill="auto"/>
            <w:noWrap/>
            <w:vAlign w:val="bottom"/>
          </w:tcPr>
          <w:p w:rsidR="00F8021F" w:rsidRPr="00187B37" w:rsidRDefault="00F8021F" w:rsidP="00F8021F">
            <w:pPr>
              <w:rPr>
                <w:rFonts w:ascii="Calibri" w:hAnsi="Calibri" w:cs="Calibri"/>
                <w:b/>
                <w:bCs/>
                <w:color w:val="000000"/>
              </w:rPr>
            </w:pPr>
            <w:r w:rsidRPr="0045720B">
              <w:rPr>
                <w:rFonts w:ascii="Calibri" w:hAnsi="Calibri" w:cs="Calibri"/>
                <w:b/>
                <w:bCs/>
                <w:color w:val="000000"/>
              </w:rPr>
              <w:t xml:space="preserve">Accuracy Measurement of </w:t>
            </w:r>
            <w:r>
              <w:rPr>
                <w:rFonts w:ascii="Calibri" w:hAnsi="Calibri" w:cs="Calibri"/>
                <w:b/>
                <w:bCs/>
                <w:color w:val="000000"/>
              </w:rPr>
              <w:t>COKE Multi Step A</w:t>
            </w:r>
            <w:r w:rsidRPr="0045720B">
              <w:rPr>
                <w:rFonts w:ascii="Calibri" w:hAnsi="Calibri" w:cs="Calibri"/>
                <w:b/>
                <w:bCs/>
                <w:color w:val="000000"/>
              </w:rPr>
              <w:t>head Forecast</w:t>
            </w:r>
          </w:p>
        </w:tc>
      </w:tr>
      <w:tr w:rsidR="00F8021F" w:rsidRPr="00187B37" w:rsidTr="00F8021F">
        <w:trPr>
          <w:trHeight w:val="285"/>
          <w:jc w:val="center"/>
        </w:trPr>
        <w:tc>
          <w:tcPr>
            <w:tcW w:w="0" w:type="auto"/>
            <w:tcBorders>
              <w:top w:val="single" w:sz="12" w:space="0" w:color="auto"/>
              <w:bottom w:val="single" w:sz="8" w:space="0" w:color="auto"/>
            </w:tcBorders>
            <w:shd w:val="clear" w:color="auto" w:fill="auto"/>
            <w:noWrap/>
            <w:vAlign w:val="bottom"/>
            <w:hideMark/>
          </w:tcPr>
          <w:p w:rsidR="00F8021F" w:rsidRPr="00187B37" w:rsidRDefault="00F8021F" w:rsidP="00F8021F"/>
        </w:tc>
        <w:tc>
          <w:tcPr>
            <w:tcW w:w="0" w:type="auto"/>
            <w:tcBorders>
              <w:top w:val="single" w:sz="12" w:space="0" w:color="auto"/>
              <w:bottom w:val="single" w:sz="8" w:space="0" w:color="auto"/>
            </w:tcBorders>
            <w:shd w:val="clear" w:color="auto" w:fill="auto"/>
            <w:noWrap/>
            <w:vAlign w:val="bottom"/>
            <w:hideMark/>
          </w:tcPr>
          <w:p w:rsidR="00F8021F" w:rsidRPr="00187B37" w:rsidRDefault="00F8021F" w:rsidP="00F8021F">
            <w:pPr>
              <w:rPr>
                <w:sz w:val="20"/>
                <w:szCs w:val="20"/>
              </w:rPr>
            </w:pPr>
          </w:p>
        </w:tc>
        <w:tc>
          <w:tcPr>
            <w:tcW w:w="0" w:type="auto"/>
            <w:tcBorders>
              <w:top w:val="single" w:sz="12" w:space="0" w:color="auto"/>
              <w:bottom w:val="single" w:sz="8" w:space="0" w:color="auto"/>
            </w:tcBorders>
            <w:shd w:val="clear" w:color="auto" w:fill="auto"/>
            <w:noWrap/>
            <w:vAlign w:val="bottom"/>
            <w:hideMark/>
          </w:tcPr>
          <w:p w:rsidR="00F8021F" w:rsidRPr="00187B37" w:rsidRDefault="00F8021F" w:rsidP="00F8021F">
            <w:pPr>
              <w:rPr>
                <w:sz w:val="20"/>
                <w:szCs w:val="20"/>
              </w:rPr>
            </w:pPr>
          </w:p>
        </w:tc>
        <w:tc>
          <w:tcPr>
            <w:tcW w:w="0" w:type="auto"/>
            <w:tcBorders>
              <w:top w:val="single" w:sz="12" w:space="0" w:color="auto"/>
              <w:bottom w:val="single" w:sz="8" w:space="0" w:color="auto"/>
            </w:tcBorders>
            <w:shd w:val="clear" w:color="auto" w:fill="auto"/>
            <w:noWrap/>
            <w:vAlign w:val="bottom"/>
            <w:hideMark/>
          </w:tcPr>
          <w:p w:rsidR="00F8021F" w:rsidRPr="00187B37" w:rsidRDefault="00F8021F" w:rsidP="00F8021F">
            <w:pPr>
              <w:jc w:val="center"/>
              <w:rPr>
                <w:rFonts w:ascii="Calibri" w:hAnsi="Calibri" w:cs="Calibri"/>
                <w:b/>
                <w:bCs/>
                <w:color w:val="000000"/>
              </w:rPr>
            </w:pPr>
            <w:r>
              <w:rPr>
                <w:rFonts w:ascii="Calibri" w:hAnsi="Calibri" w:cs="Calibri"/>
                <w:b/>
                <w:bCs/>
                <w:color w:val="000000"/>
              </w:rPr>
              <w:t>AR-</w:t>
            </w:r>
            <w:r w:rsidRPr="00187B37">
              <w:rPr>
                <w:rFonts w:ascii="Calibri" w:hAnsi="Calibri" w:cs="Calibri"/>
                <w:b/>
                <w:bCs/>
                <w:color w:val="000000"/>
              </w:rPr>
              <w:t>GARCH</w:t>
            </w:r>
            <w:r>
              <w:rPr>
                <w:rFonts w:ascii="Calibri" w:hAnsi="Calibri" w:cs="Calibri"/>
                <w:b/>
                <w:bCs/>
                <w:color w:val="000000"/>
              </w:rPr>
              <w:t>-</w:t>
            </w:r>
            <w:r w:rsidRPr="00187B37">
              <w:rPr>
                <w:rFonts w:ascii="Calibri" w:hAnsi="Calibri" w:cs="Calibri"/>
                <w:b/>
                <w:bCs/>
                <w:color w:val="000000"/>
              </w:rPr>
              <w:t>t</w:t>
            </w:r>
          </w:p>
        </w:tc>
        <w:tc>
          <w:tcPr>
            <w:tcW w:w="0" w:type="auto"/>
            <w:tcBorders>
              <w:top w:val="single" w:sz="12" w:space="0" w:color="auto"/>
              <w:bottom w:val="single" w:sz="8" w:space="0" w:color="auto"/>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AR-GJR-GARCH</w:t>
            </w:r>
            <w:r>
              <w:rPr>
                <w:rFonts w:ascii="Calibri" w:hAnsi="Calibri" w:cs="Calibri"/>
                <w:b/>
                <w:bCs/>
                <w:color w:val="000000"/>
              </w:rPr>
              <w:t>-</w:t>
            </w:r>
            <w:r w:rsidRPr="00187B37">
              <w:rPr>
                <w:rFonts w:ascii="Calibri" w:hAnsi="Calibri" w:cs="Calibri"/>
                <w:b/>
                <w:bCs/>
                <w:color w:val="000000"/>
              </w:rPr>
              <w:t>t</w:t>
            </w:r>
          </w:p>
        </w:tc>
        <w:tc>
          <w:tcPr>
            <w:tcW w:w="0" w:type="auto"/>
            <w:tcBorders>
              <w:top w:val="single" w:sz="12" w:space="0" w:color="auto"/>
              <w:bottom w:val="single" w:sz="8" w:space="0" w:color="auto"/>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IGARCH</w:t>
            </w:r>
            <w:r>
              <w:rPr>
                <w:rFonts w:ascii="Calibri" w:hAnsi="Calibri" w:cs="Calibri"/>
                <w:b/>
                <w:bCs/>
                <w:color w:val="000000"/>
              </w:rPr>
              <w:t>-g</w:t>
            </w:r>
          </w:p>
        </w:tc>
        <w:tc>
          <w:tcPr>
            <w:tcW w:w="0" w:type="auto"/>
            <w:tcBorders>
              <w:top w:val="single" w:sz="12" w:space="0" w:color="auto"/>
              <w:bottom w:val="single" w:sz="8" w:space="0" w:color="auto"/>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HS-25</w:t>
            </w:r>
          </w:p>
        </w:tc>
        <w:tc>
          <w:tcPr>
            <w:tcW w:w="0" w:type="auto"/>
            <w:tcBorders>
              <w:top w:val="single" w:sz="12" w:space="0" w:color="auto"/>
              <w:bottom w:val="single" w:sz="8" w:space="0" w:color="auto"/>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HS-5</w:t>
            </w:r>
          </w:p>
        </w:tc>
      </w:tr>
      <w:tr w:rsidR="00F8021F" w:rsidRPr="00187B37" w:rsidTr="00F8021F">
        <w:trPr>
          <w:trHeight w:val="285"/>
          <w:jc w:val="center"/>
        </w:trPr>
        <w:tc>
          <w:tcPr>
            <w:tcW w:w="0" w:type="auto"/>
            <w:vMerge w:val="restart"/>
            <w:tcBorders>
              <w:top w:val="single" w:sz="8" w:space="0" w:color="auto"/>
            </w:tcBorders>
            <w:shd w:val="clear" w:color="auto" w:fill="auto"/>
            <w:noWrap/>
            <w:vAlign w:val="bottom"/>
            <w:hideMark/>
          </w:tcPr>
          <w:p w:rsidR="00F8021F" w:rsidRPr="00187B37" w:rsidRDefault="00F8021F" w:rsidP="00F8021F">
            <w:pPr>
              <w:jc w:val="center"/>
              <w:rPr>
                <w:rFonts w:ascii="Calibri" w:hAnsi="Calibri" w:cs="Calibri"/>
                <w:color w:val="000000"/>
              </w:rPr>
            </w:pPr>
          </w:p>
        </w:tc>
        <w:tc>
          <w:tcPr>
            <w:tcW w:w="0" w:type="auto"/>
            <w:vMerge w:val="restart"/>
            <w:tcBorders>
              <w:top w:val="single" w:sz="8" w:space="0" w:color="auto"/>
            </w:tcBorders>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RMSE</w:t>
            </w:r>
          </w:p>
        </w:tc>
        <w:tc>
          <w:tcPr>
            <w:tcW w:w="0" w:type="auto"/>
            <w:tcBorders>
              <w:top w:val="single" w:sz="8" w:space="0" w:color="auto"/>
            </w:tcBorders>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Proxy 1</w:t>
            </w:r>
          </w:p>
        </w:tc>
        <w:tc>
          <w:tcPr>
            <w:tcW w:w="0" w:type="auto"/>
            <w:tcBorders>
              <w:top w:val="single" w:sz="8" w:space="0" w:color="auto"/>
            </w:tcBorders>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1.7841</w:t>
            </w:r>
          </w:p>
        </w:tc>
        <w:tc>
          <w:tcPr>
            <w:tcW w:w="0" w:type="auto"/>
            <w:tcBorders>
              <w:top w:val="single" w:sz="8" w:space="0" w:color="auto"/>
            </w:tcBorders>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1.9605</w:t>
            </w:r>
          </w:p>
        </w:tc>
        <w:tc>
          <w:tcPr>
            <w:tcW w:w="0" w:type="auto"/>
            <w:tcBorders>
              <w:top w:val="single" w:sz="8" w:space="0" w:color="auto"/>
            </w:tcBorders>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1.7799</w:t>
            </w:r>
          </w:p>
        </w:tc>
        <w:tc>
          <w:tcPr>
            <w:tcW w:w="0" w:type="auto"/>
            <w:tcBorders>
              <w:top w:val="single" w:sz="8" w:space="0" w:color="auto"/>
            </w:tcBorders>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1.6047</w:t>
            </w:r>
          </w:p>
        </w:tc>
        <w:tc>
          <w:tcPr>
            <w:tcW w:w="0" w:type="auto"/>
            <w:tcBorders>
              <w:top w:val="single" w:sz="8" w:space="0" w:color="auto"/>
            </w:tcBorders>
            <w:shd w:val="clear" w:color="auto" w:fill="auto"/>
            <w:noWrap/>
            <w:vAlign w:val="bottom"/>
            <w:hideMark/>
          </w:tcPr>
          <w:p w:rsidR="00F8021F" w:rsidRPr="00187B37" w:rsidRDefault="00F8021F" w:rsidP="00F8021F">
            <w:pPr>
              <w:jc w:val="center"/>
              <w:rPr>
                <w:rFonts w:ascii="Calibri" w:hAnsi="Calibri" w:cs="Calibri"/>
                <w:color w:val="000000"/>
                <w:u w:val="single"/>
              </w:rPr>
            </w:pPr>
            <w:r w:rsidRPr="00187B37">
              <w:rPr>
                <w:rFonts w:ascii="Calibri" w:hAnsi="Calibri" w:cs="Calibri"/>
                <w:color w:val="000000"/>
                <w:u w:val="single"/>
              </w:rPr>
              <w:t>1.5848</w:t>
            </w:r>
          </w:p>
        </w:tc>
      </w:tr>
      <w:tr w:rsidR="00F8021F" w:rsidRPr="00187B37" w:rsidTr="00F8021F">
        <w:trPr>
          <w:trHeight w:val="285"/>
          <w:jc w:val="center"/>
        </w:trPr>
        <w:tc>
          <w:tcPr>
            <w:tcW w:w="0" w:type="auto"/>
            <w:vMerge/>
            <w:vAlign w:val="center"/>
            <w:hideMark/>
          </w:tcPr>
          <w:p w:rsidR="00F8021F" w:rsidRPr="00187B37" w:rsidRDefault="00F8021F" w:rsidP="00F8021F">
            <w:pPr>
              <w:rPr>
                <w:rFonts w:ascii="Calibri" w:hAnsi="Calibri" w:cs="Calibri"/>
                <w:color w:val="000000"/>
              </w:rPr>
            </w:pPr>
          </w:p>
        </w:tc>
        <w:tc>
          <w:tcPr>
            <w:tcW w:w="0" w:type="auto"/>
            <w:vMerge/>
            <w:vAlign w:val="center"/>
            <w:hideMark/>
          </w:tcPr>
          <w:p w:rsidR="00F8021F" w:rsidRPr="00187B37" w:rsidRDefault="00F8021F" w:rsidP="00F8021F">
            <w:pPr>
              <w:rPr>
                <w:rFonts w:ascii="Calibri" w:hAnsi="Calibri" w:cs="Calibri"/>
                <w:color w:val="000000"/>
              </w:rPr>
            </w:pP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Proxy 2</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1.3343</w:t>
            </w:r>
          </w:p>
        </w:tc>
        <w:tc>
          <w:tcPr>
            <w:tcW w:w="0" w:type="auto"/>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1.5001</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1.3298</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u w:val="single"/>
              </w:rPr>
            </w:pPr>
            <w:r w:rsidRPr="00187B37">
              <w:rPr>
                <w:rFonts w:ascii="Calibri" w:hAnsi="Calibri" w:cs="Calibri"/>
                <w:color w:val="000000"/>
                <w:u w:val="single"/>
              </w:rPr>
              <w:t>1.2188</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1.2266</w:t>
            </w:r>
          </w:p>
        </w:tc>
      </w:tr>
      <w:tr w:rsidR="00F8021F" w:rsidRPr="00187B37" w:rsidTr="00F8021F">
        <w:trPr>
          <w:trHeight w:val="285"/>
          <w:jc w:val="center"/>
        </w:trPr>
        <w:tc>
          <w:tcPr>
            <w:tcW w:w="0" w:type="auto"/>
            <w:vMerge/>
            <w:vAlign w:val="center"/>
            <w:hideMark/>
          </w:tcPr>
          <w:p w:rsidR="00F8021F" w:rsidRPr="00187B37" w:rsidRDefault="00F8021F" w:rsidP="00F8021F">
            <w:pPr>
              <w:rPr>
                <w:rFonts w:ascii="Calibri" w:hAnsi="Calibri" w:cs="Calibri"/>
                <w:color w:val="000000"/>
              </w:rPr>
            </w:pPr>
          </w:p>
        </w:tc>
        <w:tc>
          <w:tcPr>
            <w:tcW w:w="0" w:type="auto"/>
            <w:vMerge/>
            <w:vAlign w:val="center"/>
            <w:hideMark/>
          </w:tcPr>
          <w:p w:rsidR="00F8021F" w:rsidRPr="00187B37" w:rsidRDefault="00F8021F" w:rsidP="00F8021F">
            <w:pPr>
              <w:rPr>
                <w:rFonts w:ascii="Calibri" w:hAnsi="Calibri" w:cs="Calibri"/>
                <w:color w:val="000000"/>
              </w:rPr>
            </w:pP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Proxy 3</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1.3986</w:t>
            </w:r>
          </w:p>
        </w:tc>
        <w:tc>
          <w:tcPr>
            <w:tcW w:w="0" w:type="auto"/>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1.5233</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1.3956</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u w:val="single"/>
              </w:rPr>
            </w:pPr>
            <w:r w:rsidRPr="00187B37">
              <w:rPr>
                <w:rFonts w:ascii="Calibri" w:hAnsi="Calibri" w:cs="Calibri"/>
                <w:color w:val="000000"/>
                <w:u w:val="single"/>
              </w:rPr>
              <w:t>1.3544</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1.3777</w:t>
            </w:r>
          </w:p>
        </w:tc>
      </w:tr>
      <w:tr w:rsidR="00F8021F" w:rsidRPr="00187B37" w:rsidTr="00F8021F">
        <w:trPr>
          <w:trHeight w:val="285"/>
          <w:jc w:val="center"/>
        </w:trPr>
        <w:tc>
          <w:tcPr>
            <w:tcW w:w="0" w:type="auto"/>
            <w:vMerge/>
            <w:vAlign w:val="center"/>
            <w:hideMark/>
          </w:tcPr>
          <w:p w:rsidR="00F8021F" w:rsidRPr="00187B37" w:rsidRDefault="00F8021F" w:rsidP="00F8021F">
            <w:pPr>
              <w:rPr>
                <w:rFonts w:ascii="Calibri" w:hAnsi="Calibri" w:cs="Calibri"/>
                <w:color w:val="000000"/>
              </w:rPr>
            </w:pPr>
          </w:p>
        </w:tc>
        <w:tc>
          <w:tcPr>
            <w:tcW w:w="0" w:type="auto"/>
            <w:vMerge/>
            <w:vAlign w:val="center"/>
            <w:hideMark/>
          </w:tcPr>
          <w:p w:rsidR="00F8021F" w:rsidRPr="00187B37" w:rsidRDefault="00F8021F" w:rsidP="00F8021F">
            <w:pPr>
              <w:rPr>
                <w:rFonts w:ascii="Calibri" w:hAnsi="Calibri" w:cs="Calibri"/>
                <w:color w:val="000000"/>
              </w:rPr>
            </w:pP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Proxy 4</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u w:val="single"/>
              </w:rPr>
            </w:pPr>
            <w:r w:rsidRPr="00187B37">
              <w:rPr>
                <w:rFonts w:ascii="Calibri" w:hAnsi="Calibri" w:cs="Calibri"/>
                <w:color w:val="000000"/>
                <w:u w:val="single"/>
              </w:rPr>
              <w:t>1.4572</w:t>
            </w:r>
          </w:p>
        </w:tc>
        <w:tc>
          <w:tcPr>
            <w:tcW w:w="0" w:type="auto"/>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1.5488</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1.4555</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1.4653</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1.4995</w:t>
            </w:r>
          </w:p>
        </w:tc>
      </w:tr>
      <w:tr w:rsidR="00F8021F" w:rsidRPr="00187B37" w:rsidTr="00F8021F">
        <w:trPr>
          <w:trHeight w:val="285"/>
          <w:jc w:val="center"/>
        </w:trPr>
        <w:tc>
          <w:tcPr>
            <w:tcW w:w="0" w:type="auto"/>
            <w:vMerge/>
            <w:vAlign w:val="center"/>
            <w:hideMark/>
          </w:tcPr>
          <w:p w:rsidR="00F8021F" w:rsidRPr="00187B37"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MAD</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Proxy 1</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1.3996</w:t>
            </w:r>
          </w:p>
        </w:tc>
        <w:tc>
          <w:tcPr>
            <w:tcW w:w="0" w:type="auto"/>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1.6264</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1.3918</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1.1032</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u w:val="single"/>
              </w:rPr>
            </w:pPr>
            <w:r w:rsidRPr="00187B37">
              <w:rPr>
                <w:rFonts w:ascii="Calibri" w:hAnsi="Calibri" w:cs="Calibri"/>
                <w:color w:val="000000"/>
                <w:u w:val="single"/>
              </w:rPr>
              <w:t>1.0458</w:t>
            </w:r>
          </w:p>
        </w:tc>
      </w:tr>
      <w:tr w:rsidR="00F8021F" w:rsidRPr="00187B37" w:rsidTr="00F8021F">
        <w:trPr>
          <w:trHeight w:val="285"/>
          <w:jc w:val="center"/>
        </w:trPr>
        <w:tc>
          <w:tcPr>
            <w:tcW w:w="0" w:type="auto"/>
            <w:vMerge/>
            <w:vAlign w:val="center"/>
            <w:hideMark/>
          </w:tcPr>
          <w:p w:rsidR="00F8021F" w:rsidRPr="00187B37" w:rsidRDefault="00F8021F" w:rsidP="00F8021F">
            <w:pPr>
              <w:rPr>
                <w:rFonts w:ascii="Calibri" w:hAnsi="Calibri" w:cs="Calibri"/>
                <w:color w:val="000000"/>
              </w:rPr>
            </w:pPr>
          </w:p>
        </w:tc>
        <w:tc>
          <w:tcPr>
            <w:tcW w:w="0" w:type="auto"/>
            <w:vMerge/>
            <w:vAlign w:val="center"/>
            <w:hideMark/>
          </w:tcPr>
          <w:p w:rsidR="00F8021F" w:rsidRPr="00187B37" w:rsidRDefault="00F8021F" w:rsidP="00F8021F">
            <w:pPr>
              <w:rPr>
                <w:rFonts w:ascii="Calibri" w:hAnsi="Calibri" w:cs="Calibri"/>
                <w:color w:val="000000"/>
              </w:rPr>
            </w:pP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Proxy 2</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0.9857</w:t>
            </w:r>
          </w:p>
        </w:tc>
        <w:tc>
          <w:tcPr>
            <w:tcW w:w="0" w:type="auto"/>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1.2124</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0.9771</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0.7176</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u w:val="single"/>
              </w:rPr>
            </w:pPr>
            <w:r w:rsidRPr="00187B37">
              <w:rPr>
                <w:rFonts w:ascii="Calibri" w:hAnsi="Calibri" w:cs="Calibri"/>
                <w:color w:val="000000"/>
                <w:u w:val="single"/>
              </w:rPr>
              <w:t>0.6879</w:t>
            </w:r>
          </w:p>
        </w:tc>
      </w:tr>
      <w:tr w:rsidR="00F8021F" w:rsidRPr="00187B37" w:rsidTr="00F8021F">
        <w:trPr>
          <w:trHeight w:val="285"/>
          <w:jc w:val="center"/>
        </w:trPr>
        <w:tc>
          <w:tcPr>
            <w:tcW w:w="0" w:type="auto"/>
            <w:vMerge/>
            <w:vAlign w:val="center"/>
            <w:hideMark/>
          </w:tcPr>
          <w:p w:rsidR="00F8021F" w:rsidRPr="00187B37" w:rsidRDefault="00F8021F" w:rsidP="00F8021F">
            <w:pPr>
              <w:rPr>
                <w:rFonts w:ascii="Calibri" w:hAnsi="Calibri" w:cs="Calibri"/>
                <w:color w:val="000000"/>
              </w:rPr>
            </w:pPr>
          </w:p>
        </w:tc>
        <w:tc>
          <w:tcPr>
            <w:tcW w:w="0" w:type="auto"/>
            <w:vMerge/>
            <w:vAlign w:val="center"/>
            <w:hideMark/>
          </w:tcPr>
          <w:p w:rsidR="00F8021F" w:rsidRPr="00187B37" w:rsidRDefault="00F8021F" w:rsidP="00F8021F">
            <w:pPr>
              <w:rPr>
                <w:rFonts w:ascii="Calibri" w:hAnsi="Calibri" w:cs="Calibri"/>
                <w:color w:val="000000"/>
              </w:rPr>
            </w:pP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Proxy 3</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0.9512</w:t>
            </w:r>
          </w:p>
        </w:tc>
        <w:tc>
          <w:tcPr>
            <w:tcW w:w="0" w:type="auto"/>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1.1582</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0.9435</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0.7441</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u w:val="single"/>
              </w:rPr>
            </w:pPr>
            <w:r w:rsidRPr="00187B37">
              <w:rPr>
                <w:rFonts w:ascii="Calibri" w:hAnsi="Calibri" w:cs="Calibri"/>
                <w:color w:val="000000"/>
                <w:u w:val="single"/>
              </w:rPr>
              <w:t>0.7308</w:t>
            </w:r>
          </w:p>
        </w:tc>
      </w:tr>
      <w:tr w:rsidR="00F8021F" w:rsidRPr="00187B37" w:rsidTr="00F8021F">
        <w:trPr>
          <w:trHeight w:val="285"/>
          <w:jc w:val="center"/>
        </w:trPr>
        <w:tc>
          <w:tcPr>
            <w:tcW w:w="0" w:type="auto"/>
            <w:vMerge/>
            <w:vAlign w:val="center"/>
            <w:hideMark/>
          </w:tcPr>
          <w:p w:rsidR="00F8021F" w:rsidRPr="00187B37" w:rsidRDefault="00F8021F" w:rsidP="00F8021F">
            <w:pPr>
              <w:rPr>
                <w:rFonts w:ascii="Calibri" w:hAnsi="Calibri" w:cs="Calibri"/>
                <w:color w:val="000000"/>
              </w:rPr>
            </w:pPr>
          </w:p>
        </w:tc>
        <w:tc>
          <w:tcPr>
            <w:tcW w:w="0" w:type="auto"/>
            <w:vMerge/>
            <w:vAlign w:val="center"/>
            <w:hideMark/>
          </w:tcPr>
          <w:p w:rsidR="00F8021F" w:rsidRPr="00187B37" w:rsidRDefault="00F8021F" w:rsidP="00F8021F">
            <w:pPr>
              <w:rPr>
                <w:rFonts w:ascii="Calibri" w:hAnsi="Calibri" w:cs="Calibri"/>
                <w:color w:val="000000"/>
              </w:rPr>
            </w:pP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Proxy 4</w:t>
            </w:r>
          </w:p>
        </w:tc>
        <w:tc>
          <w:tcPr>
            <w:tcW w:w="0" w:type="auto"/>
            <w:shd w:val="clear" w:color="auto" w:fill="auto"/>
            <w:noWrap/>
            <w:vAlign w:val="bottom"/>
            <w:hideMark/>
          </w:tcPr>
          <w:p w:rsidR="00F8021F" w:rsidRPr="00187B37" w:rsidRDefault="00F8021F" w:rsidP="00F8021F">
            <w:pPr>
              <w:jc w:val="center"/>
              <w:rPr>
                <w:rFonts w:ascii="Calibri" w:hAnsi="Calibri" w:cs="Calibri"/>
                <w:b/>
                <w:bCs/>
                <w:color w:val="000000"/>
              </w:rPr>
            </w:pPr>
            <w:r w:rsidRPr="00187B37">
              <w:rPr>
                <w:rFonts w:ascii="Calibri" w:hAnsi="Calibri" w:cs="Calibri"/>
                <w:b/>
                <w:bCs/>
                <w:color w:val="000000"/>
              </w:rPr>
              <w:t>0.9399</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1.1253</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0.9335</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u w:val="single"/>
              </w:rPr>
            </w:pPr>
            <w:r w:rsidRPr="00187B37">
              <w:rPr>
                <w:rFonts w:ascii="Calibri" w:hAnsi="Calibri" w:cs="Calibri"/>
                <w:color w:val="000000"/>
                <w:u w:val="single"/>
              </w:rPr>
              <w:t>0.7965</w:t>
            </w:r>
          </w:p>
        </w:tc>
        <w:tc>
          <w:tcPr>
            <w:tcW w:w="0" w:type="auto"/>
            <w:shd w:val="clear" w:color="auto" w:fill="auto"/>
            <w:noWrap/>
            <w:vAlign w:val="bottom"/>
            <w:hideMark/>
          </w:tcPr>
          <w:p w:rsidR="00F8021F" w:rsidRPr="00187B37" w:rsidRDefault="00F8021F" w:rsidP="00F8021F">
            <w:pPr>
              <w:jc w:val="center"/>
              <w:rPr>
                <w:rFonts w:ascii="Calibri" w:hAnsi="Calibri" w:cs="Calibri"/>
                <w:color w:val="000000"/>
              </w:rPr>
            </w:pPr>
            <w:r w:rsidRPr="00187B37">
              <w:rPr>
                <w:rFonts w:ascii="Calibri" w:hAnsi="Calibri" w:cs="Calibri"/>
                <w:color w:val="000000"/>
              </w:rPr>
              <w:t>0.7983</w:t>
            </w:r>
          </w:p>
        </w:tc>
      </w:tr>
    </w:tbl>
    <w:p w:rsidR="00F8021F" w:rsidRPr="00CD68B3" w:rsidRDefault="00CD68B3" w:rsidP="00F8021F">
      <w:pPr>
        <w:jc w:val="center"/>
        <w:rPr>
          <w:b/>
          <w:lang w:val="en-SG"/>
        </w:rPr>
      </w:pPr>
      <w:r w:rsidRPr="00CD68B3">
        <w:rPr>
          <w:b/>
          <w:lang w:val="en-SG"/>
        </w:rPr>
        <w:t>Figure 36</w:t>
      </w:r>
      <w:r w:rsidR="00F8021F" w:rsidRPr="00CD68B3">
        <w:rPr>
          <w:b/>
          <w:lang w:val="en-SG"/>
        </w:rPr>
        <w:t>: Coke Multi Step Ahead Out of Sample Forecast Results</w:t>
      </w:r>
    </w:p>
    <w:p w:rsidR="00F8021F" w:rsidRPr="008F11AC" w:rsidRDefault="00F8021F" w:rsidP="00F8021F">
      <w:pPr>
        <w:jc w:val="both"/>
        <w:rPr>
          <w:lang w:val="en-SG"/>
        </w:rPr>
      </w:pPr>
      <w:r w:rsidRPr="00CD68B3">
        <w:rPr>
          <w:lang w:val="en-SG"/>
        </w:rPr>
        <w:t xml:space="preserve">From the summary </w:t>
      </w:r>
      <w:r w:rsidR="00CD68B3" w:rsidRPr="00CD68B3">
        <w:rPr>
          <w:b/>
          <w:lang w:val="en-SG"/>
        </w:rPr>
        <w:t>Figure 36</w:t>
      </w:r>
      <w:r w:rsidRPr="00CD68B3">
        <w:rPr>
          <w:b/>
          <w:lang w:val="en-SG"/>
        </w:rPr>
        <w:t xml:space="preserve"> </w:t>
      </w:r>
      <w:r w:rsidRPr="00CD68B3">
        <w:rPr>
          <w:lang w:val="en-SG"/>
        </w:rPr>
        <w:t>we can see that the general patterns of all the assets are the same as that of COKE. AR-GJR-GARCH model, or say AR-GARCH type models, perform worst most of the time, and HS methods perform best, and the general patterns are quite scattered. The analysis can also follow that of</w:t>
      </w:r>
      <w:r>
        <w:rPr>
          <w:lang w:val="en-SG"/>
        </w:rPr>
        <w:t xml:space="preserve"> COKE’S part. </w:t>
      </w:r>
    </w:p>
    <w:tbl>
      <w:tblPr>
        <w:tblW w:w="0" w:type="auto"/>
        <w:tblBorders>
          <w:top w:val="single" w:sz="12" w:space="0" w:color="auto"/>
          <w:bottom w:val="single" w:sz="12" w:space="0" w:color="auto"/>
        </w:tblBorders>
        <w:tblLook w:val="04A0" w:firstRow="1" w:lastRow="0" w:firstColumn="1" w:lastColumn="0" w:noHBand="0" w:noVBand="1"/>
      </w:tblPr>
      <w:tblGrid>
        <w:gridCol w:w="832"/>
        <w:gridCol w:w="779"/>
        <w:gridCol w:w="939"/>
        <w:gridCol w:w="1439"/>
        <w:gridCol w:w="1880"/>
        <w:gridCol w:w="1180"/>
        <w:gridCol w:w="885"/>
        <w:gridCol w:w="889"/>
      </w:tblGrid>
      <w:tr w:rsidR="00F8021F" w:rsidRPr="00D733B7" w:rsidTr="00F8021F">
        <w:trPr>
          <w:trHeight w:val="285"/>
        </w:trPr>
        <w:tc>
          <w:tcPr>
            <w:tcW w:w="0" w:type="auto"/>
            <w:gridSpan w:val="8"/>
            <w:tcBorders>
              <w:top w:val="nil"/>
              <w:bottom w:val="single" w:sz="8" w:space="0" w:color="auto"/>
            </w:tcBorders>
            <w:shd w:val="clear" w:color="auto" w:fill="auto"/>
            <w:noWrap/>
            <w:vAlign w:val="bottom"/>
          </w:tcPr>
          <w:p w:rsidR="00F8021F" w:rsidRPr="00D733B7" w:rsidRDefault="00F8021F" w:rsidP="00F8021F">
            <w:pPr>
              <w:rPr>
                <w:rFonts w:ascii="Calibri" w:hAnsi="Calibri" w:cs="Calibri"/>
                <w:b/>
                <w:bCs/>
                <w:color w:val="000000"/>
              </w:rPr>
            </w:pPr>
            <w:r w:rsidRPr="0045720B">
              <w:rPr>
                <w:rFonts w:ascii="Calibri" w:hAnsi="Calibri" w:cs="Calibri"/>
                <w:b/>
                <w:bCs/>
                <w:color w:val="000000"/>
              </w:rPr>
              <w:t xml:space="preserve">Accuracy Measurement of </w:t>
            </w:r>
            <w:r>
              <w:rPr>
                <w:rFonts w:ascii="Calibri" w:hAnsi="Calibri" w:cs="Calibri"/>
                <w:b/>
                <w:bCs/>
                <w:color w:val="000000"/>
              </w:rPr>
              <w:t>COKE Multi Step A</w:t>
            </w:r>
            <w:r w:rsidRPr="0045720B">
              <w:rPr>
                <w:rFonts w:ascii="Calibri" w:hAnsi="Calibri" w:cs="Calibri"/>
                <w:b/>
                <w:bCs/>
                <w:color w:val="000000"/>
              </w:rPr>
              <w:t>head Forecast</w:t>
            </w:r>
          </w:p>
        </w:tc>
      </w:tr>
      <w:tr w:rsidR="00F8021F" w:rsidRPr="00D733B7" w:rsidTr="00F8021F">
        <w:trPr>
          <w:trHeight w:val="285"/>
        </w:trPr>
        <w:tc>
          <w:tcPr>
            <w:tcW w:w="0" w:type="auto"/>
            <w:tcBorders>
              <w:top w:val="single" w:sz="12" w:space="0" w:color="auto"/>
              <w:bottom w:val="single" w:sz="8" w:space="0" w:color="auto"/>
            </w:tcBorders>
            <w:shd w:val="clear" w:color="auto" w:fill="auto"/>
            <w:noWrap/>
            <w:vAlign w:val="bottom"/>
            <w:hideMark/>
          </w:tcPr>
          <w:p w:rsidR="00F8021F" w:rsidRPr="00D733B7" w:rsidRDefault="00F8021F" w:rsidP="00F8021F"/>
        </w:tc>
        <w:tc>
          <w:tcPr>
            <w:tcW w:w="0" w:type="auto"/>
            <w:tcBorders>
              <w:top w:val="single" w:sz="12" w:space="0" w:color="auto"/>
              <w:bottom w:val="single" w:sz="8" w:space="0" w:color="auto"/>
            </w:tcBorders>
            <w:shd w:val="clear" w:color="auto" w:fill="auto"/>
            <w:noWrap/>
            <w:vAlign w:val="bottom"/>
            <w:hideMark/>
          </w:tcPr>
          <w:p w:rsidR="00F8021F" w:rsidRPr="00D733B7" w:rsidRDefault="00F8021F" w:rsidP="00F8021F">
            <w:pPr>
              <w:rPr>
                <w:sz w:val="20"/>
                <w:szCs w:val="20"/>
              </w:rPr>
            </w:pPr>
          </w:p>
        </w:tc>
        <w:tc>
          <w:tcPr>
            <w:tcW w:w="0" w:type="auto"/>
            <w:tcBorders>
              <w:top w:val="single" w:sz="12" w:space="0" w:color="auto"/>
              <w:bottom w:val="single" w:sz="8" w:space="0" w:color="auto"/>
            </w:tcBorders>
            <w:shd w:val="clear" w:color="auto" w:fill="auto"/>
            <w:noWrap/>
            <w:vAlign w:val="bottom"/>
            <w:hideMark/>
          </w:tcPr>
          <w:p w:rsidR="00F8021F" w:rsidRPr="00D733B7" w:rsidRDefault="00F8021F" w:rsidP="00F8021F">
            <w:pPr>
              <w:rPr>
                <w:sz w:val="20"/>
                <w:szCs w:val="20"/>
              </w:rPr>
            </w:pPr>
          </w:p>
        </w:tc>
        <w:tc>
          <w:tcPr>
            <w:tcW w:w="0" w:type="auto"/>
            <w:tcBorders>
              <w:top w:val="single" w:sz="12" w:space="0" w:color="auto"/>
              <w:bottom w:val="single" w:sz="8" w:space="0" w:color="auto"/>
            </w:tcBorders>
            <w:shd w:val="clear" w:color="auto" w:fill="auto"/>
            <w:noWrap/>
            <w:vAlign w:val="bottom"/>
            <w:hideMark/>
          </w:tcPr>
          <w:p w:rsidR="00F8021F" w:rsidRPr="00D733B7" w:rsidRDefault="00F8021F" w:rsidP="00F8021F">
            <w:pPr>
              <w:jc w:val="center"/>
              <w:rPr>
                <w:rFonts w:ascii="Calibri" w:hAnsi="Calibri" w:cs="Calibri"/>
                <w:b/>
                <w:bCs/>
                <w:color w:val="000000"/>
              </w:rPr>
            </w:pPr>
            <w:r>
              <w:rPr>
                <w:rFonts w:ascii="Calibri" w:hAnsi="Calibri" w:cs="Calibri"/>
                <w:b/>
                <w:bCs/>
                <w:color w:val="000000"/>
              </w:rPr>
              <w:t>AR-GARCH</w:t>
            </w:r>
            <w:r w:rsidRPr="00D733B7">
              <w:rPr>
                <w:rFonts w:ascii="Calibri" w:hAnsi="Calibri" w:cs="Calibri"/>
                <w:b/>
                <w:bCs/>
                <w:color w:val="000000"/>
              </w:rPr>
              <w:t>-t</w:t>
            </w:r>
          </w:p>
        </w:tc>
        <w:tc>
          <w:tcPr>
            <w:tcW w:w="0" w:type="auto"/>
            <w:tcBorders>
              <w:top w:val="single" w:sz="12" w:space="0" w:color="auto"/>
              <w:bottom w:val="single" w:sz="8" w:space="0" w:color="auto"/>
            </w:tcBorders>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AR-GJR-GARCH</w:t>
            </w:r>
            <w:r>
              <w:rPr>
                <w:rFonts w:ascii="Calibri" w:hAnsi="Calibri" w:cs="Calibri"/>
                <w:b/>
                <w:bCs/>
                <w:color w:val="000000"/>
              </w:rPr>
              <w:t>-</w:t>
            </w:r>
            <w:r w:rsidRPr="00D733B7">
              <w:rPr>
                <w:rFonts w:ascii="Calibri" w:hAnsi="Calibri" w:cs="Calibri"/>
                <w:b/>
                <w:bCs/>
                <w:color w:val="000000"/>
              </w:rPr>
              <w:t>t</w:t>
            </w:r>
          </w:p>
        </w:tc>
        <w:tc>
          <w:tcPr>
            <w:tcW w:w="0" w:type="auto"/>
            <w:tcBorders>
              <w:top w:val="single" w:sz="12" w:space="0" w:color="auto"/>
              <w:bottom w:val="single" w:sz="8" w:space="0" w:color="auto"/>
            </w:tcBorders>
            <w:shd w:val="clear" w:color="auto" w:fill="auto"/>
            <w:noWrap/>
            <w:vAlign w:val="bottom"/>
            <w:hideMark/>
          </w:tcPr>
          <w:p w:rsidR="00F8021F" w:rsidRPr="00D733B7" w:rsidRDefault="00F8021F" w:rsidP="00F8021F">
            <w:pPr>
              <w:jc w:val="center"/>
              <w:rPr>
                <w:rFonts w:ascii="Calibri" w:hAnsi="Calibri" w:cs="Calibri"/>
                <w:b/>
                <w:bCs/>
                <w:color w:val="000000"/>
              </w:rPr>
            </w:pPr>
            <w:r>
              <w:rPr>
                <w:rFonts w:ascii="Calibri" w:hAnsi="Calibri" w:cs="Calibri"/>
                <w:b/>
                <w:bCs/>
                <w:color w:val="000000"/>
              </w:rPr>
              <w:t>IGARCH-g</w:t>
            </w:r>
          </w:p>
        </w:tc>
        <w:tc>
          <w:tcPr>
            <w:tcW w:w="0" w:type="auto"/>
            <w:tcBorders>
              <w:top w:val="single" w:sz="12" w:space="0" w:color="auto"/>
              <w:bottom w:val="single" w:sz="8" w:space="0" w:color="auto"/>
            </w:tcBorders>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HS-25</w:t>
            </w:r>
          </w:p>
        </w:tc>
        <w:tc>
          <w:tcPr>
            <w:tcW w:w="0" w:type="auto"/>
            <w:tcBorders>
              <w:top w:val="single" w:sz="12" w:space="0" w:color="auto"/>
              <w:bottom w:val="single" w:sz="8" w:space="0" w:color="auto"/>
            </w:tcBorders>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HS-5</w:t>
            </w:r>
          </w:p>
        </w:tc>
      </w:tr>
      <w:tr w:rsidR="00F8021F" w:rsidRPr="00D733B7" w:rsidTr="00F8021F">
        <w:trPr>
          <w:trHeight w:val="285"/>
        </w:trPr>
        <w:tc>
          <w:tcPr>
            <w:tcW w:w="0" w:type="auto"/>
            <w:vMerge w:val="restart"/>
            <w:tcBorders>
              <w:top w:val="single" w:sz="8" w:space="0" w:color="auto"/>
            </w:tcBorders>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COKE</w:t>
            </w:r>
          </w:p>
        </w:tc>
        <w:tc>
          <w:tcPr>
            <w:tcW w:w="0" w:type="auto"/>
            <w:vMerge w:val="restart"/>
            <w:tcBorders>
              <w:top w:val="single" w:sz="8" w:space="0" w:color="auto"/>
            </w:tcBorders>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RMSE</w:t>
            </w:r>
          </w:p>
        </w:tc>
        <w:tc>
          <w:tcPr>
            <w:tcW w:w="0" w:type="auto"/>
            <w:tcBorders>
              <w:top w:val="single" w:sz="8" w:space="0" w:color="auto"/>
            </w:tcBorders>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tcBorders>
              <w:top w:val="single" w:sz="8" w:space="0" w:color="auto"/>
            </w:tcBorders>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1.7841</w:t>
            </w:r>
          </w:p>
        </w:tc>
        <w:tc>
          <w:tcPr>
            <w:tcW w:w="0" w:type="auto"/>
            <w:tcBorders>
              <w:top w:val="single" w:sz="8" w:space="0" w:color="auto"/>
            </w:tcBorders>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1.9605</w:t>
            </w:r>
          </w:p>
        </w:tc>
        <w:tc>
          <w:tcPr>
            <w:tcW w:w="0" w:type="auto"/>
            <w:tcBorders>
              <w:top w:val="single" w:sz="8" w:space="0" w:color="auto"/>
            </w:tcBorders>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1.7799</w:t>
            </w:r>
          </w:p>
        </w:tc>
        <w:tc>
          <w:tcPr>
            <w:tcW w:w="0" w:type="auto"/>
            <w:tcBorders>
              <w:top w:val="single" w:sz="8" w:space="0" w:color="auto"/>
            </w:tcBorders>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1.6047</w:t>
            </w:r>
          </w:p>
        </w:tc>
        <w:tc>
          <w:tcPr>
            <w:tcW w:w="0" w:type="auto"/>
            <w:tcBorders>
              <w:top w:val="single" w:sz="8" w:space="0" w:color="auto"/>
            </w:tcBorders>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1.5848</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1.3343</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1.5001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1.3298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1.2188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1.2266</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1.3986</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1.5233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1.3956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1.3544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1.3777</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1.4572</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1.5488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1.4555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1.4653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1.4995</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MAD</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1.3996</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1.6264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1.3918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1.1032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1.0458</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0.9857</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1.2124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0.9771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0.7176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0.6879</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0.9512</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1.1582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0.9435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0.7441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0.7308</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0.9399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1.1253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0.9335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0.7965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0.7983</w:t>
            </w:r>
          </w:p>
        </w:tc>
      </w:tr>
      <w:tr w:rsidR="00F8021F" w:rsidRPr="00D733B7" w:rsidTr="00F8021F">
        <w:trPr>
          <w:trHeight w:val="285"/>
        </w:trPr>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MSFT</w:t>
            </w:r>
          </w:p>
        </w:tc>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RMSE</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1.3957</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1.4363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1.1540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1.1275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1.3132</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0.9869</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1.0413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0.6257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0.5809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0.8736</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1.0191</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1.0606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0.8121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0.8074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0.9355</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0.9161</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0.9633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0.6611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0.6509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0.8199</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MAD</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1.1788</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1.2236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0.8659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0.8163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1.0861</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0.9056</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0.9595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0.5165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0.4511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0.7944</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0.8495</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0.8990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0.5328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0.4956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0.7497</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0.8082</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0.8571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0.4881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0.4530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0.7088</w:t>
            </w:r>
          </w:p>
        </w:tc>
      </w:tr>
      <w:tr w:rsidR="00F8021F" w:rsidRPr="00D733B7" w:rsidTr="00F8021F">
        <w:trPr>
          <w:trHeight w:val="285"/>
        </w:trPr>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JNJ</w:t>
            </w:r>
          </w:p>
        </w:tc>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RMSE</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0.7472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0.7598</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0.8829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0.7689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1.4192</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0.5826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0.5955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0.7240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0.6039</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1.2887</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0.6089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0.6162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0.7080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0.6218</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1.2185</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0.6275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0.6337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0.7170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0.6385</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1.2122</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MAD</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0.6176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0.6336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0.7774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0.6458</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1.3302</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0.4209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0.4396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0.6021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0.4510</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1.2200</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0.3937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0.4080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0.5453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0.4179</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1.1274</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0.3947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0.4079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0.5388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0.4179</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1.1114</w:t>
            </w:r>
          </w:p>
        </w:tc>
      </w:tr>
      <w:tr w:rsidR="00F8021F" w:rsidRPr="00D733B7" w:rsidTr="00F8021F">
        <w:trPr>
          <w:trHeight w:val="285"/>
        </w:trPr>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MMM</w:t>
            </w:r>
          </w:p>
        </w:tc>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RMSE</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1.0964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0.9868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0.8813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0.8481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0.9712</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0.8397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0.6975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0.5472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0.4965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0.6760</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0.7990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0.6821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0.5777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0.5522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0.6647</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0.7760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0.6547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0.5436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0.5160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0.6360</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MAD</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0.9628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0.8364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0.7017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0.6519</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0.8179</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0.7776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0.6330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0.4746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0.4148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0.6125</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0.7080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0.5804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0.4473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0.4014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0.5621</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0.6960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0.5687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0.4345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0.3903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0.5492</w:t>
            </w:r>
          </w:p>
        </w:tc>
      </w:tr>
      <w:tr w:rsidR="00F8021F" w:rsidRPr="00D733B7" w:rsidTr="00F8021F">
        <w:trPr>
          <w:trHeight w:val="285"/>
        </w:trPr>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lastRenderedPageBreak/>
              <w:t>PTR</w:t>
            </w:r>
          </w:p>
        </w:tc>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RMSE</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1.6123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1.5747</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1.6384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1.3296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1.3271</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1.4734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1.4131</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1.5137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0.8830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0.8734</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1.2744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1.2282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1.3060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0.9156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0.9123</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1.3558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1.2985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1.3942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0.8206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0.8128</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restart"/>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MAD</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1</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1.4183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1.3788</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1.4454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1.0754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1.0705</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2</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1.3967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1.3353</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1.4376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0.8028</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0.7933</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3</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1.1266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1.0796</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1.1587</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0.7354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0.7305</w:t>
            </w:r>
          </w:p>
        </w:tc>
      </w:tr>
      <w:tr w:rsidR="00F8021F" w:rsidRPr="00D733B7" w:rsidTr="00F8021F">
        <w:trPr>
          <w:trHeight w:val="285"/>
        </w:trPr>
        <w:tc>
          <w:tcPr>
            <w:tcW w:w="0" w:type="auto"/>
            <w:vMerge/>
            <w:vAlign w:val="center"/>
            <w:hideMark/>
          </w:tcPr>
          <w:p w:rsidR="00F8021F" w:rsidRPr="00D733B7" w:rsidRDefault="00F8021F" w:rsidP="00F8021F">
            <w:pPr>
              <w:rPr>
                <w:rFonts w:ascii="Calibri" w:hAnsi="Calibri" w:cs="Calibri"/>
                <w:color w:val="000000"/>
              </w:rPr>
            </w:pPr>
          </w:p>
        </w:tc>
        <w:tc>
          <w:tcPr>
            <w:tcW w:w="0" w:type="auto"/>
            <w:vMerge/>
            <w:vAlign w:val="center"/>
            <w:hideMark/>
          </w:tcPr>
          <w:p w:rsidR="00F8021F" w:rsidRPr="00D733B7" w:rsidRDefault="00F8021F" w:rsidP="00F8021F">
            <w:pPr>
              <w:rPr>
                <w:rFonts w:ascii="Calibri" w:hAnsi="Calibri" w:cs="Calibri"/>
                <w:color w:val="000000"/>
              </w:rPr>
            </w:pP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Proxy 4</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1.2590</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1.2015</w:t>
            </w:r>
          </w:p>
        </w:tc>
        <w:tc>
          <w:tcPr>
            <w:tcW w:w="0" w:type="auto"/>
            <w:shd w:val="clear" w:color="auto" w:fill="auto"/>
            <w:noWrap/>
            <w:vAlign w:val="bottom"/>
            <w:hideMark/>
          </w:tcPr>
          <w:p w:rsidR="00F8021F" w:rsidRPr="00D733B7" w:rsidRDefault="00F8021F" w:rsidP="00F8021F">
            <w:pPr>
              <w:jc w:val="center"/>
              <w:rPr>
                <w:rFonts w:ascii="Calibri" w:hAnsi="Calibri" w:cs="Calibri"/>
                <w:b/>
                <w:bCs/>
                <w:color w:val="000000"/>
              </w:rPr>
            </w:pPr>
            <w:r w:rsidRPr="00D733B7">
              <w:rPr>
                <w:rFonts w:ascii="Calibri" w:hAnsi="Calibri" w:cs="Calibri"/>
                <w:b/>
                <w:bCs/>
                <w:color w:val="000000"/>
              </w:rPr>
              <w:t>1.2976</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rPr>
            </w:pPr>
            <w:r w:rsidRPr="00D733B7">
              <w:rPr>
                <w:rFonts w:ascii="Calibri" w:hAnsi="Calibri" w:cs="Calibri"/>
                <w:color w:val="000000"/>
              </w:rPr>
              <w:t>0.7285</w:t>
            </w:r>
          </w:p>
        </w:tc>
        <w:tc>
          <w:tcPr>
            <w:tcW w:w="0" w:type="auto"/>
            <w:shd w:val="clear" w:color="auto" w:fill="auto"/>
            <w:noWrap/>
            <w:vAlign w:val="bottom"/>
            <w:hideMark/>
          </w:tcPr>
          <w:p w:rsidR="00F8021F" w:rsidRPr="00D733B7" w:rsidRDefault="00F8021F" w:rsidP="00F8021F">
            <w:pPr>
              <w:jc w:val="center"/>
              <w:rPr>
                <w:rFonts w:ascii="Calibri" w:hAnsi="Calibri" w:cs="Calibri"/>
                <w:color w:val="000000"/>
                <w:u w:val="single"/>
              </w:rPr>
            </w:pPr>
            <w:r w:rsidRPr="00D733B7">
              <w:rPr>
                <w:rFonts w:ascii="Calibri" w:hAnsi="Calibri" w:cs="Calibri"/>
                <w:color w:val="000000"/>
                <w:u w:val="single"/>
              </w:rPr>
              <w:t>0.7206</w:t>
            </w:r>
          </w:p>
        </w:tc>
      </w:tr>
    </w:tbl>
    <w:p w:rsidR="00733F48" w:rsidRPr="00CD68B3" w:rsidRDefault="00CD68B3" w:rsidP="00CD68B3">
      <w:pPr>
        <w:jc w:val="center"/>
        <w:rPr>
          <w:b/>
          <w:lang w:val="en-SG"/>
        </w:rPr>
      </w:pPr>
      <w:r w:rsidRPr="00CD68B3">
        <w:rPr>
          <w:b/>
          <w:lang w:val="en-SG"/>
        </w:rPr>
        <w:t>Figure 37</w:t>
      </w:r>
      <w:r w:rsidR="00F8021F" w:rsidRPr="00CD68B3">
        <w:rPr>
          <w:b/>
          <w:lang w:val="en-SG"/>
        </w:rPr>
        <w:t>: All</w:t>
      </w:r>
      <w:r w:rsidR="00F8021F">
        <w:rPr>
          <w:b/>
          <w:lang w:val="en-SG"/>
        </w:rPr>
        <w:t xml:space="preserve"> Assets’ Multi</w:t>
      </w:r>
      <w:r w:rsidR="00F8021F" w:rsidRPr="00832936">
        <w:rPr>
          <w:b/>
          <w:lang w:val="en-SG"/>
        </w:rPr>
        <w:t xml:space="preserve"> Step Ahead </w:t>
      </w:r>
      <w:r w:rsidR="00F8021F">
        <w:rPr>
          <w:b/>
          <w:lang w:val="en-SG"/>
        </w:rPr>
        <w:t xml:space="preserve">Out of Sample Forecast </w:t>
      </w:r>
      <w:r w:rsidR="00F8021F" w:rsidRPr="00832936">
        <w:rPr>
          <w:b/>
          <w:lang w:val="en-SG"/>
        </w:rPr>
        <w:t>Results</w:t>
      </w:r>
    </w:p>
    <w:p w:rsidR="00683703" w:rsidRDefault="00683703" w:rsidP="00CD68B3">
      <w:pPr>
        <w:pStyle w:val="2"/>
        <w:numPr>
          <w:ilvl w:val="1"/>
          <w:numId w:val="1"/>
        </w:numPr>
        <w:rPr>
          <w:lang w:val="en-US"/>
        </w:rPr>
      </w:pPr>
      <w:r>
        <w:rPr>
          <w:lang w:val="en-US"/>
        </w:rPr>
        <w:t>VaR Forecasts and Accuracy</w:t>
      </w:r>
    </w:p>
    <w:p w:rsidR="00683703" w:rsidRDefault="00683703" w:rsidP="00683703">
      <w:pPr>
        <w:pStyle w:val="3"/>
        <w:numPr>
          <w:ilvl w:val="2"/>
          <w:numId w:val="1"/>
        </w:numPr>
        <w:rPr>
          <w:lang w:val="en-US"/>
        </w:rPr>
      </w:pPr>
      <w:r>
        <w:rPr>
          <w:lang w:val="en-US"/>
        </w:rPr>
        <w:t>One-Step Ahead VaR Forecasts</w:t>
      </w:r>
    </w:p>
    <w:p w:rsidR="00091B85" w:rsidRDefault="00091B85" w:rsidP="004A4D0B">
      <w:pPr>
        <w:rPr>
          <w:lang w:val="en-US"/>
        </w:rPr>
      </w:pPr>
      <w:r>
        <w:rPr>
          <w:lang w:val="en-US"/>
        </w:rPr>
        <w:t>VaR are forecasted under 5 models for all 5 assets, and several tests of violations</w:t>
      </w:r>
      <w:r w:rsidR="002D75E9">
        <w:rPr>
          <w:lang w:val="en-US"/>
        </w:rPr>
        <w:t xml:space="preserve"> (number of violations, violation rate, violation rate ratio)</w:t>
      </w:r>
      <w:r>
        <w:rPr>
          <w:lang w:val="en-US"/>
        </w:rPr>
        <w:t xml:space="preserve">, independence </w:t>
      </w:r>
      <w:r w:rsidR="002D75E9">
        <w:rPr>
          <w:lang w:val="en-US"/>
        </w:rPr>
        <w:t xml:space="preserve">(independence test, DQ test) </w:t>
      </w:r>
      <w:r>
        <w:rPr>
          <w:lang w:val="en-US"/>
        </w:rPr>
        <w:t>and loss function</w:t>
      </w:r>
      <w:r w:rsidR="002D75E9">
        <w:rPr>
          <w:lang w:val="en-US"/>
        </w:rPr>
        <w:t xml:space="preserve"> value</w:t>
      </w:r>
      <w:r>
        <w:rPr>
          <w:lang w:val="en-US"/>
        </w:rPr>
        <w:t xml:space="preserve"> are performed. Here, we illustrate MSFT in details.</w:t>
      </w:r>
    </w:p>
    <w:p w:rsidR="00091B85" w:rsidRDefault="00091B85" w:rsidP="004A4D0B">
      <w:pPr>
        <w:rPr>
          <w:lang w:val="en-US"/>
        </w:rPr>
      </w:pPr>
    </w:p>
    <w:p w:rsidR="003868D0" w:rsidRDefault="001D0F08" w:rsidP="003F5AFA">
      <w:pPr>
        <w:jc w:val="center"/>
        <w:rPr>
          <w:lang w:val="en-US"/>
        </w:rPr>
      </w:pPr>
      <w:r>
        <w:rPr>
          <w:noProof/>
          <w:lang w:val="en-US"/>
        </w:rPr>
        <w:drawing>
          <wp:inline distT="0" distB="0" distL="0" distR="0">
            <wp:extent cx="5727700" cy="2710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2710815"/>
                    </a:xfrm>
                    <a:prstGeom prst="rect">
                      <a:avLst/>
                    </a:prstGeom>
                  </pic:spPr>
                </pic:pic>
              </a:graphicData>
            </a:graphic>
          </wp:inline>
        </w:drawing>
      </w:r>
    </w:p>
    <w:p w:rsidR="003868D0" w:rsidRDefault="003868D0" w:rsidP="003868D0">
      <w:pPr>
        <w:jc w:val="center"/>
        <w:rPr>
          <w:lang w:val="en-US"/>
        </w:rPr>
      </w:pPr>
      <w:r w:rsidRPr="003868D0">
        <w:rPr>
          <w:b/>
          <w:lang w:val="en-US"/>
        </w:rPr>
        <w:t xml:space="preserve">Figure </w:t>
      </w:r>
      <w:r w:rsidR="00CD68B3">
        <w:rPr>
          <w:b/>
          <w:lang w:val="en-US"/>
        </w:rPr>
        <w:t>38</w:t>
      </w:r>
      <w:r w:rsidR="00270170">
        <w:rPr>
          <w:lang w:val="en-US"/>
        </w:rPr>
        <w:t>: VaR Forecasts at 5% for MSFT</w:t>
      </w:r>
    </w:p>
    <w:p w:rsidR="00EC7FCC" w:rsidRDefault="00EC7FCC" w:rsidP="003868D0">
      <w:pPr>
        <w:jc w:val="center"/>
        <w:rPr>
          <w:lang w:val="en-US"/>
        </w:rPr>
      </w:pPr>
    </w:p>
    <w:p w:rsidR="00EC7FCC" w:rsidRPr="00270170" w:rsidRDefault="00EC7FCC" w:rsidP="003868D0">
      <w:pPr>
        <w:jc w:val="center"/>
        <w:rPr>
          <w:lang w:val="en-US"/>
        </w:rPr>
      </w:pPr>
    </w:p>
    <w:p w:rsidR="003868D0" w:rsidRDefault="003868D0" w:rsidP="003868D0">
      <w:pPr>
        <w:jc w:val="center"/>
        <w:rPr>
          <w:b/>
          <w:lang w:val="en-US"/>
        </w:rPr>
      </w:pPr>
    </w:p>
    <w:p w:rsidR="000B2241" w:rsidRPr="003868D0" w:rsidRDefault="001D0F08" w:rsidP="003868D0">
      <w:pPr>
        <w:jc w:val="center"/>
        <w:rPr>
          <w:b/>
          <w:lang w:val="en-US"/>
        </w:rPr>
      </w:pPr>
      <w:r>
        <w:rPr>
          <w:b/>
          <w:noProof/>
          <w:lang w:val="en-US"/>
        </w:rPr>
        <w:lastRenderedPageBreak/>
        <w:drawing>
          <wp:inline distT="0" distB="0" distL="0" distR="0">
            <wp:extent cx="5727700" cy="3055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0" cy="3055620"/>
                    </a:xfrm>
                    <a:prstGeom prst="rect">
                      <a:avLst/>
                    </a:prstGeom>
                  </pic:spPr>
                </pic:pic>
              </a:graphicData>
            </a:graphic>
          </wp:inline>
        </w:drawing>
      </w:r>
    </w:p>
    <w:p w:rsidR="003868D0" w:rsidRDefault="003868D0" w:rsidP="003868D0">
      <w:pPr>
        <w:jc w:val="center"/>
        <w:rPr>
          <w:lang w:val="en-US"/>
        </w:rPr>
      </w:pPr>
      <w:r w:rsidRPr="003868D0">
        <w:rPr>
          <w:b/>
          <w:lang w:val="en-US"/>
        </w:rPr>
        <w:t xml:space="preserve">Figure </w:t>
      </w:r>
      <w:r w:rsidR="00CD68B3">
        <w:rPr>
          <w:b/>
          <w:lang w:val="en-US"/>
        </w:rPr>
        <w:t>39</w:t>
      </w:r>
      <w:r w:rsidR="00270170">
        <w:rPr>
          <w:lang w:val="en-US"/>
        </w:rPr>
        <w:t>: Violation at 5% for MSFT</w:t>
      </w:r>
    </w:p>
    <w:p w:rsidR="00AA788D" w:rsidRDefault="00AA788D" w:rsidP="003868D0">
      <w:pPr>
        <w:jc w:val="center"/>
        <w:rPr>
          <w:lang w:val="en-US"/>
        </w:rPr>
      </w:pPr>
    </w:p>
    <w:p w:rsidR="00AA788D" w:rsidRDefault="00AA788D" w:rsidP="003868D0">
      <w:pPr>
        <w:jc w:val="center"/>
        <w:rPr>
          <w:lang w:val="en-US"/>
        </w:rPr>
      </w:pPr>
    </w:p>
    <w:p w:rsidR="00AA788D" w:rsidRDefault="00AA788D" w:rsidP="003868D0">
      <w:pPr>
        <w:jc w:val="center"/>
        <w:rPr>
          <w:lang w:val="en-US"/>
        </w:rPr>
      </w:pPr>
    </w:p>
    <w:p w:rsidR="00AA788D" w:rsidRPr="00270170" w:rsidRDefault="00AA788D" w:rsidP="003868D0">
      <w:pPr>
        <w:jc w:val="center"/>
        <w:rPr>
          <w:lang w:val="en-US"/>
        </w:rPr>
      </w:pPr>
    </w:p>
    <w:p w:rsidR="003868D0" w:rsidRDefault="003868D0" w:rsidP="003868D0">
      <w:pPr>
        <w:jc w:val="center"/>
        <w:rPr>
          <w:b/>
          <w:lang w:val="en-US"/>
        </w:rPr>
      </w:pPr>
    </w:p>
    <w:tbl>
      <w:tblPr>
        <w:tblW w:w="9980" w:type="dxa"/>
        <w:tblLook w:val="04A0" w:firstRow="1" w:lastRow="0" w:firstColumn="1" w:lastColumn="0" w:noHBand="0" w:noVBand="1"/>
      </w:tblPr>
      <w:tblGrid>
        <w:gridCol w:w="1568"/>
        <w:gridCol w:w="1383"/>
        <w:gridCol w:w="1383"/>
        <w:gridCol w:w="1383"/>
        <w:gridCol w:w="1383"/>
        <w:gridCol w:w="992"/>
        <w:gridCol w:w="908"/>
        <w:gridCol w:w="1048"/>
      </w:tblGrid>
      <w:tr w:rsidR="00280EA1" w:rsidRPr="00280EA1" w:rsidTr="00280EA1">
        <w:trPr>
          <w:trHeight w:val="980"/>
        </w:trPr>
        <w:tc>
          <w:tcPr>
            <w:tcW w:w="1568" w:type="dxa"/>
            <w:tcBorders>
              <w:top w:val="nil"/>
              <w:left w:val="nil"/>
              <w:bottom w:val="single" w:sz="8" w:space="0" w:color="auto"/>
              <w:right w:val="nil"/>
            </w:tcBorders>
            <w:shd w:val="clear" w:color="auto" w:fill="auto"/>
            <w:noWrap/>
            <w:vAlign w:val="center"/>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MSFT</w:t>
            </w:r>
          </w:p>
        </w:tc>
        <w:tc>
          <w:tcPr>
            <w:tcW w:w="1372"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-5</w:t>
            </w:r>
          </w:p>
        </w:tc>
        <w:tc>
          <w:tcPr>
            <w:tcW w:w="1372"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-10</w:t>
            </w:r>
          </w:p>
        </w:tc>
        <w:tc>
          <w:tcPr>
            <w:tcW w:w="1372"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-5</w:t>
            </w:r>
          </w:p>
        </w:tc>
        <w:tc>
          <w:tcPr>
            <w:tcW w:w="1372"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-10</w:t>
            </w:r>
          </w:p>
        </w:tc>
        <w:tc>
          <w:tcPr>
            <w:tcW w:w="968"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IGARCH</w:t>
            </w:r>
          </w:p>
        </w:tc>
        <w:tc>
          <w:tcPr>
            <w:tcW w:w="908"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HS25</w:t>
            </w:r>
          </w:p>
        </w:tc>
        <w:tc>
          <w:tcPr>
            <w:tcW w:w="1048"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HS5</w:t>
            </w:r>
          </w:p>
        </w:tc>
      </w:tr>
      <w:tr w:rsidR="00280EA1" w:rsidRPr="00280EA1" w:rsidTr="00280EA1">
        <w:trPr>
          <w:trHeight w:val="320"/>
        </w:trPr>
        <w:tc>
          <w:tcPr>
            <w:tcW w:w="1568"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No of Viols</w:t>
            </w:r>
          </w:p>
        </w:tc>
        <w:tc>
          <w:tcPr>
            <w:tcW w:w="1372"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38</w:t>
            </w:r>
          </w:p>
        </w:tc>
        <w:tc>
          <w:tcPr>
            <w:tcW w:w="1372"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30</w:t>
            </w:r>
          </w:p>
        </w:tc>
        <w:tc>
          <w:tcPr>
            <w:tcW w:w="1372"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37</w:t>
            </w:r>
          </w:p>
        </w:tc>
        <w:tc>
          <w:tcPr>
            <w:tcW w:w="1372"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30</w:t>
            </w:r>
          </w:p>
        </w:tc>
        <w:tc>
          <w:tcPr>
            <w:tcW w:w="96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37</w:t>
            </w:r>
          </w:p>
        </w:tc>
        <w:tc>
          <w:tcPr>
            <w:tcW w:w="90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55</w:t>
            </w:r>
          </w:p>
        </w:tc>
        <w:tc>
          <w:tcPr>
            <w:tcW w:w="104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156</w:t>
            </w:r>
          </w:p>
        </w:tc>
      </w:tr>
      <w:tr w:rsidR="00280EA1" w:rsidRPr="00280EA1" w:rsidTr="00280EA1">
        <w:trPr>
          <w:trHeight w:val="320"/>
        </w:trPr>
        <w:tc>
          <w:tcPr>
            <w:tcW w:w="1568"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p>
        </w:tc>
        <w:tc>
          <w:tcPr>
            <w:tcW w:w="1372"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0.05</w:t>
            </w:r>
          </w:p>
        </w:tc>
        <w:tc>
          <w:tcPr>
            <w:tcW w:w="1372"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0.04</w:t>
            </w:r>
          </w:p>
        </w:tc>
        <w:tc>
          <w:tcPr>
            <w:tcW w:w="137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0.04</w:t>
            </w:r>
          </w:p>
        </w:tc>
        <w:tc>
          <w:tcPr>
            <w:tcW w:w="1372" w:type="dxa"/>
            <w:tcBorders>
              <w:top w:val="nil"/>
              <w:left w:val="nil"/>
              <w:bottom w:val="nil"/>
              <w:right w:val="nil"/>
            </w:tcBorders>
            <w:shd w:val="clear" w:color="auto" w:fill="auto"/>
            <w:noWrap/>
            <w:vAlign w:val="bottom"/>
            <w:hideMark/>
          </w:tcPr>
          <w:p w:rsidR="00280EA1" w:rsidRPr="00784374" w:rsidRDefault="00280EA1" w:rsidP="00280EA1">
            <w:pPr>
              <w:jc w:val="center"/>
              <w:rPr>
                <w:rFonts w:ascii="Calibri" w:hAnsi="Calibri" w:cs="Calibri"/>
                <w:b/>
                <w:color w:val="000000"/>
              </w:rPr>
            </w:pPr>
            <w:r w:rsidRPr="00784374">
              <w:rPr>
                <w:rFonts w:ascii="Calibri" w:hAnsi="Calibri" w:cs="Calibri"/>
                <w:b/>
                <w:color w:val="000000"/>
              </w:rPr>
              <w:t>0.04</w:t>
            </w:r>
          </w:p>
        </w:tc>
        <w:tc>
          <w:tcPr>
            <w:tcW w:w="96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0.04</w:t>
            </w:r>
          </w:p>
        </w:tc>
        <w:tc>
          <w:tcPr>
            <w:tcW w:w="90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0.07</w:t>
            </w:r>
          </w:p>
        </w:tc>
        <w:tc>
          <w:tcPr>
            <w:tcW w:w="104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0.19</w:t>
            </w:r>
          </w:p>
        </w:tc>
      </w:tr>
      <w:tr w:rsidR="00280EA1" w:rsidRPr="00280EA1" w:rsidTr="00280EA1">
        <w:trPr>
          <w:trHeight w:val="340"/>
        </w:trPr>
        <w:tc>
          <w:tcPr>
            <w:tcW w:w="1568"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r w:rsidRPr="00280EA1">
              <w:rPr>
                <w:rFonts w:ascii="Calibri" w:hAnsi="Calibri" w:cs="Calibri"/>
                <w:b/>
                <w:bCs/>
                <w:color w:val="000000"/>
              </w:rPr>
              <w:t xml:space="preserve"> Ratio</w:t>
            </w:r>
          </w:p>
        </w:tc>
        <w:tc>
          <w:tcPr>
            <w:tcW w:w="1372"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0.90</w:t>
            </w:r>
          </w:p>
        </w:tc>
        <w:tc>
          <w:tcPr>
            <w:tcW w:w="1372"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0.71</w:t>
            </w:r>
          </w:p>
        </w:tc>
        <w:tc>
          <w:tcPr>
            <w:tcW w:w="1372"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0.88</w:t>
            </w:r>
          </w:p>
        </w:tc>
        <w:tc>
          <w:tcPr>
            <w:tcW w:w="1372"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0.71</w:t>
            </w:r>
          </w:p>
        </w:tc>
        <w:tc>
          <w:tcPr>
            <w:tcW w:w="96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0.88</w:t>
            </w:r>
          </w:p>
        </w:tc>
        <w:tc>
          <w:tcPr>
            <w:tcW w:w="90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1.31</w:t>
            </w:r>
          </w:p>
        </w:tc>
        <w:tc>
          <w:tcPr>
            <w:tcW w:w="104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3.71</w:t>
            </w:r>
          </w:p>
        </w:tc>
      </w:tr>
      <w:tr w:rsidR="00280EA1" w:rsidRPr="00280EA1" w:rsidTr="00280EA1">
        <w:trPr>
          <w:trHeight w:val="320"/>
        </w:trPr>
        <w:tc>
          <w:tcPr>
            <w:tcW w:w="1568"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CI</w:t>
            </w:r>
            <w:r w:rsidR="00784374">
              <w:rPr>
                <w:rFonts w:ascii="Calibri" w:hAnsi="Calibri" w:cs="Calibri"/>
                <w:b/>
                <w:bCs/>
                <w:color w:val="000000"/>
              </w:rPr>
              <w:t xml:space="preserve"> </w:t>
            </w:r>
          </w:p>
        </w:tc>
        <w:tc>
          <w:tcPr>
            <w:tcW w:w="8412" w:type="dxa"/>
            <w:gridSpan w:val="7"/>
            <w:tcBorders>
              <w:top w:val="nil"/>
              <w:left w:val="nil"/>
              <w:bottom w:val="nil"/>
              <w:right w:val="nil"/>
            </w:tcBorders>
            <w:shd w:val="clear" w:color="auto" w:fill="auto"/>
            <w:noWrap/>
            <w:vAlign w:val="bottom"/>
            <w:hideMark/>
          </w:tcPr>
          <w:p w:rsidR="00280EA1" w:rsidRPr="00280EA1" w:rsidRDefault="00784374" w:rsidP="00784374">
            <w:pPr>
              <w:rPr>
                <w:rFonts w:ascii="Calibri" w:hAnsi="Calibri" w:cs="Calibri"/>
                <w:color w:val="000000"/>
              </w:rPr>
            </w:pPr>
            <w:r>
              <w:rPr>
                <w:rFonts w:ascii="Calibri" w:hAnsi="Calibri" w:cs="Calibri"/>
                <w:color w:val="000000"/>
              </w:rPr>
              <w:t xml:space="preserve">       OK                     </w:t>
            </w:r>
            <w:proofErr w:type="spellStart"/>
            <w:r w:rsidRPr="0052132A">
              <w:rPr>
                <w:rFonts w:ascii="Calibri" w:hAnsi="Calibri" w:cs="Calibri"/>
                <w:b/>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sidRPr="0052132A">
              <w:rPr>
                <w:rFonts w:ascii="Calibri" w:hAnsi="Calibri" w:cs="Calibri"/>
                <w:b/>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NO            </w:t>
            </w:r>
            <w:proofErr w:type="spellStart"/>
            <w:r>
              <w:rPr>
                <w:rFonts w:ascii="Calibri" w:hAnsi="Calibri" w:cs="Calibri"/>
                <w:color w:val="000000"/>
              </w:rPr>
              <w:t>NO</w:t>
            </w:r>
            <w:proofErr w:type="spellEnd"/>
          </w:p>
        </w:tc>
      </w:tr>
      <w:tr w:rsidR="00280EA1" w:rsidRPr="00280EA1" w:rsidTr="00280EA1">
        <w:trPr>
          <w:trHeight w:val="320"/>
        </w:trPr>
        <w:tc>
          <w:tcPr>
            <w:tcW w:w="1568"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Ind</w:t>
            </w:r>
            <w:proofErr w:type="spellEnd"/>
            <w:r w:rsidRPr="00280EA1">
              <w:rPr>
                <w:rFonts w:ascii="Calibri" w:hAnsi="Calibri" w:cs="Calibri"/>
                <w:b/>
                <w:bCs/>
                <w:color w:val="000000"/>
              </w:rPr>
              <w:t xml:space="preserve"> Test</w:t>
            </w:r>
          </w:p>
        </w:tc>
        <w:tc>
          <w:tcPr>
            <w:tcW w:w="137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c>
          <w:tcPr>
            <w:tcW w:w="137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0.03</w:t>
            </w:r>
          </w:p>
        </w:tc>
        <w:tc>
          <w:tcPr>
            <w:tcW w:w="1372"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0.1</w:t>
            </w:r>
            <w:r w:rsidR="00280EA1" w:rsidRPr="00280EA1">
              <w:rPr>
                <w:rFonts w:ascii="Calibri" w:hAnsi="Calibri" w:cs="Calibri"/>
                <w:color w:val="000000"/>
              </w:rPr>
              <w:t>0</w:t>
            </w:r>
          </w:p>
        </w:tc>
        <w:tc>
          <w:tcPr>
            <w:tcW w:w="1372"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0.4</w:t>
            </w:r>
            <w:r w:rsidR="00280EA1" w:rsidRPr="00280EA1">
              <w:rPr>
                <w:rFonts w:ascii="Calibri" w:hAnsi="Calibri" w:cs="Calibri"/>
                <w:color w:val="000000"/>
              </w:rPr>
              <w:t>0</w:t>
            </w:r>
          </w:p>
        </w:tc>
        <w:tc>
          <w:tcPr>
            <w:tcW w:w="96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c>
          <w:tcPr>
            <w:tcW w:w="908"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0.73</w:t>
            </w:r>
          </w:p>
        </w:tc>
        <w:tc>
          <w:tcPr>
            <w:tcW w:w="104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0.71</w:t>
            </w:r>
          </w:p>
        </w:tc>
      </w:tr>
      <w:tr w:rsidR="00280EA1" w:rsidRPr="00280EA1" w:rsidTr="00280EA1">
        <w:trPr>
          <w:trHeight w:val="320"/>
        </w:trPr>
        <w:tc>
          <w:tcPr>
            <w:tcW w:w="1568" w:type="dxa"/>
            <w:tcBorders>
              <w:top w:val="nil"/>
              <w:left w:val="nil"/>
              <w:bottom w:val="nil"/>
              <w:right w:val="nil"/>
            </w:tcBorders>
            <w:shd w:val="clear" w:color="auto" w:fill="auto"/>
            <w:noWrap/>
            <w:vAlign w:val="bottom"/>
            <w:hideMark/>
          </w:tcPr>
          <w:p w:rsidR="00280EA1" w:rsidRPr="00280EA1" w:rsidRDefault="006F1182" w:rsidP="00280EA1">
            <w:pPr>
              <w:rPr>
                <w:rFonts w:ascii="Calibri" w:hAnsi="Calibri" w:cs="Calibri"/>
                <w:b/>
                <w:bCs/>
                <w:color w:val="000000"/>
              </w:rPr>
            </w:pPr>
            <w:r>
              <w:rPr>
                <w:rFonts w:ascii="Calibri" w:hAnsi="Calibri" w:cs="Calibri"/>
                <w:b/>
                <w:bCs/>
                <w:color w:val="000000"/>
              </w:rPr>
              <w:t>DQ</w:t>
            </w:r>
            <w:r w:rsidR="00280EA1" w:rsidRPr="00280EA1">
              <w:rPr>
                <w:rFonts w:ascii="Calibri" w:hAnsi="Calibri" w:cs="Calibri"/>
                <w:b/>
                <w:bCs/>
                <w:color w:val="000000"/>
              </w:rPr>
              <w:t xml:space="preserve"> Test</w:t>
            </w:r>
          </w:p>
        </w:tc>
        <w:tc>
          <w:tcPr>
            <w:tcW w:w="137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0.01</w:t>
            </w:r>
          </w:p>
        </w:tc>
        <w:tc>
          <w:tcPr>
            <w:tcW w:w="137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0.13</w:t>
            </w:r>
          </w:p>
        </w:tc>
        <w:tc>
          <w:tcPr>
            <w:tcW w:w="1372"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0.17</w:t>
            </w:r>
          </w:p>
        </w:tc>
        <w:tc>
          <w:tcPr>
            <w:tcW w:w="1372" w:type="dxa"/>
            <w:tcBorders>
              <w:top w:val="nil"/>
              <w:left w:val="nil"/>
              <w:bottom w:val="nil"/>
              <w:right w:val="nil"/>
            </w:tcBorders>
            <w:shd w:val="clear" w:color="auto" w:fill="auto"/>
            <w:noWrap/>
            <w:vAlign w:val="bottom"/>
            <w:hideMark/>
          </w:tcPr>
          <w:p w:rsidR="00280EA1" w:rsidRPr="0052132A" w:rsidRDefault="000678FF" w:rsidP="00280EA1">
            <w:pPr>
              <w:jc w:val="center"/>
              <w:rPr>
                <w:rFonts w:ascii="Calibri" w:hAnsi="Calibri" w:cs="Calibri"/>
                <w:b/>
                <w:color w:val="000000"/>
              </w:rPr>
            </w:pPr>
            <w:r w:rsidRPr="0052132A">
              <w:rPr>
                <w:rFonts w:ascii="Calibri" w:hAnsi="Calibri" w:cs="Calibri"/>
                <w:b/>
                <w:color w:val="000000"/>
              </w:rPr>
              <w:t>0.19</w:t>
            </w:r>
          </w:p>
        </w:tc>
        <w:tc>
          <w:tcPr>
            <w:tcW w:w="96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c>
          <w:tcPr>
            <w:tcW w:w="90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c>
          <w:tcPr>
            <w:tcW w:w="1048"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r>
      <w:tr w:rsidR="00280EA1" w:rsidRPr="00280EA1" w:rsidTr="00280EA1">
        <w:trPr>
          <w:trHeight w:val="340"/>
        </w:trPr>
        <w:tc>
          <w:tcPr>
            <w:tcW w:w="1568" w:type="dxa"/>
            <w:tcBorders>
              <w:top w:val="nil"/>
              <w:left w:val="nil"/>
              <w:bottom w:val="single" w:sz="8" w:space="0" w:color="auto"/>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Loss Function</w:t>
            </w:r>
          </w:p>
        </w:tc>
        <w:tc>
          <w:tcPr>
            <w:tcW w:w="1372"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139.27</w:t>
            </w:r>
          </w:p>
        </w:tc>
        <w:tc>
          <w:tcPr>
            <w:tcW w:w="1372"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138.42</w:t>
            </w:r>
          </w:p>
        </w:tc>
        <w:tc>
          <w:tcPr>
            <w:tcW w:w="1372" w:type="dxa"/>
            <w:tcBorders>
              <w:top w:val="nil"/>
              <w:left w:val="nil"/>
              <w:bottom w:val="single" w:sz="8" w:space="0" w:color="auto"/>
              <w:right w:val="nil"/>
            </w:tcBorders>
            <w:shd w:val="clear" w:color="auto" w:fill="auto"/>
            <w:noWrap/>
            <w:vAlign w:val="bottom"/>
            <w:hideMark/>
          </w:tcPr>
          <w:p w:rsidR="00280EA1" w:rsidRPr="0052132A" w:rsidRDefault="000678FF" w:rsidP="00280EA1">
            <w:pPr>
              <w:jc w:val="center"/>
              <w:rPr>
                <w:rFonts w:ascii="Calibri" w:hAnsi="Calibri" w:cs="Calibri"/>
                <w:b/>
                <w:color w:val="000000"/>
              </w:rPr>
            </w:pPr>
            <w:r w:rsidRPr="0052132A">
              <w:rPr>
                <w:rFonts w:ascii="Calibri" w:hAnsi="Calibri" w:cs="Calibri"/>
                <w:b/>
                <w:color w:val="000000"/>
              </w:rPr>
              <w:t>137.3</w:t>
            </w:r>
            <w:r w:rsidR="00280EA1" w:rsidRPr="0052132A">
              <w:rPr>
                <w:rFonts w:ascii="Calibri" w:hAnsi="Calibri" w:cs="Calibri"/>
                <w:b/>
                <w:color w:val="000000"/>
              </w:rPr>
              <w:t>1</w:t>
            </w:r>
          </w:p>
        </w:tc>
        <w:tc>
          <w:tcPr>
            <w:tcW w:w="1372" w:type="dxa"/>
            <w:tcBorders>
              <w:top w:val="nil"/>
              <w:left w:val="nil"/>
              <w:bottom w:val="single" w:sz="8" w:space="0" w:color="auto"/>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138.1</w:t>
            </w:r>
            <w:r w:rsidR="00280EA1" w:rsidRPr="00280EA1">
              <w:rPr>
                <w:rFonts w:ascii="Calibri" w:hAnsi="Calibri" w:cs="Calibri"/>
                <w:color w:val="000000"/>
              </w:rPr>
              <w:t>1</w:t>
            </w:r>
          </w:p>
        </w:tc>
        <w:tc>
          <w:tcPr>
            <w:tcW w:w="968"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140.33</w:t>
            </w:r>
          </w:p>
        </w:tc>
        <w:tc>
          <w:tcPr>
            <w:tcW w:w="908"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149.83</w:t>
            </w:r>
          </w:p>
        </w:tc>
        <w:tc>
          <w:tcPr>
            <w:tcW w:w="1048"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187.15</w:t>
            </w:r>
          </w:p>
        </w:tc>
      </w:tr>
    </w:tbl>
    <w:p w:rsidR="00280EA1" w:rsidRDefault="00280EA1" w:rsidP="003868D0">
      <w:pPr>
        <w:jc w:val="center"/>
        <w:rPr>
          <w:b/>
          <w:lang w:val="en-US"/>
        </w:rPr>
      </w:pPr>
    </w:p>
    <w:p w:rsidR="003868D0" w:rsidRPr="00270170" w:rsidRDefault="003868D0" w:rsidP="003868D0">
      <w:pPr>
        <w:jc w:val="center"/>
        <w:rPr>
          <w:lang w:val="en-US"/>
        </w:rPr>
      </w:pPr>
      <w:r>
        <w:rPr>
          <w:b/>
          <w:lang w:val="en-US"/>
        </w:rPr>
        <w:t>Table 51</w:t>
      </w:r>
      <w:r w:rsidR="00270170">
        <w:rPr>
          <w:lang w:val="en-US"/>
        </w:rPr>
        <w:t>: Tests for MSFT</w:t>
      </w:r>
    </w:p>
    <w:p w:rsidR="003868D0" w:rsidRDefault="003868D0" w:rsidP="004A4D0B">
      <w:pPr>
        <w:rPr>
          <w:lang w:val="en-US"/>
        </w:rPr>
      </w:pPr>
    </w:p>
    <w:p w:rsidR="00091B85" w:rsidRDefault="00091B85" w:rsidP="004A4D0B">
      <w:pPr>
        <w:rPr>
          <w:lang w:val="en-US"/>
        </w:rPr>
      </w:pPr>
      <w:r w:rsidRPr="002D5950">
        <w:rPr>
          <w:b/>
          <w:lang w:val="en-US"/>
        </w:rPr>
        <w:t xml:space="preserve">Figure </w:t>
      </w:r>
      <w:r w:rsidR="00CD68B3">
        <w:rPr>
          <w:b/>
          <w:lang w:val="en-US"/>
        </w:rPr>
        <w:t>38</w:t>
      </w:r>
      <w:r w:rsidR="004A4D0B" w:rsidRPr="004A4D0B">
        <w:rPr>
          <w:lang w:val="en-US"/>
        </w:rPr>
        <w:t xml:space="preserve"> shows the forecast</w:t>
      </w:r>
      <w:r>
        <w:rPr>
          <w:lang w:val="en-US"/>
        </w:rPr>
        <w:t>s</w:t>
      </w:r>
      <w:r w:rsidR="004A4D0B" w:rsidRPr="004A4D0B">
        <w:rPr>
          <w:lang w:val="en-US"/>
        </w:rPr>
        <w:t xml:space="preserve"> of VaR under four models</w:t>
      </w:r>
      <w:r>
        <w:rPr>
          <w:lang w:val="en-US"/>
        </w:rPr>
        <w:t xml:space="preserve"> for MSFT compared with </w:t>
      </w:r>
      <w:r w:rsidR="00D23DC4">
        <w:rPr>
          <w:lang w:val="en-US"/>
        </w:rPr>
        <w:t>its</w:t>
      </w:r>
      <w:r>
        <w:rPr>
          <w:lang w:val="en-US"/>
        </w:rPr>
        <w:t xml:space="preserve"> observed log returns</w:t>
      </w:r>
      <w:r w:rsidR="004A4D0B" w:rsidRPr="004A4D0B">
        <w:rPr>
          <w:lang w:val="en-US"/>
        </w:rPr>
        <w:t xml:space="preserve">. </w:t>
      </w:r>
      <w:r w:rsidRPr="002D5950">
        <w:rPr>
          <w:b/>
          <w:lang w:val="en-US"/>
        </w:rPr>
        <w:t xml:space="preserve">Figure </w:t>
      </w:r>
      <w:r w:rsidR="00CD68B3">
        <w:rPr>
          <w:b/>
          <w:lang w:val="en-US"/>
        </w:rPr>
        <w:t>39</w:t>
      </w:r>
      <w:r>
        <w:rPr>
          <w:lang w:val="en-US"/>
        </w:rPr>
        <w:t xml:space="preserve"> shows the violations of the VaR forecasts.</w:t>
      </w:r>
      <w:r w:rsidR="009F37B6">
        <w:rPr>
          <w:lang w:val="en-US"/>
        </w:rPr>
        <w:t xml:space="preserve"> </w:t>
      </w:r>
      <w:r w:rsidR="009F37B6" w:rsidRPr="002D5950">
        <w:rPr>
          <w:b/>
          <w:lang w:val="en-US"/>
        </w:rPr>
        <w:t xml:space="preserve">Table </w:t>
      </w:r>
      <w:r w:rsidR="00CD68B3">
        <w:rPr>
          <w:b/>
          <w:lang w:val="en-US"/>
        </w:rPr>
        <w:t>38</w:t>
      </w:r>
      <w:r w:rsidR="009F37B6">
        <w:rPr>
          <w:lang w:val="en-US"/>
        </w:rPr>
        <w:t xml:space="preserve"> is a summary of the tests performed for the VaR forecasts.</w:t>
      </w:r>
    </w:p>
    <w:p w:rsidR="00091B85" w:rsidRDefault="00091B85" w:rsidP="004A4D0B">
      <w:pPr>
        <w:rPr>
          <w:lang w:val="en-US"/>
        </w:rPr>
      </w:pPr>
    </w:p>
    <w:p w:rsidR="006676B0" w:rsidRDefault="003D1608" w:rsidP="004A4D0B">
      <w:pPr>
        <w:rPr>
          <w:lang w:val="en-US"/>
        </w:rPr>
      </w:pPr>
      <w:r>
        <w:rPr>
          <w:lang w:val="en-US"/>
        </w:rPr>
        <w:t xml:space="preserve">As can be seen from </w:t>
      </w:r>
      <w:r w:rsidRPr="003D1608">
        <w:rPr>
          <w:b/>
          <w:lang w:val="en-US"/>
        </w:rPr>
        <w:t xml:space="preserve">Figure </w:t>
      </w:r>
      <w:r w:rsidR="00CD68B3">
        <w:rPr>
          <w:b/>
          <w:lang w:val="en-US"/>
        </w:rPr>
        <w:t>39</w:t>
      </w:r>
      <w:r>
        <w:rPr>
          <w:lang w:val="en-US"/>
        </w:rPr>
        <w:t xml:space="preserve">, </w:t>
      </w:r>
      <w:r w:rsidR="004E0284">
        <w:rPr>
          <w:lang w:val="en-US"/>
        </w:rPr>
        <w:t>the HS 5 model seems to be most volatile. It has the similar shape with the log return series, which is the model itself is trying to reflect the most recent information quickly</w:t>
      </w:r>
      <w:r w:rsidR="00E678A2">
        <w:rPr>
          <w:lang w:val="en-US"/>
        </w:rPr>
        <w:t>. However, it performs the worst in terms of both violation tests and loss function value, which reflects that actually HS 5 is not tracking dynamic risk well just by employing the most recent information. On the contrary</w:t>
      </w:r>
      <w:r w:rsidR="00C92650">
        <w:rPr>
          <w:lang w:val="en-US"/>
        </w:rPr>
        <w:t xml:space="preserve">, IGARCH </w:t>
      </w:r>
      <w:r w:rsidR="0037296B">
        <w:rPr>
          <w:lang w:val="en-US"/>
        </w:rPr>
        <w:t xml:space="preserve">is </w:t>
      </w:r>
      <w:r w:rsidR="00C92650">
        <w:rPr>
          <w:lang w:val="en-US"/>
        </w:rPr>
        <w:t>show</w:t>
      </w:r>
      <w:r w:rsidR="0037296B">
        <w:rPr>
          <w:lang w:val="en-US"/>
        </w:rPr>
        <w:t>n</w:t>
      </w:r>
      <w:r w:rsidR="00C92650">
        <w:rPr>
          <w:lang w:val="en-US"/>
        </w:rPr>
        <w:t xml:space="preserve"> to be the most stable one as it does not have significant response to the extreme shocks compared to other models, however, the performance of it in terms of violation rates is intermediate. The </w:t>
      </w:r>
      <w:r w:rsidR="00C92650">
        <w:rPr>
          <w:lang w:val="en-US"/>
        </w:rPr>
        <w:lastRenderedPageBreak/>
        <w:t xml:space="preserve">violation rate of 0.04 is in between the confidence interval between 0.0353 and 0.0647, thus it is acceptable. The other two GARCH-type models show similar </w:t>
      </w:r>
      <w:r w:rsidR="005275CE">
        <w:rPr>
          <w:lang w:val="en-US"/>
        </w:rPr>
        <w:t>results</w:t>
      </w:r>
      <w:r w:rsidR="00C92650">
        <w:rPr>
          <w:lang w:val="en-US"/>
        </w:rPr>
        <w:t>.</w:t>
      </w:r>
    </w:p>
    <w:p w:rsidR="0037296B" w:rsidRDefault="0037296B" w:rsidP="004A4D0B">
      <w:pPr>
        <w:rPr>
          <w:lang w:val="en-US"/>
        </w:rPr>
      </w:pPr>
      <w:r>
        <w:rPr>
          <w:lang w:val="en-US"/>
        </w:rPr>
        <w:t xml:space="preserve">From </w:t>
      </w:r>
      <w:r w:rsidRPr="0037296B">
        <w:rPr>
          <w:b/>
          <w:lang w:val="en-US"/>
        </w:rPr>
        <w:t xml:space="preserve">Figure </w:t>
      </w:r>
      <w:r w:rsidR="00CD68B3">
        <w:rPr>
          <w:b/>
          <w:lang w:val="en-US"/>
        </w:rPr>
        <w:t>39</w:t>
      </w:r>
      <w:r>
        <w:rPr>
          <w:lang w:val="en-US"/>
        </w:rPr>
        <w:t xml:space="preserve">, most of the violations are from HS 5 model as we discussed (156 observations as shown in </w:t>
      </w:r>
      <w:r w:rsidRPr="0037296B">
        <w:rPr>
          <w:b/>
          <w:lang w:val="en-US"/>
        </w:rPr>
        <w:t xml:space="preserve">Table </w:t>
      </w:r>
      <w:r w:rsidR="00CD68B3">
        <w:rPr>
          <w:b/>
          <w:lang w:val="en-US"/>
        </w:rPr>
        <w:t>38</w:t>
      </w:r>
      <w:r>
        <w:rPr>
          <w:lang w:val="en-US"/>
        </w:rPr>
        <w:t>)</w:t>
      </w:r>
      <w:r w:rsidR="008C2AFE">
        <w:rPr>
          <w:lang w:val="en-US"/>
        </w:rPr>
        <w:t>.</w:t>
      </w:r>
      <w:r w:rsidR="00483BC6">
        <w:rPr>
          <w:lang w:val="en-US"/>
        </w:rPr>
        <w:t xml:space="preserve"> Also, all model perform well under period when the volatility is low</w:t>
      </w:r>
      <w:r w:rsidR="008741DE">
        <w:rPr>
          <w:lang w:val="en-US"/>
        </w:rPr>
        <w:t>, however, during the February of 2018 when the market was volatile, the models had significantly more violations.</w:t>
      </w:r>
    </w:p>
    <w:p w:rsidR="006676B0" w:rsidRDefault="006676B0" w:rsidP="004A4D0B">
      <w:pPr>
        <w:rPr>
          <w:lang w:val="en-US"/>
        </w:rPr>
      </w:pPr>
    </w:p>
    <w:p w:rsidR="00086F9B" w:rsidRDefault="00483BC6" w:rsidP="004A4D0B">
      <w:pPr>
        <w:rPr>
          <w:lang w:val="en-US"/>
        </w:rPr>
      </w:pPr>
      <w:r>
        <w:rPr>
          <w:lang w:val="en-US"/>
        </w:rPr>
        <w:t>In terms of violation rates compared to Confidence Interval, w</w:t>
      </w:r>
      <w:r w:rsidR="00086F9B" w:rsidRPr="00086F9B">
        <w:rPr>
          <w:lang w:val="en-US"/>
        </w:rPr>
        <w:t>e expect 95% CI of viol</w:t>
      </w:r>
      <w:r w:rsidR="00086F9B">
        <w:rPr>
          <w:lang w:val="en-US"/>
        </w:rPr>
        <w:t xml:space="preserve">ation rates to be </w:t>
      </w:r>
      <w:r w:rsidR="00402595">
        <w:rPr>
          <w:lang w:val="en-US"/>
        </w:rPr>
        <w:t xml:space="preserve">between 0.0307 and 0.0693 for the two GARCH models with degree of freedom of 5, between 0.0332 to 0.0668 for the two GARCH models with degree of freedom of 10, and </w:t>
      </w:r>
      <w:r w:rsidR="00086F9B">
        <w:rPr>
          <w:lang w:val="en-US"/>
        </w:rPr>
        <w:t>between 0.0353 and 0.0647</w:t>
      </w:r>
      <w:r w:rsidR="00402595">
        <w:rPr>
          <w:lang w:val="en-US"/>
        </w:rPr>
        <w:t xml:space="preserve"> for other models.</w:t>
      </w:r>
      <w:r>
        <w:rPr>
          <w:lang w:val="en-US"/>
        </w:rPr>
        <w:t xml:space="preserve"> All GARCH type models yield results in the interval, however, the 2 HS models do not, which means they underestimate the risks.</w:t>
      </w:r>
    </w:p>
    <w:p w:rsidR="008741DE" w:rsidRDefault="008741DE" w:rsidP="004A4D0B">
      <w:pPr>
        <w:rPr>
          <w:lang w:val="en-US"/>
        </w:rPr>
      </w:pPr>
    </w:p>
    <w:p w:rsidR="008741DE" w:rsidRDefault="008741DE" w:rsidP="004A4D0B">
      <w:pPr>
        <w:rPr>
          <w:lang w:val="en-US"/>
        </w:rPr>
      </w:pPr>
      <w:r>
        <w:rPr>
          <w:lang w:val="en-US"/>
        </w:rPr>
        <w:t xml:space="preserve">The AR(1)-GARCH(1,1) and IGARCH model fails the independence test, which infers that they are not quite reasonable fit. If using more strict DQ test, the 2 HS models are also rejected. Additionally, AR(1)-GJR-GARCH(1,1) model has the lowest loss function, which shows that it is the model to be most close to true </w:t>
      </w:r>
      <w:proofErr w:type="spellStart"/>
      <w:r>
        <w:rPr>
          <w:lang w:val="en-US"/>
        </w:rPr>
        <w:t>VaR.</w:t>
      </w:r>
      <w:proofErr w:type="spellEnd"/>
    </w:p>
    <w:p w:rsidR="008741DE" w:rsidRDefault="008741DE" w:rsidP="004A4D0B">
      <w:pPr>
        <w:rPr>
          <w:lang w:val="en-US"/>
        </w:rPr>
      </w:pPr>
    </w:p>
    <w:p w:rsidR="00086F9B" w:rsidRDefault="008741DE" w:rsidP="004A4D0B">
      <w:pPr>
        <w:rPr>
          <w:lang w:val="en-US"/>
        </w:rPr>
      </w:pPr>
      <w:r>
        <w:rPr>
          <w:lang w:val="en-US"/>
        </w:rPr>
        <w:t>Overall, the AR(1)-GJR-GARCH(1,1) model is proved to be the best model forecasting VaR, regarding to all our criteria. It has the lowest violations, it also passed both independence test and DQ test, and it has the lowest loss function.</w:t>
      </w:r>
    </w:p>
    <w:p w:rsidR="00277D31" w:rsidRDefault="00277D31" w:rsidP="00277D31">
      <w:pPr>
        <w:rPr>
          <w:lang w:val="en-US"/>
        </w:rPr>
      </w:pPr>
    </w:p>
    <w:p w:rsidR="00AF19EF" w:rsidRDefault="00AF19EF" w:rsidP="00091B85">
      <w:pPr>
        <w:rPr>
          <w:lang w:val="en-US"/>
        </w:rPr>
      </w:pPr>
    </w:p>
    <w:p w:rsidR="00AF19EF" w:rsidRDefault="00AF19EF" w:rsidP="00091B85">
      <w:pPr>
        <w:rPr>
          <w:lang w:val="en-US"/>
        </w:rPr>
      </w:pPr>
    </w:p>
    <w:tbl>
      <w:tblPr>
        <w:tblW w:w="10072" w:type="dxa"/>
        <w:tblLook w:val="04A0" w:firstRow="1" w:lastRow="0" w:firstColumn="1" w:lastColumn="0" w:noHBand="0" w:noVBand="1"/>
      </w:tblPr>
      <w:tblGrid>
        <w:gridCol w:w="1576"/>
        <w:gridCol w:w="1383"/>
        <w:gridCol w:w="1383"/>
        <w:gridCol w:w="1383"/>
        <w:gridCol w:w="1383"/>
        <w:gridCol w:w="992"/>
        <w:gridCol w:w="916"/>
        <w:gridCol w:w="1056"/>
      </w:tblGrid>
      <w:tr w:rsidR="00280EA1" w:rsidRPr="00280EA1" w:rsidTr="00784374">
        <w:trPr>
          <w:trHeight w:val="980"/>
        </w:trPr>
        <w:tc>
          <w:tcPr>
            <w:tcW w:w="1576" w:type="dxa"/>
            <w:tcBorders>
              <w:top w:val="nil"/>
              <w:left w:val="nil"/>
              <w:bottom w:val="single" w:sz="8" w:space="0" w:color="auto"/>
              <w:right w:val="nil"/>
            </w:tcBorders>
            <w:shd w:val="clear" w:color="auto" w:fill="auto"/>
            <w:noWrap/>
            <w:vAlign w:val="center"/>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JNJ</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-5</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-10</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-5</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-10</w:t>
            </w:r>
          </w:p>
        </w:tc>
        <w:tc>
          <w:tcPr>
            <w:tcW w:w="992"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IGARCH</w:t>
            </w:r>
          </w:p>
        </w:tc>
        <w:tc>
          <w:tcPr>
            <w:tcW w:w="916"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HS25</w:t>
            </w:r>
          </w:p>
        </w:tc>
        <w:tc>
          <w:tcPr>
            <w:tcW w:w="1056"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HS5</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No of Viols</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44</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38</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49</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42</w:t>
            </w:r>
          </w:p>
        </w:tc>
        <w:tc>
          <w:tcPr>
            <w:tcW w:w="992" w:type="dxa"/>
            <w:tcBorders>
              <w:top w:val="nil"/>
              <w:left w:val="nil"/>
              <w:bottom w:val="nil"/>
              <w:right w:val="nil"/>
            </w:tcBorders>
            <w:shd w:val="clear" w:color="auto" w:fill="auto"/>
            <w:noWrap/>
            <w:vAlign w:val="bottom"/>
            <w:hideMark/>
          </w:tcPr>
          <w:p w:rsidR="00280EA1" w:rsidRPr="00784374" w:rsidRDefault="00280EA1" w:rsidP="00280EA1">
            <w:pPr>
              <w:jc w:val="center"/>
              <w:rPr>
                <w:rFonts w:ascii="Calibri" w:hAnsi="Calibri" w:cs="Calibri"/>
                <w:b/>
                <w:color w:val="000000"/>
              </w:rPr>
            </w:pPr>
            <w:r w:rsidRPr="00784374">
              <w:rPr>
                <w:rFonts w:ascii="Calibri" w:hAnsi="Calibri" w:cs="Calibri"/>
                <w:b/>
                <w:color w:val="000000"/>
              </w:rPr>
              <w:t>37</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55</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129</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0.05</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0.05</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0.06</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0.05</w:t>
            </w:r>
          </w:p>
        </w:tc>
        <w:tc>
          <w:tcPr>
            <w:tcW w:w="992" w:type="dxa"/>
            <w:tcBorders>
              <w:top w:val="nil"/>
              <w:left w:val="nil"/>
              <w:bottom w:val="nil"/>
              <w:right w:val="nil"/>
            </w:tcBorders>
            <w:shd w:val="clear" w:color="auto" w:fill="auto"/>
            <w:noWrap/>
            <w:vAlign w:val="bottom"/>
            <w:hideMark/>
          </w:tcPr>
          <w:p w:rsidR="00280EA1" w:rsidRPr="00784374" w:rsidRDefault="00280EA1" w:rsidP="00280EA1">
            <w:pPr>
              <w:jc w:val="center"/>
              <w:rPr>
                <w:rFonts w:ascii="Calibri" w:hAnsi="Calibri" w:cs="Calibri"/>
                <w:b/>
                <w:color w:val="000000"/>
              </w:rPr>
            </w:pPr>
            <w:r w:rsidRPr="00784374">
              <w:rPr>
                <w:rFonts w:ascii="Calibri" w:hAnsi="Calibri" w:cs="Calibri"/>
                <w:b/>
                <w:color w:val="000000"/>
              </w:rPr>
              <w:t>0.04</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0.07</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0.15</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r w:rsidRPr="00280EA1">
              <w:rPr>
                <w:rFonts w:ascii="Calibri" w:hAnsi="Calibri" w:cs="Calibri"/>
                <w:b/>
                <w:bCs/>
                <w:color w:val="000000"/>
              </w:rPr>
              <w:t xml:space="preserve"> Ratio</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1.05</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0.90</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1.17</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1.00</w:t>
            </w:r>
          </w:p>
        </w:tc>
        <w:tc>
          <w:tcPr>
            <w:tcW w:w="992" w:type="dxa"/>
            <w:tcBorders>
              <w:top w:val="nil"/>
              <w:left w:val="nil"/>
              <w:bottom w:val="nil"/>
              <w:right w:val="nil"/>
            </w:tcBorders>
            <w:shd w:val="clear" w:color="auto" w:fill="auto"/>
            <w:noWrap/>
            <w:vAlign w:val="bottom"/>
            <w:hideMark/>
          </w:tcPr>
          <w:p w:rsidR="00280EA1" w:rsidRPr="00784374" w:rsidRDefault="00280EA1" w:rsidP="00280EA1">
            <w:pPr>
              <w:jc w:val="center"/>
              <w:rPr>
                <w:rFonts w:ascii="Calibri" w:hAnsi="Calibri" w:cs="Calibri"/>
                <w:b/>
                <w:color w:val="000000"/>
              </w:rPr>
            </w:pPr>
            <w:r w:rsidRPr="00784374">
              <w:rPr>
                <w:rFonts w:ascii="Calibri" w:hAnsi="Calibri" w:cs="Calibri"/>
                <w:b/>
                <w:color w:val="000000"/>
              </w:rPr>
              <w:t>0.88</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1.31</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3.07</w:t>
            </w:r>
          </w:p>
        </w:tc>
      </w:tr>
      <w:tr w:rsidR="00784374" w:rsidRPr="00280EA1" w:rsidTr="00784374">
        <w:trPr>
          <w:trHeight w:val="340"/>
        </w:trPr>
        <w:tc>
          <w:tcPr>
            <w:tcW w:w="1576" w:type="dxa"/>
            <w:tcBorders>
              <w:top w:val="nil"/>
              <w:left w:val="nil"/>
              <w:bottom w:val="nil"/>
              <w:right w:val="nil"/>
            </w:tcBorders>
            <w:shd w:val="clear" w:color="auto" w:fill="auto"/>
            <w:noWrap/>
            <w:vAlign w:val="bottom"/>
            <w:hideMark/>
          </w:tcPr>
          <w:p w:rsidR="00784374" w:rsidRPr="00280EA1" w:rsidRDefault="00784374" w:rsidP="00784374">
            <w:pPr>
              <w:rPr>
                <w:rFonts w:ascii="Calibri" w:hAnsi="Calibri" w:cs="Calibri"/>
                <w:b/>
                <w:bCs/>
                <w:color w:val="000000"/>
              </w:rPr>
            </w:pPr>
            <w:r w:rsidRPr="00280EA1">
              <w:rPr>
                <w:rFonts w:ascii="Calibri" w:hAnsi="Calibri" w:cs="Calibri"/>
                <w:b/>
                <w:bCs/>
                <w:color w:val="000000"/>
              </w:rPr>
              <w:t>CI</w:t>
            </w:r>
          </w:p>
        </w:tc>
        <w:tc>
          <w:tcPr>
            <w:tcW w:w="8496" w:type="dxa"/>
            <w:gridSpan w:val="7"/>
            <w:tcBorders>
              <w:top w:val="nil"/>
              <w:left w:val="nil"/>
              <w:bottom w:val="nil"/>
              <w:right w:val="nil"/>
            </w:tcBorders>
            <w:shd w:val="clear" w:color="auto" w:fill="auto"/>
            <w:noWrap/>
            <w:vAlign w:val="bottom"/>
            <w:hideMark/>
          </w:tcPr>
          <w:p w:rsidR="00784374" w:rsidRPr="00280EA1" w:rsidRDefault="00784374" w:rsidP="00784374">
            <w:pPr>
              <w:rPr>
                <w:rFonts w:ascii="Calibri" w:hAnsi="Calibri" w:cs="Calibri"/>
                <w:color w:val="000000"/>
              </w:rPr>
            </w:pPr>
            <w:r>
              <w:rPr>
                <w:rFonts w:ascii="Calibri" w:hAnsi="Calibri" w:cs="Calibri"/>
                <w:color w:val="000000"/>
              </w:rPr>
              <w:t xml:space="preserve">       OK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sidRPr="0052132A">
              <w:rPr>
                <w:rFonts w:ascii="Calibri" w:hAnsi="Calibri" w:cs="Calibri"/>
                <w:b/>
                <w:color w:val="000000"/>
              </w:rPr>
              <w:t>OK</w:t>
            </w:r>
            <w:proofErr w:type="spellEnd"/>
            <w:r>
              <w:rPr>
                <w:rFonts w:ascii="Calibri" w:hAnsi="Calibri" w:cs="Calibri"/>
                <w:color w:val="000000"/>
              </w:rPr>
              <w:t xml:space="preserve">            NO            </w:t>
            </w:r>
            <w:proofErr w:type="spellStart"/>
            <w:r>
              <w:rPr>
                <w:rFonts w:ascii="Calibri" w:hAnsi="Calibri" w:cs="Calibri"/>
                <w:color w:val="000000"/>
              </w:rPr>
              <w:t>NO</w:t>
            </w:r>
            <w:proofErr w:type="spellEnd"/>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Ind</w:t>
            </w:r>
            <w:proofErr w:type="spellEnd"/>
            <w:r w:rsidRPr="00280EA1">
              <w:rPr>
                <w:rFonts w:ascii="Calibri" w:hAnsi="Calibri" w:cs="Calibri"/>
                <w:b/>
                <w:bCs/>
                <w:color w:val="000000"/>
              </w:rPr>
              <w:t xml:space="preserve"> Test</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0.53</w:t>
            </w:r>
          </w:p>
        </w:tc>
        <w:tc>
          <w:tcPr>
            <w:tcW w:w="1383"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0.86</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0.38</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0.57</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0.77</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0.03</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0.47</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6F1182" w:rsidP="00280EA1">
            <w:pPr>
              <w:rPr>
                <w:rFonts w:ascii="Calibri" w:hAnsi="Calibri" w:cs="Calibri"/>
                <w:b/>
                <w:bCs/>
                <w:color w:val="000000"/>
              </w:rPr>
            </w:pPr>
            <w:r>
              <w:rPr>
                <w:rFonts w:ascii="Calibri" w:hAnsi="Calibri" w:cs="Calibri"/>
                <w:b/>
                <w:bCs/>
                <w:color w:val="000000"/>
              </w:rPr>
              <w:t>DQ</w:t>
            </w:r>
            <w:r w:rsidR="00280EA1" w:rsidRPr="00280EA1">
              <w:rPr>
                <w:rFonts w:ascii="Calibri" w:hAnsi="Calibri" w:cs="Calibri"/>
                <w:b/>
                <w:bCs/>
                <w:color w:val="000000"/>
              </w:rPr>
              <w:t xml:space="preserve"> Test</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0.61</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0.68</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0.67</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0.38</w:t>
            </w:r>
          </w:p>
        </w:tc>
        <w:tc>
          <w:tcPr>
            <w:tcW w:w="992"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0.75</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r>
      <w:tr w:rsidR="00280EA1" w:rsidRPr="00280EA1" w:rsidTr="00784374">
        <w:trPr>
          <w:trHeight w:val="340"/>
        </w:trPr>
        <w:tc>
          <w:tcPr>
            <w:tcW w:w="1576" w:type="dxa"/>
            <w:tcBorders>
              <w:top w:val="nil"/>
              <w:left w:val="nil"/>
              <w:bottom w:val="single" w:sz="8" w:space="0" w:color="auto"/>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Loss Function</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91.33</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91.35</w:t>
            </w:r>
          </w:p>
        </w:tc>
        <w:tc>
          <w:tcPr>
            <w:tcW w:w="1383" w:type="dxa"/>
            <w:tcBorders>
              <w:top w:val="nil"/>
              <w:left w:val="nil"/>
              <w:bottom w:val="single" w:sz="8" w:space="0" w:color="auto"/>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90.07</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90.20</w:t>
            </w:r>
          </w:p>
        </w:tc>
        <w:tc>
          <w:tcPr>
            <w:tcW w:w="992"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91.12</w:t>
            </w:r>
          </w:p>
        </w:tc>
        <w:tc>
          <w:tcPr>
            <w:tcW w:w="916"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93.03</w:t>
            </w:r>
          </w:p>
        </w:tc>
        <w:tc>
          <w:tcPr>
            <w:tcW w:w="1056"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121.51</w:t>
            </w:r>
          </w:p>
        </w:tc>
      </w:tr>
    </w:tbl>
    <w:p w:rsidR="00270170" w:rsidRDefault="00270170" w:rsidP="00091B85">
      <w:pPr>
        <w:rPr>
          <w:lang w:val="en-US"/>
        </w:rPr>
      </w:pPr>
    </w:p>
    <w:p w:rsidR="00270170" w:rsidRDefault="00CD68B3" w:rsidP="00270170">
      <w:pPr>
        <w:jc w:val="center"/>
        <w:rPr>
          <w:lang w:val="en-US"/>
        </w:rPr>
      </w:pPr>
      <w:r>
        <w:rPr>
          <w:b/>
          <w:lang w:val="en-US"/>
        </w:rPr>
        <w:t>Table 40</w:t>
      </w:r>
      <w:r w:rsidR="00270170">
        <w:rPr>
          <w:lang w:val="en-US"/>
        </w:rPr>
        <w:t>: Tests for JNJ</w:t>
      </w:r>
    </w:p>
    <w:p w:rsidR="00280EA1" w:rsidRDefault="00280EA1" w:rsidP="00270170">
      <w:pPr>
        <w:jc w:val="center"/>
        <w:rPr>
          <w:lang w:val="en-US"/>
        </w:rPr>
      </w:pPr>
    </w:p>
    <w:tbl>
      <w:tblPr>
        <w:tblW w:w="10072" w:type="dxa"/>
        <w:tblLook w:val="04A0" w:firstRow="1" w:lastRow="0" w:firstColumn="1" w:lastColumn="0" w:noHBand="0" w:noVBand="1"/>
      </w:tblPr>
      <w:tblGrid>
        <w:gridCol w:w="1576"/>
        <w:gridCol w:w="1383"/>
        <w:gridCol w:w="1383"/>
        <w:gridCol w:w="1383"/>
        <w:gridCol w:w="1383"/>
        <w:gridCol w:w="992"/>
        <w:gridCol w:w="916"/>
        <w:gridCol w:w="1056"/>
      </w:tblGrid>
      <w:tr w:rsidR="00280EA1" w:rsidRPr="00280EA1" w:rsidTr="00784374">
        <w:trPr>
          <w:trHeight w:val="980"/>
        </w:trPr>
        <w:tc>
          <w:tcPr>
            <w:tcW w:w="1576" w:type="dxa"/>
            <w:tcBorders>
              <w:top w:val="nil"/>
              <w:left w:val="nil"/>
              <w:bottom w:val="single" w:sz="8" w:space="0" w:color="auto"/>
              <w:right w:val="nil"/>
            </w:tcBorders>
            <w:shd w:val="clear" w:color="auto" w:fill="auto"/>
            <w:noWrap/>
            <w:vAlign w:val="center"/>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KO</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-5</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-10</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-5</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-10</w:t>
            </w:r>
          </w:p>
        </w:tc>
        <w:tc>
          <w:tcPr>
            <w:tcW w:w="992"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IGARCH</w:t>
            </w:r>
          </w:p>
        </w:tc>
        <w:tc>
          <w:tcPr>
            <w:tcW w:w="916"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HS25</w:t>
            </w:r>
          </w:p>
        </w:tc>
        <w:tc>
          <w:tcPr>
            <w:tcW w:w="1056"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HS5</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No of Viols</w:t>
            </w:r>
          </w:p>
        </w:tc>
        <w:tc>
          <w:tcPr>
            <w:tcW w:w="1383" w:type="dxa"/>
            <w:tcBorders>
              <w:top w:val="nil"/>
              <w:left w:val="nil"/>
              <w:bottom w:val="nil"/>
              <w:right w:val="nil"/>
            </w:tcBorders>
            <w:shd w:val="clear" w:color="auto" w:fill="auto"/>
            <w:noWrap/>
            <w:vAlign w:val="bottom"/>
            <w:hideMark/>
          </w:tcPr>
          <w:p w:rsidR="00280EA1" w:rsidRPr="00784374" w:rsidRDefault="00280EA1" w:rsidP="00280EA1">
            <w:pPr>
              <w:jc w:val="center"/>
              <w:rPr>
                <w:rFonts w:ascii="Calibri" w:hAnsi="Calibri" w:cs="Calibri"/>
                <w:b/>
                <w:color w:val="000000"/>
              </w:rPr>
            </w:pPr>
            <w:r w:rsidRPr="00784374">
              <w:rPr>
                <w:rFonts w:ascii="Calibri" w:hAnsi="Calibri" w:cs="Calibri"/>
                <w:b/>
                <w:color w:val="000000"/>
              </w:rPr>
              <w:t>5</w:t>
            </w:r>
          </w:p>
        </w:tc>
        <w:tc>
          <w:tcPr>
            <w:tcW w:w="1383" w:type="dxa"/>
            <w:tcBorders>
              <w:top w:val="nil"/>
              <w:left w:val="nil"/>
              <w:bottom w:val="nil"/>
              <w:right w:val="nil"/>
            </w:tcBorders>
            <w:shd w:val="clear" w:color="auto" w:fill="auto"/>
            <w:noWrap/>
            <w:vAlign w:val="bottom"/>
            <w:hideMark/>
          </w:tcPr>
          <w:p w:rsidR="00280EA1" w:rsidRPr="00784374" w:rsidRDefault="00280EA1" w:rsidP="00280EA1">
            <w:pPr>
              <w:jc w:val="center"/>
              <w:rPr>
                <w:rFonts w:ascii="Calibri" w:hAnsi="Calibri" w:cs="Calibri"/>
                <w:b/>
                <w:color w:val="000000"/>
              </w:rPr>
            </w:pPr>
            <w:r w:rsidRPr="00784374">
              <w:rPr>
                <w:rFonts w:ascii="Calibri" w:hAnsi="Calibri" w:cs="Calibri"/>
                <w:b/>
                <w:color w:val="000000"/>
              </w:rPr>
              <w:t>5</w:t>
            </w:r>
          </w:p>
        </w:tc>
        <w:tc>
          <w:tcPr>
            <w:tcW w:w="1383" w:type="dxa"/>
            <w:tcBorders>
              <w:top w:val="nil"/>
              <w:left w:val="nil"/>
              <w:bottom w:val="nil"/>
              <w:right w:val="nil"/>
            </w:tcBorders>
            <w:shd w:val="clear" w:color="auto" w:fill="auto"/>
            <w:noWrap/>
            <w:vAlign w:val="bottom"/>
            <w:hideMark/>
          </w:tcPr>
          <w:p w:rsidR="00280EA1" w:rsidRPr="00784374" w:rsidRDefault="00280EA1" w:rsidP="00280EA1">
            <w:pPr>
              <w:jc w:val="center"/>
              <w:rPr>
                <w:rFonts w:ascii="Calibri" w:hAnsi="Calibri" w:cs="Calibri"/>
                <w:b/>
                <w:color w:val="000000"/>
              </w:rPr>
            </w:pPr>
            <w:r w:rsidRPr="00784374">
              <w:rPr>
                <w:rFonts w:ascii="Calibri" w:hAnsi="Calibri" w:cs="Calibri"/>
                <w:b/>
                <w:color w:val="000000"/>
              </w:rPr>
              <w:t>5</w:t>
            </w:r>
          </w:p>
        </w:tc>
        <w:tc>
          <w:tcPr>
            <w:tcW w:w="1383" w:type="dxa"/>
            <w:tcBorders>
              <w:top w:val="nil"/>
              <w:left w:val="nil"/>
              <w:bottom w:val="nil"/>
              <w:right w:val="nil"/>
            </w:tcBorders>
            <w:shd w:val="clear" w:color="auto" w:fill="auto"/>
            <w:noWrap/>
            <w:vAlign w:val="bottom"/>
            <w:hideMark/>
          </w:tcPr>
          <w:p w:rsidR="00280EA1" w:rsidRPr="00784374" w:rsidRDefault="00280EA1" w:rsidP="00280EA1">
            <w:pPr>
              <w:jc w:val="center"/>
              <w:rPr>
                <w:rFonts w:ascii="Calibri" w:hAnsi="Calibri" w:cs="Calibri"/>
                <w:b/>
                <w:color w:val="000000"/>
              </w:rPr>
            </w:pPr>
            <w:r w:rsidRPr="00784374">
              <w:rPr>
                <w:rFonts w:ascii="Calibri" w:hAnsi="Calibri" w:cs="Calibri"/>
                <w:b/>
                <w:color w:val="000000"/>
              </w:rPr>
              <w:t>5</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47</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58</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142</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p>
        </w:tc>
        <w:tc>
          <w:tcPr>
            <w:tcW w:w="1383" w:type="dxa"/>
            <w:tcBorders>
              <w:top w:val="nil"/>
              <w:left w:val="nil"/>
              <w:bottom w:val="nil"/>
              <w:right w:val="nil"/>
            </w:tcBorders>
            <w:shd w:val="clear" w:color="auto" w:fill="auto"/>
            <w:noWrap/>
            <w:vAlign w:val="bottom"/>
            <w:hideMark/>
          </w:tcPr>
          <w:p w:rsidR="00280EA1" w:rsidRPr="00784374" w:rsidRDefault="00784374" w:rsidP="00280EA1">
            <w:pPr>
              <w:jc w:val="center"/>
              <w:rPr>
                <w:rFonts w:ascii="Calibri" w:hAnsi="Calibri" w:cs="Calibri"/>
                <w:b/>
                <w:color w:val="000000"/>
              </w:rPr>
            </w:pPr>
            <w:r>
              <w:rPr>
                <w:rFonts w:ascii="Calibri" w:hAnsi="Calibri" w:cs="Calibri"/>
                <w:b/>
                <w:color w:val="000000"/>
              </w:rPr>
              <w:t>0.01</w:t>
            </w:r>
          </w:p>
        </w:tc>
        <w:tc>
          <w:tcPr>
            <w:tcW w:w="1383" w:type="dxa"/>
            <w:tcBorders>
              <w:top w:val="nil"/>
              <w:left w:val="nil"/>
              <w:bottom w:val="nil"/>
              <w:right w:val="nil"/>
            </w:tcBorders>
            <w:shd w:val="clear" w:color="auto" w:fill="auto"/>
            <w:noWrap/>
            <w:vAlign w:val="bottom"/>
            <w:hideMark/>
          </w:tcPr>
          <w:p w:rsidR="00280EA1" w:rsidRPr="00784374" w:rsidRDefault="00784374" w:rsidP="00280EA1">
            <w:pPr>
              <w:jc w:val="center"/>
              <w:rPr>
                <w:rFonts w:ascii="Calibri" w:hAnsi="Calibri" w:cs="Calibri"/>
                <w:b/>
                <w:color w:val="000000"/>
              </w:rPr>
            </w:pPr>
            <w:r>
              <w:rPr>
                <w:rFonts w:ascii="Calibri" w:hAnsi="Calibri" w:cs="Calibri"/>
                <w:b/>
                <w:color w:val="000000"/>
              </w:rPr>
              <w:t>0.01</w:t>
            </w:r>
          </w:p>
        </w:tc>
        <w:tc>
          <w:tcPr>
            <w:tcW w:w="1383" w:type="dxa"/>
            <w:tcBorders>
              <w:top w:val="nil"/>
              <w:left w:val="nil"/>
              <w:bottom w:val="nil"/>
              <w:right w:val="nil"/>
            </w:tcBorders>
            <w:shd w:val="clear" w:color="auto" w:fill="auto"/>
            <w:noWrap/>
            <w:vAlign w:val="bottom"/>
            <w:hideMark/>
          </w:tcPr>
          <w:p w:rsidR="00280EA1" w:rsidRPr="00784374" w:rsidRDefault="00784374" w:rsidP="00280EA1">
            <w:pPr>
              <w:jc w:val="center"/>
              <w:rPr>
                <w:rFonts w:ascii="Calibri" w:hAnsi="Calibri" w:cs="Calibri"/>
                <w:b/>
                <w:color w:val="000000"/>
              </w:rPr>
            </w:pPr>
            <w:r>
              <w:rPr>
                <w:rFonts w:ascii="Calibri" w:hAnsi="Calibri" w:cs="Calibri"/>
                <w:b/>
                <w:color w:val="000000"/>
              </w:rPr>
              <w:t>0.01</w:t>
            </w:r>
          </w:p>
        </w:tc>
        <w:tc>
          <w:tcPr>
            <w:tcW w:w="1383" w:type="dxa"/>
            <w:tcBorders>
              <w:top w:val="nil"/>
              <w:left w:val="nil"/>
              <w:bottom w:val="nil"/>
              <w:right w:val="nil"/>
            </w:tcBorders>
            <w:shd w:val="clear" w:color="auto" w:fill="auto"/>
            <w:noWrap/>
            <w:vAlign w:val="bottom"/>
            <w:hideMark/>
          </w:tcPr>
          <w:p w:rsidR="00280EA1" w:rsidRPr="00784374" w:rsidRDefault="00784374" w:rsidP="00280EA1">
            <w:pPr>
              <w:jc w:val="center"/>
              <w:rPr>
                <w:rFonts w:ascii="Calibri" w:hAnsi="Calibri" w:cs="Calibri"/>
                <w:b/>
                <w:color w:val="000000"/>
              </w:rPr>
            </w:pPr>
            <w:r>
              <w:rPr>
                <w:rFonts w:ascii="Calibri" w:hAnsi="Calibri" w:cs="Calibri"/>
                <w:b/>
                <w:color w:val="000000"/>
              </w:rPr>
              <w:t>0.01</w:t>
            </w:r>
          </w:p>
        </w:tc>
        <w:tc>
          <w:tcPr>
            <w:tcW w:w="992" w:type="dxa"/>
            <w:tcBorders>
              <w:top w:val="nil"/>
              <w:left w:val="nil"/>
              <w:bottom w:val="nil"/>
              <w:right w:val="nil"/>
            </w:tcBorders>
            <w:shd w:val="clear" w:color="auto" w:fill="auto"/>
            <w:noWrap/>
            <w:vAlign w:val="bottom"/>
            <w:hideMark/>
          </w:tcPr>
          <w:p w:rsidR="00280EA1" w:rsidRPr="00280EA1" w:rsidRDefault="00784374" w:rsidP="00280EA1">
            <w:pPr>
              <w:jc w:val="center"/>
              <w:rPr>
                <w:rFonts w:ascii="Calibri" w:hAnsi="Calibri" w:cs="Calibri"/>
                <w:color w:val="000000"/>
              </w:rPr>
            </w:pPr>
            <w:r>
              <w:rPr>
                <w:rFonts w:ascii="Calibri" w:hAnsi="Calibri" w:cs="Calibri"/>
                <w:color w:val="000000"/>
              </w:rPr>
              <w:t>0.06</w:t>
            </w:r>
          </w:p>
        </w:tc>
        <w:tc>
          <w:tcPr>
            <w:tcW w:w="916" w:type="dxa"/>
            <w:tcBorders>
              <w:top w:val="nil"/>
              <w:left w:val="nil"/>
              <w:bottom w:val="nil"/>
              <w:right w:val="nil"/>
            </w:tcBorders>
            <w:shd w:val="clear" w:color="auto" w:fill="auto"/>
            <w:noWrap/>
            <w:vAlign w:val="bottom"/>
            <w:hideMark/>
          </w:tcPr>
          <w:p w:rsidR="00280EA1" w:rsidRPr="00280EA1" w:rsidRDefault="00784374" w:rsidP="00280EA1">
            <w:pPr>
              <w:jc w:val="center"/>
              <w:rPr>
                <w:rFonts w:ascii="Calibri" w:hAnsi="Calibri" w:cs="Calibri"/>
                <w:color w:val="000000"/>
              </w:rPr>
            </w:pPr>
            <w:r>
              <w:rPr>
                <w:rFonts w:ascii="Calibri" w:hAnsi="Calibri" w:cs="Calibri"/>
                <w:color w:val="000000"/>
              </w:rPr>
              <w:t>0.07</w:t>
            </w:r>
          </w:p>
        </w:tc>
        <w:tc>
          <w:tcPr>
            <w:tcW w:w="1056" w:type="dxa"/>
            <w:tcBorders>
              <w:top w:val="nil"/>
              <w:left w:val="nil"/>
              <w:bottom w:val="nil"/>
              <w:right w:val="nil"/>
            </w:tcBorders>
            <w:shd w:val="clear" w:color="auto" w:fill="auto"/>
            <w:noWrap/>
            <w:vAlign w:val="bottom"/>
            <w:hideMark/>
          </w:tcPr>
          <w:p w:rsidR="00280EA1" w:rsidRPr="00280EA1" w:rsidRDefault="00784374" w:rsidP="00280EA1">
            <w:pPr>
              <w:jc w:val="center"/>
              <w:rPr>
                <w:rFonts w:ascii="Calibri" w:hAnsi="Calibri" w:cs="Calibri"/>
                <w:color w:val="000000"/>
              </w:rPr>
            </w:pPr>
            <w:r>
              <w:rPr>
                <w:rFonts w:ascii="Calibri" w:hAnsi="Calibri" w:cs="Calibri"/>
                <w:color w:val="000000"/>
              </w:rPr>
              <w:t>0.17</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r w:rsidRPr="00280EA1">
              <w:rPr>
                <w:rFonts w:ascii="Calibri" w:hAnsi="Calibri" w:cs="Calibri"/>
                <w:b/>
                <w:bCs/>
                <w:color w:val="000000"/>
              </w:rPr>
              <w:t xml:space="preserve"> Ratio</w:t>
            </w:r>
          </w:p>
        </w:tc>
        <w:tc>
          <w:tcPr>
            <w:tcW w:w="1383" w:type="dxa"/>
            <w:tcBorders>
              <w:top w:val="nil"/>
              <w:left w:val="nil"/>
              <w:bottom w:val="nil"/>
              <w:right w:val="nil"/>
            </w:tcBorders>
            <w:shd w:val="clear" w:color="auto" w:fill="auto"/>
            <w:noWrap/>
            <w:vAlign w:val="bottom"/>
            <w:hideMark/>
          </w:tcPr>
          <w:p w:rsidR="00280EA1" w:rsidRPr="00784374" w:rsidRDefault="00784374" w:rsidP="00280EA1">
            <w:pPr>
              <w:jc w:val="center"/>
              <w:rPr>
                <w:rFonts w:ascii="Calibri" w:hAnsi="Calibri" w:cs="Calibri"/>
                <w:b/>
                <w:color w:val="000000"/>
              </w:rPr>
            </w:pPr>
            <w:r>
              <w:rPr>
                <w:rFonts w:ascii="Calibri" w:hAnsi="Calibri" w:cs="Calibri"/>
                <w:b/>
                <w:color w:val="000000"/>
              </w:rPr>
              <w:t>0.12</w:t>
            </w:r>
          </w:p>
        </w:tc>
        <w:tc>
          <w:tcPr>
            <w:tcW w:w="1383" w:type="dxa"/>
            <w:tcBorders>
              <w:top w:val="nil"/>
              <w:left w:val="nil"/>
              <w:bottom w:val="nil"/>
              <w:right w:val="nil"/>
            </w:tcBorders>
            <w:shd w:val="clear" w:color="auto" w:fill="auto"/>
            <w:noWrap/>
            <w:vAlign w:val="bottom"/>
            <w:hideMark/>
          </w:tcPr>
          <w:p w:rsidR="00280EA1" w:rsidRPr="00784374" w:rsidRDefault="00784374" w:rsidP="00280EA1">
            <w:pPr>
              <w:jc w:val="center"/>
              <w:rPr>
                <w:rFonts w:ascii="Calibri" w:hAnsi="Calibri" w:cs="Calibri"/>
                <w:b/>
                <w:color w:val="000000"/>
              </w:rPr>
            </w:pPr>
            <w:r>
              <w:rPr>
                <w:rFonts w:ascii="Calibri" w:hAnsi="Calibri" w:cs="Calibri"/>
                <w:b/>
                <w:color w:val="000000"/>
              </w:rPr>
              <w:t>0.12</w:t>
            </w:r>
          </w:p>
        </w:tc>
        <w:tc>
          <w:tcPr>
            <w:tcW w:w="1383" w:type="dxa"/>
            <w:tcBorders>
              <w:top w:val="nil"/>
              <w:left w:val="nil"/>
              <w:bottom w:val="nil"/>
              <w:right w:val="nil"/>
            </w:tcBorders>
            <w:shd w:val="clear" w:color="auto" w:fill="auto"/>
            <w:noWrap/>
            <w:vAlign w:val="bottom"/>
            <w:hideMark/>
          </w:tcPr>
          <w:p w:rsidR="00280EA1" w:rsidRPr="00784374" w:rsidRDefault="00784374" w:rsidP="00280EA1">
            <w:pPr>
              <w:jc w:val="center"/>
              <w:rPr>
                <w:rFonts w:ascii="Calibri" w:hAnsi="Calibri" w:cs="Calibri"/>
                <w:b/>
                <w:color w:val="000000"/>
              </w:rPr>
            </w:pPr>
            <w:r>
              <w:rPr>
                <w:rFonts w:ascii="Calibri" w:hAnsi="Calibri" w:cs="Calibri"/>
                <w:b/>
                <w:color w:val="000000"/>
              </w:rPr>
              <w:t>0.12</w:t>
            </w:r>
          </w:p>
        </w:tc>
        <w:tc>
          <w:tcPr>
            <w:tcW w:w="1383" w:type="dxa"/>
            <w:tcBorders>
              <w:top w:val="nil"/>
              <w:left w:val="nil"/>
              <w:bottom w:val="nil"/>
              <w:right w:val="nil"/>
            </w:tcBorders>
            <w:shd w:val="clear" w:color="auto" w:fill="auto"/>
            <w:noWrap/>
            <w:vAlign w:val="bottom"/>
            <w:hideMark/>
          </w:tcPr>
          <w:p w:rsidR="00280EA1" w:rsidRPr="00784374" w:rsidRDefault="00784374" w:rsidP="00280EA1">
            <w:pPr>
              <w:jc w:val="center"/>
              <w:rPr>
                <w:rFonts w:ascii="Calibri" w:hAnsi="Calibri" w:cs="Calibri"/>
                <w:b/>
                <w:color w:val="000000"/>
              </w:rPr>
            </w:pPr>
            <w:r>
              <w:rPr>
                <w:rFonts w:ascii="Calibri" w:hAnsi="Calibri" w:cs="Calibri"/>
                <w:b/>
                <w:color w:val="000000"/>
              </w:rPr>
              <w:t>0.12</w:t>
            </w:r>
          </w:p>
        </w:tc>
        <w:tc>
          <w:tcPr>
            <w:tcW w:w="992" w:type="dxa"/>
            <w:tcBorders>
              <w:top w:val="nil"/>
              <w:left w:val="nil"/>
              <w:bottom w:val="nil"/>
              <w:right w:val="nil"/>
            </w:tcBorders>
            <w:shd w:val="clear" w:color="auto" w:fill="auto"/>
            <w:noWrap/>
            <w:vAlign w:val="bottom"/>
            <w:hideMark/>
          </w:tcPr>
          <w:p w:rsidR="00280EA1" w:rsidRPr="00280EA1" w:rsidRDefault="00784374" w:rsidP="00280EA1">
            <w:pPr>
              <w:jc w:val="center"/>
              <w:rPr>
                <w:rFonts w:ascii="Calibri" w:hAnsi="Calibri" w:cs="Calibri"/>
                <w:color w:val="000000"/>
              </w:rPr>
            </w:pPr>
            <w:r>
              <w:rPr>
                <w:rFonts w:ascii="Calibri" w:hAnsi="Calibri" w:cs="Calibri"/>
                <w:color w:val="000000"/>
              </w:rPr>
              <w:t>1.12</w:t>
            </w:r>
          </w:p>
        </w:tc>
        <w:tc>
          <w:tcPr>
            <w:tcW w:w="916" w:type="dxa"/>
            <w:tcBorders>
              <w:top w:val="nil"/>
              <w:left w:val="nil"/>
              <w:bottom w:val="nil"/>
              <w:right w:val="nil"/>
            </w:tcBorders>
            <w:shd w:val="clear" w:color="auto" w:fill="auto"/>
            <w:noWrap/>
            <w:vAlign w:val="bottom"/>
            <w:hideMark/>
          </w:tcPr>
          <w:p w:rsidR="00280EA1" w:rsidRPr="00A836E3" w:rsidRDefault="00784374" w:rsidP="00280EA1">
            <w:pPr>
              <w:jc w:val="center"/>
              <w:rPr>
                <w:rFonts w:ascii="Calibri" w:hAnsi="Calibri" w:cs="Calibri"/>
                <w:color w:val="000000"/>
                <w:lang w:val="en-US"/>
              </w:rPr>
            </w:pPr>
            <w:r>
              <w:rPr>
                <w:rFonts w:ascii="Calibri" w:hAnsi="Calibri" w:cs="Calibri"/>
                <w:color w:val="000000"/>
              </w:rPr>
              <w:t>1.38</w:t>
            </w:r>
          </w:p>
        </w:tc>
        <w:tc>
          <w:tcPr>
            <w:tcW w:w="1056" w:type="dxa"/>
            <w:tcBorders>
              <w:top w:val="nil"/>
              <w:left w:val="nil"/>
              <w:bottom w:val="nil"/>
              <w:right w:val="nil"/>
            </w:tcBorders>
            <w:shd w:val="clear" w:color="auto" w:fill="auto"/>
            <w:noWrap/>
            <w:vAlign w:val="bottom"/>
            <w:hideMark/>
          </w:tcPr>
          <w:p w:rsidR="00280EA1" w:rsidRPr="00280EA1" w:rsidRDefault="00784374" w:rsidP="00280EA1">
            <w:pPr>
              <w:jc w:val="center"/>
              <w:rPr>
                <w:rFonts w:ascii="Calibri" w:hAnsi="Calibri" w:cs="Calibri"/>
                <w:color w:val="000000"/>
              </w:rPr>
            </w:pPr>
            <w:r>
              <w:rPr>
                <w:rFonts w:ascii="Calibri" w:hAnsi="Calibri" w:cs="Calibri"/>
                <w:color w:val="000000"/>
              </w:rPr>
              <w:t>3.38</w:t>
            </w:r>
          </w:p>
        </w:tc>
      </w:tr>
      <w:tr w:rsidR="00784374" w:rsidRPr="00280EA1" w:rsidTr="00784374">
        <w:trPr>
          <w:trHeight w:val="320"/>
        </w:trPr>
        <w:tc>
          <w:tcPr>
            <w:tcW w:w="1576" w:type="dxa"/>
            <w:tcBorders>
              <w:top w:val="nil"/>
              <w:left w:val="nil"/>
              <w:bottom w:val="nil"/>
              <w:right w:val="nil"/>
            </w:tcBorders>
            <w:shd w:val="clear" w:color="auto" w:fill="auto"/>
            <w:noWrap/>
            <w:vAlign w:val="bottom"/>
            <w:hideMark/>
          </w:tcPr>
          <w:p w:rsidR="00784374" w:rsidRPr="00280EA1" w:rsidRDefault="00784374" w:rsidP="00784374">
            <w:pPr>
              <w:rPr>
                <w:rFonts w:ascii="Calibri" w:hAnsi="Calibri" w:cs="Calibri"/>
                <w:b/>
                <w:bCs/>
                <w:color w:val="000000"/>
              </w:rPr>
            </w:pPr>
            <w:r w:rsidRPr="00280EA1">
              <w:rPr>
                <w:rFonts w:ascii="Calibri" w:hAnsi="Calibri" w:cs="Calibri"/>
                <w:b/>
                <w:bCs/>
                <w:color w:val="000000"/>
              </w:rPr>
              <w:t>CI</w:t>
            </w:r>
          </w:p>
        </w:tc>
        <w:tc>
          <w:tcPr>
            <w:tcW w:w="8496" w:type="dxa"/>
            <w:gridSpan w:val="7"/>
            <w:tcBorders>
              <w:top w:val="nil"/>
              <w:left w:val="nil"/>
              <w:bottom w:val="nil"/>
              <w:right w:val="nil"/>
            </w:tcBorders>
            <w:shd w:val="clear" w:color="auto" w:fill="auto"/>
            <w:noWrap/>
            <w:vAlign w:val="bottom"/>
            <w:hideMark/>
          </w:tcPr>
          <w:p w:rsidR="00784374" w:rsidRPr="00280EA1" w:rsidRDefault="00784374" w:rsidP="00784374">
            <w:pPr>
              <w:rPr>
                <w:rFonts w:ascii="Calibri" w:hAnsi="Calibri" w:cs="Calibri"/>
                <w:color w:val="000000"/>
              </w:rPr>
            </w:pPr>
            <w:r>
              <w:rPr>
                <w:rFonts w:ascii="Calibri" w:hAnsi="Calibri" w:cs="Calibri"/>
                <w:color w:val="000000"/>
              </w:rPr>
              <w:t xml:space="preserve">       </w:t>
            </w:r>
            <w:r w:rsidRPr="0052132A">
              <w:rPr>
                <w:rFonts w:ascii="Calibri" w:hAnsi="Calibri" w:cs="Calibri"/>
                <w:b/>
                <w:color w:val="000000"/>
              </w:rPr>
              <w:t xml:space="preserve">OK                     </w:t>
            </w:r>
            <w:proofErr w:type="spellStart"/>
            <w:r w:rsidRPr="0052132A">
              <w:rPr>
                <w:rFonts w:ascii="Calibri" w:hAnsi="Calibri" w:cs="Calibri"/>
                <w:b/>
                <w:color w:val="000000"/>
              </w:rPr>
              <w:t>OK</w:t>
            </w:r>
            <w:proofErr w:type="spellEnd"/>
            <w:r w:rsidRPr="0052132A">
              <w:rPr>
                <w:rFonts w:ascii="Calibri" w:hAnsi="Calibri" w:cs="Calibri"/>
                <w:b/>
                <w:color w:val="000000"/>
              </w:rPr>
              <w:t xml:space="preserve">                    </w:t>
            </w:r>
            <w:proofErr w:type="spellStart"/>
            <w:r w:rsidRPr="0052132A">
              <w:rPr>
                <w:rFonts w:ascii="Calibri" w:hAnsi="Calibri" w:cs="Calibri"/>
                <w:b/>
                <w:color w:val="000000"/>
              </w:rPr>
              <w:t>OK</w:t>
            </w:r>
            <w:proofErr w:type="spellEnd"/>
            <w:r w:rsidRPr="0052132A">
              <w:rPr>
                <w:rFonts w:ascii="Calibri" w:hAnsi="Calibri" w:cs="Calibri"/>
                <w:b/>
                <w:color w:val="000000"/>
              </w:rPr>
              <w:t xml:space="preserve">                     </w:t>
            </w:r>
            <w:proofErr w:type="spellStart"/>
            <w:r w:rsidRPr="0052132A">
              <w:rPr>
                <w:rFonts w:ascii="Calibri" w:hAnsi="Calibri" w:cs="Calibri"/>
                <w:b/>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NO            </w:t>
            </w:r>
            <w:proofErr w:type="spellStart"/>
            <w:r>
              <w:rPr>
                <w:rFonts w:ascii="Calibri" w:hAnsi="Calibri" w:cs="Calibri"/>
                <w:color w:val="000000"/>
              </w:rPr>
              <w:t>NO</w:t>
            </w:r>
            <w:proofErr w:type="spellEnd"/>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Ind</w:t>
            </w:r>
            <w:proofErr w:type="spellEnd"/>
            <w:r w:rsidRPr="00280EA1">
              <w:rPr>
                <w:rFonts w:ascii="Calibri" w:hAnsi="Calibri" w:cs="Calibri"/>
                <w:b/>
                <w:bCs/>
                <w:color w:val="000000"/>
              </w:rPr>
              <w:t xml:space="preserve"> Test</w:t>
            </w:r>
          </w:p>
        </w:tc>
        <w:tc>
          <w:tcPr>
            <w:tcW w:w="1383"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0.807</w:t>
            </w:r>
          </w:p>
        </w:tc>
        <w:tc>
          <w:tcPr>
            <w:tcW w:w="1383"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0.807</w:t>
            </w:r>
          </w:p>
        </w:tc>
        <w:tc>
          <w:tcPr>
            <w:tcW w:w="1383"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0.807</w:t>
            </w:r>
          </w:p>
        </w:tc>
        <w:tc>
          <w:tcPr>
            <w:tcW w:w="1383"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0.807</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0.163</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0.315</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0.127</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DG Test</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0.000</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0.000</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0.000</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0.000</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52132A">
              <w:rPr>
                <w:rFonts w:ascii="Calibri" w:hAnsi="Calibri" w:cs="Calibri"/>
                <w:b/>
                <w:color w:val="000000"/>
              </w:rPr>
              <w:t>0.218</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0.000</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0.000</w:t>
            </w:r>
          </w:p>
        </w:tc>
      </w:tr>
      <w:tr w:rsidR="00280EA1" w:rsidRPr="00280EA1" w:rsidTr="00784374">
        <w:trPr>
          <w:trHeight w:val="340"/>
        </w:trPr>
        <w:tc>
          <w:tcPr>
            <w:tcW w:w="1576" w:type="dxa"/>
            <w:tcBorders>
              <w:top w:val="nil"/>
              <w:left w:val="nil"/>
              <w:bottom w:val="single" w:sz="8" w:space="0" w:color="auto"/>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Loss Function</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141.329</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136.716</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141.791</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137.174</w:t>
            </w:r>
          </w:p>
        </w:tc>
        <w:tc>
          <w:tcPr>
            <w:tcW w:w="992" w:type="dxa"/>
            <w:tcBorders>
              <w:top w:val="nil"/>
              <w:left w:val="nil"/>
              <w:bottom w:val="single" w:sz="8" w:space="0" w:color="auto"/>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88.343</w:t>
            </w:r>
          </w:p>
        </w:tc>
        <w:tc>
          <w:tcPr>
            <w:tcW w:w="916"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99.721</w:t>
            </w:r>
          </w:p>
        </w:tc>
        <w:tc>
          <w:tcPr>
            <w:tcW w:w="1056"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120.206</w:t>
            </w:r>
          </w:p>
        </w:tc>
      </w:tr>
    </w:tbl>
    <w:p w:rsidR="00280EA1" w:rsidRPr="00270170" w:rsidRDefault="00280EA1" w:rsidP="00270170">
      <w:pPr>
        <w:jc w:val="center"/>
        <w:rPr>
          <w:lang w:val="en-US"/>
        </w:rPr>
      </w:pPr>
    </w:p>
    <w:p w:rsidR="00270170" w:rsidRDefault="00270170" w:rsidP="00270170">
      <w:pPr>
        <w:jc w:val="center"/>
        <w:rPr>
          <w:lang w:val="en-US"/>
        </w:rPr>
      </w:pPr>
      <w:r>
        <w:rPr>
          <w:b/>
          <w:lang w:val="en-US"/>
        </w:rPr>
        <w:t xml:space="preserve">Table </w:t>
      </w:r>
      <w:r w:rsidR="00CD68B3">
        <w:rPr>
          <w:b/>
          <w:lang w:val="en-US"/>
        </w:rPr>
        <w:t>41</w:t>
      </w:r>
      <w:r>
        <w:rPr>
          <w:lang w:val="en-US"/>
        </w:rPr>
        <w:t>: Tests for KO</w:t>
      </w:r>
    </w:p>
    <w:p w:rsidR="00280EA1" w:rsidRDefault="00280EA1" w:rsidP="00270170">
      <w:pPr>
        <w:jc w:val="center"/>
        <w:rPr>
          <w:lang w:val="en-US"/>
        </w:rPr>
      </w:pPr>
    </w:p>
    <w:p w:rsidR="0040657D" w:rsidRDefault="0040657D" w:rsidP="00270170">
      <w:pPr>
        <w:jc w:val="center"/>
        <w:rPr>
          <w:lang w:val="en-US"/>
        </w:rPr>
      </w:pPr>
    </w:p>
    <w:p w:rsidR="0040657D" w:rsidRDefault="0040657D" w:rsidP="00270170">
      <w:pPr>
        <w:jc w:val="center"/>
        <w:rPr>
          <w:lang w:val="en-US"/>
        </w:rPr>
      </w:pPr>
    </w:p>
    <w:p w:rsidR="0040657D" w:rsidRDefault="0040657D" w:rsidP="00270170">
      <w:pPr>
        <w:jc w:val="center"/>
        <w:rPr>
          <w:lang w:val="en-US"/>
        </w:rPr>
      </w:pPr>
    </w:p>
    <w:p w:rsidR="0040657D" w:rsidRDefault="0040657D" w:rsidP="00270170">
      <w:pPr>
        <w:jc w:val="center"/>
        <w:rPr>
          <w:lang w:val="en-US"/>
        </w:rPr>
      </w:pPr>
    </w:p>
    <w:tbl>
      <w:tblPr>
        <w:tblW w:w="10072" w:type="dxa"/>
        <w:tblLook w:val="04A0" w:firstRow="1" w:lastRow="0" w:firstColumn="1" w:lastColumn="0" w:noHBand="0" w:noVBand="1"/>
      </w:tblPr>
      <w:tblGrid>
        <w:gridCol w:w="1576"/>
        <w:gridCol w:w="1383"/>
        <w:gridCol w:w="1383"/>
        <w:gridCol w:w="1383"/>
        <w:gridCol w:w="1383"/>
        <w:gridCol w:w="992"/>
        <w:gridCol w:w="916"/>
        <w:gridCol w:w="1056"/>
      </w:tblGrid>
      <w:tr w:rsidR="00280EA1" w:rsidRPr="00280EA1" w:rsidTr="00784374">
        <w:trPr>
          <w:trHeight w:val="980"/>
        </w:trPr>
        <w:tc>
          <w:tcPr>
            <w:tcW w:w="1576" w:type="dxa"/>
            <w:tcBorders>
              <w:top w:val="nil"/>
              <w:left w:val="nil"/>
              <w:bottom w:val="single" w:sz="8" w:space="0" w:color="auto"/>
              <w:right w:val="nil"/>
            </w:tcBorders>
            <w:shd w:val="clear" w:color="auto" w:fill="auto"/>
            <w:noWrap/>
            <w:vAlign w:val="center"/>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PTR</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-5</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-10</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-5</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-10</w:t>
            </w:r>
          </w:p>
        </w:tc>
        <w:tc>
          <w:tcPr>
            <w:tcW w:w="992"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IGARCH</w:t>
            </w:r>
          </w:p>
        </w:tc>
        <w:tc>
          <w:tcPr>
            <w:tcW w:w="916"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HS25</w:t>
            </w:r>
          </w:p>
        </w:tc>
        <w:tc>
          <w:tcPr>
            <w:tcW w:w="1056"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HS5</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No of Viols</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39</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34</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38</w:t>
            </w:r>
          </w:p>
        </w:tc>
        <w:tc>
          <w:tcPr>
            <w:tcW w:w="1383"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33</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40</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51</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133</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0.05</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0.04</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0.05</w:t>
            </w:r>
          </w:p>
        </w:tc>
        <w:tc>
          <w:tcPr>
            <w:tcW w:w="1383"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0.04</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0.05</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0.06</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0.16</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r w:rsidRPr="00280EA1">
              <w:rPr>
                <w:rFonts w:ascii="Calibri" w:hAnsi="Calibri" w:cs="Calibri"/>
                <w:b/>
                <w:bCs/>
                <w:color w:val="000000"/>
              </w:rPr>
              <w:t xml:space="preserve"> Ratio</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0.93</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0.81</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0.90</w:t>
            </w:r>
          </w:p>
        </w:tc>
        <w:tc>
          <w:tcPr>
            <w:tcW w:w="1383"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0.79</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0.95</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1.21</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3.17</w:t>
            </w:r>
          </w:p>
        </w:tc>
      </w:tr>
      <w:tr w:rsidR="00784374" w:rsidRPr="00280EA1" w:rsidTr="00784374">
        <w:trPr>
          <w:trHeight w:val="320"/>
        </w:trPr>
        <w:tc>
          <w:tcPr>
            <w:tcW w:w="1576" w:type="dxa"/>
            <w:tcBorders>
              <w:top w:val="nil"/>
              <w:left w:val="nil"/>
              <w:bottom w:val="nil"/>
              <w:right w:val="nil"/>
            </w:tcBorders>
            <w:shd w:val="clear" w:color="auto" w:fill="auto"/>
            <w:noWrap/>
            <w:vAlign w:val="bottom"/>
            <w:hideMark/>
          </w:tcPr>
          <w:p w:rsidR="00784374" w:rsidRPr="00280EA1" w:rsidRDefault="00784374" w:rsidP="00784374">
            <w:pPr>
              <w:rPr>
                <w:rFonts w:ascii="Calibri" w:hAnsi="Calibri" w:cs="Calibri"/>
                <w:b/>
                <w:bCs/>
                <w:color w:val="000000"/>
              </w:rPr>
            </w:pPr>
            <w:r w:rsidRPr="00280EA1">
              <w:rPr>
                <w:rFonts w:ascii="Calibri" w:hAnsi="Calibri" w:cs="Calibri"/>
                <w:b/>
                <w:bCs/>
                <w:color w:val="000000"/>
              </w:rPr>
              <w:t>CI</w:t>
            </w:r>
          </w:p>
        </w:tc>
        <w:tc>
          <w:tcPr>
            <w:tcW w:w="8496" w:type="dxa"/>
            <w:gridSpan w:val="7"/>
            <w:tcBorders>
              <w:top w:val="nil"/>
              <w:left w:val="nil"/>
              <w:bottom w:val="nil"/>
              <w:right w:val="nil"/>
            </w:tcBorders>
            <w:shd w:val="clear" w:color="auto" w:fill="auto"/>
            <w:noWrap/>
            <w:vAlign w:val="bottom"/>
            <w:hideMark/>
          </w:tcPr>
          <w:p w:rsidR="00784374" w:rsidRPr="00280EA1" w:rsidRDefault="00784374" w:rsidP="00784374">
            <w:pPr>
              <w:rPr>
                <w:rFonts w:ascii="Calibri" w:hAnsi="Calibri" w:cs="Calibri"/>
                <w:color w:val="000000"/>
              </w:rPr>
            </w:pPr>
            <w:r>
              <w:rPr>
                <w:rFonts w:ascii="Calibri" w:hAnsi="Calibri" w:cs="Calibri"/>
                <w:color w:val="000000"/>
              </w:rPr>
              <w:t xml:space="preserve">       OK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sidRPr="0052132A">
              <w:rPr>
                <w:rFonts w:ascii="Calibri" w:hAnsi="Calibri" w:cs="Calibri"/>
                <w:b/>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NO</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Ind</w:t>
            </w:r>
            <w:proofErr w:type="spellEnd"/>
            <w:r w:rsidRPr="00280EA1">
              <w:rPr>
                <w:rFonts w:ascii="Calibri" w:hAnsi="Calibri" w:cs="Calibri"/>
                <w:b/>
                <w:bCs/>
                <w:color w:val="000000"/>
              </w:rPr>
              <w:t xml:space="preserve"> Test</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0.05</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0.14</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0.18</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0.03</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0.16</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0.95</w:t>
            </w:r>
          </w:p>
        </w:tc>
        <w:tc>
          <w:tcPr>
            <w:tcW w:w="1056"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0.21</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6F1182" w:rsidP="00280EA1">
            <w:pPr>
              <w:rPr>
                <w:rFonts w:ascii="Calibri" w:hAnsi="Calibri" w:cs="Calibri"/>
                <w:b/>
                <w:bCs/>
                <w:color w:val="000000"/>
              </w:rPr>
            </w:pPr>
            <w:r>
              <w:rPr>
                <w:rFonts w:ascii="Calibri" w:hAnsi="Calibri" w:cs="Calibri"/>
                <w:b/>
                <w:bCs/>
                <w:color w:val="000000"/>
              </w:rPr>
              <w:t>DQ</w:t>
            </w:r>
            <w:r w:rsidR="00280EA1" w:rsidRPr="00280EA1">
              <w:rPr>
                <w:rFonts w:ascii="Calibri" w:hAnsi="Calibri" w:cs="Calibri"/>
                <w:b/>
                <w:bCs/>
                <w:color w:val="000000"/>
              </w:rPr>
              <w:t xml:space="preserve"> Test</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0.17</w:t>
            </w:r>
          </w:p>
        </w:tc>
        <w:tc>
          <w:tcPr>
            <w:tcW w:w="1383"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0.60</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0.50</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0.27</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0.46</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0.04</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r>
      <w:tr w:rsidR="00280EA1" w:rsidRPr="00280EA1" w:rsidTr="00784374">
        <w:trPr>
          <w:trHeight w:val="340"/>
        </w:trPr>
        <w:tc>
          <w:tcPr>
            <w:tcW w:w="1576" w:type="dxa"/>
            <w:tcBorders>
              <w:top w:val="nil"/>
              <w:left w:val="nil"/>
              <w:bottom w:val="single" w:sz="8" w:space="0" w:color="auto"/>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Loss Function</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160.04</w:t>
            </w:r>
          </w:p>
        </w:tc>
        <w:tc>
          <w:tcPr>
            <w:tcW w:w="1383" w:type="dxa"/>
            <w:tcBorders>
              <w:top w:val="nil"/>
              <w:left w:val="nil"/>
              <w:bottom w:val="single" w:sz="8" w:space="0" w:color="auto"/>
              <w:right w:val="nil"/>
            </w:tcBorders>
            <w:shd w:val="clear" w:color="auto" w:fill="auto"/>
            <w:noWrap/>
            <w:vAlign w:val="bottom"/>
            <w:hideMark/>
          </w:tcPr>
          <w:p w:rsidR="00280EA1" w:rsidRPr="001402A8" w:rsidRDefault="00280EA1" w:rsidP="00280EA1">
            <w:pPr>
              <w:jc w:val="center"/>
              <w:rPr>
                <w:rFonts w:ascii="Calibri" w:hAnsi="Calibri" w:cs="Calibri"/>
                <w:color w:val="000000"/>
              </w:rPr>
            </w:pPr>
            <w:r w:rsidRPr="001402A8">
              <w:rPr>
                <w:rFonts w:ascii="Calibri" w:hAnsi="Calibri" w:cs="Calibri"/>
                <w:color w:val="000000"/>
              </w:rPr>
              <w:t>159.35</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160.24</w:t>
            </w:r>
          </w:p>
        </w:tc>
        <w:tc>
          <w:tcPr>
            <w:tcW w:w="1383" w:type="dxa"/>
            <w:tcBorders>
              <w:top w:val="nil"/>
              <w:left w:val="nil"/>
              <w:bottom w:val="single" w:sz="8" w:space="0" w:color="auto"/>
              <w:right w:val="nil"/>
            </w:tcBorders>
            <w:shd w:val="clear" w:color="auto" w:fill="auto"/>
            <w:noWrap/>
            <w:vAlign w:val="bottom"/>
            <w:hideMark/>
          </w:tcPr>
          <w:p w:rsidR="00280EA1" w:rsidRPr="001402A8" w:rsidRDefault="00280EA1" w:rsidP="00280EA1">
            <w:pPr>
              <w:jc w:val="center"/>
              <w:rPr>
                <w:rFonts w:ascii="Calibri" w:hAnsi="Calibri" w:cs="Calibri"/>
                <w:b/>
                <w:color w:val="000000"/>
              </w:rPr>
            </w:pPr>
            <w:r w:rsidRPr="001402A8">
              <w:rPr>
                <w:rFonts w:ascii="Calibri" w:hAnsi="Calibri" w:cs="Calibri"/>
                <w:b/>
                <w:color w:val="000000"/>
              </w:rPr>
              <w:t>159.62</w:t>
            </w:r>
          </w:p>
        </w:tc>
        <w:tc>
          <w:tcPr>
            <w:tcW w:w="992"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160.66</w:t>
            </w:r>
          </w:p>
        </w:tc>
        <w:tc>
          <w:tcPr>
            <w:tcW w:w="916"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170.44</w:t>
            </w:r>
          </w:p>
        </w:tc>
        <w:tc>
          <w:tcPr>
            <w:tcW w:w="1056"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231.13</w:t>
            </w:r>
          </w:p>
        </w:tc>
      </w:tr>
    </w:tbl>
    <w:p w:rsidR="00280EA1" w:rsidRPr="00270170" w:rsidRDefault="00280EA1" w:rsidP="00280EA1">
      <w:pPr>
        <w:rPr>
          <w:lang w:val="en-US"/>
        </w:rPr>
      </w:pPr>
    </w:p>
    <w:p w:rsidR="00270170" w:rsidRDefault="00270170" w:rsidP="00270170">
      <w:pPr>
        <w:jc w:val="center"/>
        <w:rPr>
          <w:lang w:val="en-US"/>
        </w:rPr>
      </w:pPr>
      <w:r>
        <w:rPr>
          <w:b/>
          <w:lang w:val="en-US"/>
        </w:rPr>
        <w:t xml:space="preserve">Table </w:t>
      </w:r>
      <w:r w:rsidR="00CD68B3">
        <w:rPr>
          <w:b/>
          <w:lang w:val="en-US"/>
        </w:rPr>
        <w:t>42</w:t>
      </w:r>
      <w:r>
        <w:rPr>
          <w:lang w:val="en-US"/>
        </w:rPr>
        <w:t>: Tests for PTR</w:t>
      </w:r>
    </w:p>
    <w:p w:rsidR="00280EA1" w:rsidRDefault="00280EA1" w:rsidP="00270170">
      <w:pPr>
        <w:jc w:val="center"/>
        <w:rPr>
          <w:lang w:val="en-US"/>
        </w:rPr>
      </w:pPr>
    </w:p>
    <w:p w:rsidR="00280EA1" w:rsidRDefault="00280EA1" w:rsidP="00270170">
      <w:pPr>
        <w:jc w:val="center"/>
        <w:rPr>
          <w:lang w:val="en-US"/>
        </w:rPr>
      </w:pPr>
    </w:p>
    <w:p w:rsidR="00280EA1" w:rsidRDefault="00280EA1" w:rsidP="00270170">
      <w:pPr>
        <w:jc w:val="center"/>
        <w:rPr>
          <w:lang w:val="en-US"/>
        </w:rPr>
      </w:pPr>
    </w:p>
    <w:p w:rsidR="00280EA1" w:rsidRDefault="00280EA1" w:rsidP="00270170">
      <w:pPr>
        <w:jc w:val="center"/>
        <w:rPr>
          <w:lang w:val="en-US"/>
        </w:rPr>
      </w:pPr>
    </w:p>
    <w:tbl>
      <w:tblPr>
        <w:tblW w:w="10072" w:type="dxa"/>
        <w:tblLook w:val="04A0" w:firstRow="1" w:lastRow="0" w:firstColumn="1" w:lastColumn="0" w:noHBand="0" w:noVBand="1"/>
      </w:tblPr>
      <w:tblGrid>
        <w:gridCol w:w="1576"/>
        <w:gridCol w:w="1383"/>
        <w:gridCol w:w="1383"/>
        <w:gridCol w:w="1383"/>
        <w:gridCol w:w="1383"/>
        <w:gridCol w:w="992"/>
        <w:gridCol w:w="916"/>
        <w:gridCol w:w="1056"/>
      </w:tblGrid>
      <w:tr w:rsidR="00280EA1" w:rsidRPr="00280EA1" w:rsidTr="00784374">
        <w:trPr>
          <w:trHeight w:val="980"/>
        </w:trPr>
        <w:tc>
          <w:tcPr>
            <w:tcW w:w="1576" w:type="dxa"/>
            <w:tcBorders>
              <w:top w:val="nil"/>
              <w:left w:val="nil"/>
              <w:bottom w:val="single" w:sz="8" w:space="0" w:color="auto"/>
              <w:right w:val="nil"/>
            </w:tcBorders>
            <w:shd w:val="clear" w:color="auto" w:fill="auto"/>
            <w:noWrap/>
            <w:vAlign w:val="center"/>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MMM</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-5</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w:t>
            </w:r>
            <w:r w:rsidRPr="00280EA1">
              <w:rPr>
                <w:rFonts w:ascii="Calibri" w:hAnsi="Calibri" w:cs="Calibri"/>
                <w:b/>
                <w:bCs/>
                <w:color w:val="000000"/>
              </w:rPr>
              <w:br/>
              <w:t>GARCH(1,1)</w:t>
            </w:r>
            <w:r w:rsidRPr="00280EA1">
              <w:rPr>
                <w:rFonts w:ascii="Calibri" w:hAnsi="Calibri" w:cs="Calibri"/>
                <w:b/>
                <w:bCs/>
                <w:color w:val="000000"/>
              </w:rPr>
              <w:br/>
              <w:t>-10</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-5</w:t>
            </w:r>
          </w:p>
        </w:tc>
        <w:tc>
          <w:tcPr>
            <w:tcW w:w="1383" w:type="dxa"/>
            <w:tcBorders>
              <w:top w:val="nil"/>
              <w:left w:val="nil"/>
              <w:bottom w:val="single" w:sz="8" w:space="0" w:color="auto"/>
              <w:right w:val="nil"/>
            </w:tcBorders>
            <w:shd w:val="clear" w:color="auto" w:fill="auto"/>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AR(1)-GJR-</w:t>
            </w:r>
            <w:r w:rsidRPr="00280EA1">
              <w:rPr>
                <w:rFonts w:ascii="Calibri" w:hAnsi="Calibri" w:cs="Calibri"/>
                <w:b/>
                <w:bCs/>
                <w:color w:val="000000"/>
              </w:rPr>
              <w:br/>
              <w:t>GARCH(1,1)</w:t>
            </w:r>
            <w:r w:rsidRPr="00280EA1">
              <w:rPr>
                <w:rFonts w:ascii="Calibri" w:hAnsi="Calibri" w:cs="Calibri"/>
                <w:b/>
                <w:bCs/>
                <w:color w:val="000000"/>
              </w:rPr>
              <w:br/>
              <w:t>-10</w:t>
            </w:r>
          </w:p>
        </w:tc>
        <w:tc>
          <w:tcPr>
            <w:tcW w:w="992"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IGARCH</w:t>
            </w:r>
          </w:p>
        </w:tc>
        <w:tc>
          <w:tcPr>
            <w:tcW w:w="916"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HS25</w:t>
            </w:r>
          </w:p>
        </w:tc>
        <w:tc>
          <w:tcPr>
            <w:tcW w:w="1056" w:type="dxa"/>
            <w:tcBorders>
              <w:top w:val="nil"/>
              <w:left w:val="nil"/>
              <w:bottom w:val="single" w:sz="8" w:space="0" w:color="auto"/>
              <w:right w:val="nil"/>
            </w:tcBorders>
            <w:shd w:val="clear" w:color="auto" w:fill="auto"/>
            <w:noWrap/>
            <w:vAlign w:val="center"/>
            <w:hideMark/>
          </w:tcPr>
          <w:p w:rsidR="00280EA1" w:rsidRPr="00280EA1" w:rsidRDefault="00280EA1" w:rsidP="00280EA1">
            <w:pPr>
              <w:jc w:val="center"/>
              <w:rPr>
                <w:rFonts w:ascii="Calibri" w:hAnsi="Calibri" w:cs="Calibri"/>
                <w:b/>
                <w:bCs/>
                <w:color w:val="000000"/>
              </w:rPr>
            </w:pPr>
            <w:r w:rsidRPr="00280EA1">
              <w:rPr>
                <w:rFonts w:ascii="Calibri" w:hAnsi="Calibri" w:cs="Calibri"/>
                <w:b/>
                <w:bCs/>
                <w:color w:val="000000"/>
              </w:rPr>
              <w:t>HS5</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No of Viols</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45</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42</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41</w:t>
            </w:r>
          </w:p>
        </w:tc>
        <w:tc>
          <w:tcPr>
            <w:tcW w:w="1383"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36</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40</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54</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144</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0.05</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0.05</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0.05</w:t>
            </w:r>
          </w:p>
        </w:tc>
        <w:tc>
          <w:tcPr>
            <w:tcW w:w="1383"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0.04</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0.05</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0.06</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0.17</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VRate</w:t>
            </w:r>
            <w:proofErr w:type="spellEnd"/>
            <w:r w:rsidRPr="00280EA1">
              <w:rPr>
                <w:rFonts w:ascii="Calibri" w:hAnsi="Calibri" w:cs="Calibri"/>
                <w:b/>
                <w:bCs/>
                <w:color w:val="000000"/>
              </w:rPr>
              <w:t xml:space="preserve"> Ratio</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1.07</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1.00</w:t>
            </w:r>
          </w:p>
        </w:tc>
        <w:tc>
          <w:tcPr>
            <w:tcW w:w="1383" w:type="dxa"/>
            <w:tcBorders>
              <w:top w:val="nil"/>
              <w:left w:val="nil"/>
              <w:bottom w:val="nil"/>
              <w:right w:val="nil"/>
            </w:tcBorders>
            <w:shd w:val="clear" w:color="auto" w:fill="auto"/>
            <w:noWrap/>
            <w:vAlign w:val="bottom"/>
            <w:hideMark/>
          </w:tcPr>
          <w:p w:rsidR="00280EA1" w:rsidRPr="00280EA1" w:rsidRDefault="000678FF" w:rsidP="00280EA1">
            <w:pPr>
              <w:jc w:val="center"/>
              <w:rPr>
                <w:rFonts w:ascii="Calibri" w:hAnsi="Calibri" w:cs="Calibri"/>
                <w:color w:val="000000"/>
              </w:rPr>
            </w:pPr>
            <w:r>
              <w:rPr>
                <w:rFonts w:ascii="Calibri" w:hAnsi="Calibri" w:cs="Calibri"/>
                <w:color w:val="000000"/>
              </w:rPr>
              <w:t>0.98</w:t>
            </w:r>
          </w:p>
        </w:tc>
        <w:tc>
          <w:tcPr>
            <w:tcW w:w="1383" w:type="dxa"/>
            <w:tcBorders>
              <w:top w:val="nil"/>
              <w:left w:val="nil"/>
              <w:bottom w:val="nil"/>
              <w:right w:val="nil"/>
            </w:tcBorders>
            <w:shd w:val="clear" w:color="auto" w:fill="auto"/>
            <w:noWrap/>
            <w:vAlign w:val="bottom"/>
            <w:hideMark/>
          </w:tcPr>
          <w:p w:rsidR="00280EA1" w:rsidRPr="00784374" w:rsidRDefault="000678FF" w:rsidP="00280EA1">
            <w:pPr>
              <w:jc w:val="center"/>
              <w:rPr>
                <w:rFonts w:ascii="Calibri" w:hAnsi="Calibri" w:cs="Calibri"/>
                <w:b/>
                <w:color w:val="000000"/>
              </w:rPr>
            </w:pPr>
            <w:r w:rsidRPr="00784374">
              <w:rPr>
                <w:rFonts w:ascii="Calibri" w:hAnsi="Calibri" w:cs="Calibri"/>
                <w:b/>
                <w:color w:val="000000"/>
              </w:rPr>
              <w:t>0.86</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0.95</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1.29</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3.43</w:t>
            </w:r>
          </w:p>
        </w:tc>
      </w:tr>
      <w:tr w:rsidR="00784374" w:rsidRPr="00280EA1" w:rsidTr="00784374">
        <w:trPr>
          <w:trHeight w:val="320"/>
        </w:trPr>
        <w:tc>
          <w:tcPr>
            <w:tcW w:w="1576" w:type="dxa"/>
            <w:tcBorders>
              <w:top w:val="nil"/>
              <w:left w:val="nil"/>
              <w:bottom w:val="nil"/>
              <w:right w:val="nil"/>
            </w:tcBorders>
            <w:shd w:val="clear" w:color="auto" w:fill="auto"/>
            <w:noWrap/>
            <w:vAlign w:val="bottom"/>
            <w:hideMark/>
          </w:tcPr>
          <w:p w:rsidR="00784374" w:rsidRPr="00280EA1" w:rsidRDefault="00784374" w:rsidP="00784374">
            <w:pPr>
              <w:rPr>
                <w:rFonts w:ascii="Calibri" w:hAnsi="Calibri" w:cs="Calibri"/>
                <w:b/>
                <w:bCs/>
                <w:color w:val="000000"/>
              </w:rPr>
            </w:pPr>
            <w:r w:rsidRPr="00280EA1">
              <w:rPr>
                <w:rFonts w:ascii="Calibri" w:hAnsi="Calibri" w:cs="Calibri"/>
                <w:b/>
                <w:bCs/>
                <w:color w:val="000000"/>
              </w:rPr>
              <w:t>CI</w:t>
            </w:r>
          </w:p>
        </w:tc>
        <w:tc>
          <w:tcPr>
            <w:tcW w:w="8496" w:type="dxa"/>
            <w:gridSpan w:val="7"/>
            <w:tcBorders>
              <w:top w:val="nil"/>
              <w:left w:val="nil"/>
              <w:bottom w:val="nil"/>
              <w:right w:val="nil"/>
            </w:tcBorders>
            <w:shd w:val="clear" w:color="auto" w:fill="auto"/>
            <w:noWrap/>
            <w:vAlign w:val="bottom"/>
            <w:hideMark/>
          </w:tcPr>
          <w:p w:rsidR="00784374" w:rsidRPr="00280EA1" w:rsidRDefault="00784374" w:rsidP="00784374">
            <w:pPr>
              <w:rPr>
                <w:rFonts w:ascii="Calibri" w:hAnsi="Calibri" w:cs="Calibri"/>
                <w:color w:val="000000"/>
              </w:rPr>
            </w:pPr>
            <w:r>
              <w:rPr>
                <w:rFonts w:ascii="Calibri" w:hAnsi="Calibri" w:cs="Calibri"/>
                <w:color w:val="000000"/>
              </w:rPr>
              <w:t xml:space="preserve">       OK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sidRPr="0052132A">
              <w:rPr>
                <w:rFonts w:ascii="Calibri" w:hAnsi="Calibri" w:cs="Calibri"/>
                <w:b/>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w:t>
            </w:r>
            <w:proofErr w:type="spellStart"/>
            <w:r>
              <w:rPr>
                <w:rFonts w:ascii="Calibri" w:hAnsi="Calibri" w:cs="Calibri"/>
                <w:color w:val="000000"/>
              </w:rPr>
              <w:t>OK</w:t>
            </w:r>
            <w:proofErr w:type="spellEnd"/>
            <w:r>
              <w:rPr>
                <w:rFonts w:ascii="Calibri" w:hAnsi="Calibri" w:cs="Calibri"/>
                <w:color w:val="000000"/>
              </w:rPr>
              <w:t xml:space="preserve">            NO</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280EA1" w:rsidP="00280EA1">
            <w:pPr>
              <w:rPr>
                <w:rFonts w:ascii="Calibri" w:hAnsi="Calibri" w:cs="Calibri"/>
                <w:b/>
                <w:bCs/>
                <w:color w:val="000000"/>
              </w:rPr>
            </w:pPr>
            <w:proofErr w:type="spellStart"/>
            <w:r w:rsidRPr="00280EA1">
              <w:rPr>
                <w:rFonts w:ascii="Calibri" w:hAnsi="Calibri" w:cs="Calibri"/>
                <w:b/>
                <w:bCs/>
                <w:color w:val="000000"/>
              </w:rPr>
              <w:t>Ind</w:t>
            </w:r>
            <w:proofErr w:type="spellEnd"/>
            <w:r w:rsidRPr="00280EA1">
              <w:rPr>
                <w:rFonts w:ascii="Calibri" w:hAnsi="Calibri" w:cs="Calibri"/>
                <w:b/>
                <w:bCs/>
                <w:color w:val="000000"/>
              </w:rPr>
              <w:t xml:space="preserve"> Test</w:t>
            </w:r>
          </w:p>
        </w:tc>
        <w:tc>
          <w:tcPr>
            <w:tcW w:w="1383"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0.94</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0.77</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0.63</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0.41</w:t>
            </w:r>
          </w:p>
        </w:tc>
        <w:tc>
          <w:tcPr>
            <w:tcW w:w="992"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0.94</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0.78</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0.58</w:t>
            </w:r>
          </w:p>
        </w:tc>
      </w:tr>
      <w:tr w:rsidR="00280EA1" w:rsidRPr="00280EA1" w:rsidTr="00784374">
        <w:trPr>
          <w:trHeight w:val="320"/>
        </w:trPr>
        <w:tc>
          <w:tcPr>
            <w:tcW w:w="1576" w:type="dxa"/>
            <w:tcBorders>
              <w:top w:val="nil"/>
              <w:left w:val="nil"/>
              <w:bottom w:val="nil"/>
              <w:right w:val="nil"/>
            </w:tcBorders>
            <w:shd w:val="clear" w:color="auto" w:fill="auto"/>
            <w:noWrap/>
            <w:vAlign w:val="bottom"/>
            <w:hideMark/>
          </w:tcPr>
          <w:p w:rsidR="00280EA1" w:rsidRPr="00280EA1" w:rsidRDefault="006F1182" w:rsidP="00280EA1">
            <w:pPr>
              <w:rPr>
                <w:rFonts w:ascii="Calibri" w:hAnsi="Calibri" w:cs="Calibri"/>
                <w:b/>
                <w:bCs/>
                <w:color w:val="000000"/>
              </w:rPr>
            </w:pPr>
            <w:r>
              <w:rPr>
                <w:rFonts w:ascii="Calibri" w:hAnsi="Calibri" w:cs="Calibri"/>
                <w:b/>
                <w:bCs/>
                <w:color w:val="000000"/>
              </w:rPr>
              <w:t>DQ</w:t>
            </w:r>
            <w:r w:rsidR="00280EA1" w:rsidRPr="00280EA1">
              <w:rPr>
                <w:rFonts w:ascii="Calibri" w:hAnsi="Calibri" w:cs="Calibri"/>
                <w:b/>
                <w:bCs/>
                <w:color w:val="000000"/>
              </w:rPr>
              <w:t xml:space="preserve"> Test</w:t>
            </w:r>
          </w:p>
        </w:tc>
        <w:tc>
          <w:tcPr>
            <w:tcW w:w="1383" w:type="dxa"/>
            <w:tcBorders>
              <w:top w:val="nil"/>
              <w:left w:val="nil"/>
              <w:bottom w:val="nil"/>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0.22</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0.22</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0.72</w:t>
            </w:r>
          </w:p>
        </w:tc>
        <w:tc>
          <w:tcPr>
            <w:tcW w:w="1383"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0.26</w:t>
            </w:r>
          </w:p>
        </w:tc>
        <w:tc>
          <w:tcPr>
            <w:tcW w:w="992"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0.21</w:t>
            </w:r>
          </w:p>
        </w:tc>
        <w:tc>
          <w:tcPr>
            <w:tcW w:w="91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c>
          <w:tcPr>
            <w:tcW w:w="1056" w:type="dxa"/>
            <w:tcBorders>
              <w:top w:val="nil"/>
              <w:left w:val="nil"/>
              <w:bottom w:val="nil"/>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0.00</w:t>
            </w:r>
          </w:p>
        </w:tc>
      </w:tr>
      <w:tr w:rsidR="00280EA1" w:rsidRPr="00280EA1" w:rsidTr="00784374">
        <w:trPr>
          <w:trHeight w:val="340"/>
        </w:trPr>
        <w:tc>
          <w:tcPr>
            <w:tcW w:w="1576" w:type="dxa"/>
            <w:tcBorders>
              <w:top w:val="nil"/>
              <w:left w:val="nil"/>
              <w:bottom w:val="single" w:sz="8" w:space="0" w:color="auto"/>
              <w:right w:val="nil"/>
            </w:tcBorders>
            <w:shd w:val="clear" w:color="auto" w:fill="auto"/>
            <w:noWrap/>
            <w:vAlign w:val="bottom"/>
            <w:hideMark/>
          </w:tcPr>
          <w:p w:rsidR="00280EA1" w:rsidRPr="00280EA1" w:rsidRDefault="00280EA1" w:rsidP="00280EA1">
            <w:pPr>
              <w:rPr>
                <w:rFonts w:ascii="Calibri" w:hAnsi="Calibri" w:cs="Calibri"/>
                <w:b/>
                <w:bCs/>
                <w:color w:val="000000"/>
              </w:rPr>
            </w:pPr>
            <w:r w:rsidRPr="00280EA1">
              <w:rPr>
                <w:rFonts w:ascii="Calibri" w:hAnsi="Calibri" w:cs="Calibri"/>
                <w:b/>
                <w:bCs/>
                <w:color w:val="000000"/>
              </w:rPr>
              <w:t>Loss Function</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110.77</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111.04</w:t>
            </w:r>
          </w:p>
        </w:tc>
        <w:tc>
          <w:tcPr>
            <w:tcW w:w="1383"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109.87</w:t>
            </w:r>
          </w:p>
        </w:tc>
        <w:tc>
          <w:tcPr>
            <w:tcW w:w="1383" w:type="dxa"/>
            <w:tcBorders>
              <w:top w:val="nil"/>
              <w:left w:val="nil"/>
              <w:bottom w:val="single" w:sz="8" w:space="0" w:color="auto"/>
              <w:right w:val="nil"/>
            </w:tcBorders>
            <w:shd w:val="clear" w:color="auto" w:fill="auto"/>
            <w:noWrap/>
            <w:vAlign w:val="bottom"/>
            <w:hideMark/>
          </w:tcPr>
          <w:p w:rsidR="00280EA1" w:rsidRPr="0052132A" w:rsidRDefault="00280EA1" w:rsidP="00280EA1">
            <w:pPr>
              <w:jc w:val="center"/>
              <w:rPr>
                <w:rFonts w:ascii="Calibri" w:hAnsi="Calibri" w:cs="Calibri"/>
                <w:b/>
                <w:color w:val="000000"/>
              </w:rPr>
            </w:pPr>
            <w:r w:rsidRPr="0052132A">
              <w:rPr>
                <w:rFonts w:ascii="Calibri" w:hAnsi="Calibri" w:cs="Calibri"/>
                <w:b/>
                <w:color w:val="000000"/>
              </w:rPr>
              <w:t>109.67</w:t>
            </w:r>
          </w:p>
        </w:tc>
        <w:tc>
          <w:tcPr>
            <w:tcW w:w="992"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111.22</w:t>
            </w:r>
          </w:p>
        </w:tc>
        <w:tc>
          <w:tcPr>
            <w:tcW w:w="916"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117.83</w:t>
            </w:r>
          </w:p>
        </w:tc>
        <w:tc>
          <w:tcPr>
            <w:tcW w:w="1056" w:type="dxa"/>
            <w:tcBorders>
              <w:top w:val="nil"/>
              <w:left w:val="nil"/>
              <w:bottom w:val="single" w:sz="8" w:space="0" w:color="auto"/>
              <w:right w:val="nil"/>
            </w:tcBorders>
            <w:shd w:val="clear" w:color="auto" w:fill="auto"/>
            <w:noWrap/>
            <w:vAlign w:val="bottom"/>
            <w:hideMark/>
          </w:tcPr>
          <w:p w:rsidR="00280EA1" w:rsidRPr="00280EA1" w:rsidRDefault="00280EA1" w:rsidP="00280EA1">
            <w:pPr>
              <w:jc w:val="center"/>
              <w:rPr>
                <w:rFonts w:ascii="Calibri" w:hAnsi="Calibri" w:cs="Calibri"/>
                <w:color w:val="000000"/>
              </w:rPr>
            </w:pPr>
            <w:r w:rsidRPr="00280EA1">
              <w:rPr>
                <w:rFonts w:ascii="Calibri" w:hAnsi="Calibri" w:cs="Calibri"/>
                <w:color w:val="000000"/>
              </w:rPr>
              <w:t>145.86</w:t>
            </w:r>
          </w:p>
        </w:tc>
      </w:tr>
    </w:tbl>
    <w:p w:rsidR="00280EA1" w:rsidRPr="00270170" w:rsidRDefault="00280EA1" w:rsidP="00270170">
      <w:pPr>
        <w:jc w:val="center"/>
        <w:rPr>
          <w:lang w:val="en-US"/>
        </w:rPr>
      </w:pPr>
    </w:p>
    <w:p w:rsidR="00270170" w:rsidRDefault="00270170" w:rsidP="00CD68B3">
      <w:pPr>
        <w:jc w:val="center"/>
        <w:rPr>
          <w:lang w:val="en-US"/>
        </w:rPr>
      </w:pPr>
      <w:r>
        <w:rPr>
          <w:b/>
          <w:lang w:val="en-US"/>
        </w:rPr>
        <w:t xml:space="preserve">Table </w:t>
      </w:r>
      <w:r w:rsidR="00CD68B3">
        <w:rPr>
          <w:b/>
          <w:lang w:val="en-US"/>
        </w:rPr>
        <w:t>43</w:t>
      </w:r>
      <w:r>
        <w:rPr>
          <w:lang w:val="en-US"/>
        </w:rPr>
        <w:t>: Tests for MMM</w:t>
      </w:r>
    </w:p>
    <w:p w:rsidR="00611819" w:rsidRPr="00CD68B3" w:rsidRDefault="00CD68B3">
      <w:pPr>
        <w:rPr>
          <w:lang w:val="en-US"/>
        </w:rPr>
      </w:pPr>
      <w:r>
        <w:rPr>
          <w:b/>
          <w:lang w:val="en-US"/>
        </w:rPr>
        <w:t>Table 40</w:t>
      </w:r>
      <w:r w:rsidR="00260FF9" w:rsidRPr="00260FF9">
        <w:rPr>
          <w:b/>
          <w:lang w:val="en-US"/>
        </w:rPr>
        <w:t xml:space="preserve"> – Table </w:t>
      </w:r>
      <w:r>
        <w:rPr>
          <w:b/>
          <w:lang w:val="en-US"/>
        </w:rPr>
        <w:t>43</w:t>
      </w:r>
      <w:r w:rsidR="00270170" w:rsidRPr="00270170">
        <w:rPr>
          <w:lang w:val="en-US"/>
        </w:rPr>
        <w:t xml:space="preserve"> above show the violation rates and </w:t>
      </w:r>
      <w:r w:rsidR="00260FF9">
        <w:rPr>
          <w:lang w:val="en-US"/>
        </w:rPr>
        <w:t xml:space="preserve">other </w:t>
      </w:r>
      <w:r w:rsidR="00270170" w:rsidRPr="00270170">
        <w:rPr>
          <w:lang w:val="en-US"/>
        </w:rPr>
        <w:t xml:space="preserve">tests results for </w:t>
      </w:r>
      <w:r w:rsidR="001D0F08">
        <w:rPr>
          <w:lang w:val="en-US"/>
        </w:rPr>
        <w:t>the other four</w:t>
      </w:r>
      <w:r w:rsidR="00270170" w:rsidRPr="00270170">
        <w:rPr>
          <w:lang w:val="en-US"/>
        </w:rPr>
        <w:t xml:space="preserve"> </w:t>
      </w:r>
      <w:r w:rsidR="00260FF9">
        <w:rPr>
          <w:lang w:val="en-US"/>
        </w:rPr>
        <w:t>asset</w:t>
      </w:r>
      <w:r w:rsidR="001D0F08">
        <w:rPr>
          <w:lang w:val="en-US"/>
        </w:rPr>
        <w:t>s</w:t>
      </w:r>
      <w:r w:rsidR="00270170" w:rsidRPr="00270170">
        <w:rPr>
          <w:lang w:val="en-US"/>
        </w:rPr>
        <w:t xml:space="preserve">. </w:t>
      </w:r>
      <w:r w:rsidR="00502D01">
        <w:rPr>
          <w:lang w:val="en-US"/>
        </w:rPr>
        <w:t>As for JNJ, IGARCH overall performs the best, it has the lowest violation rate of 0.04, which is in between of the confidence interval. It also performs best in terms of DQ test, but it has higher loss function values than AR(1)-GJR-GARCH(1,1) model.</w:t>
      </w:r>
      <w:r w:rsidR="001402A8">
        <w:rPr>
          <w:lang w:val="en-US"/>
        </w:rPr>
        <w:t xml:space="preserve"> </w:t>
      </w:r>
      <w:r w:rsidR="00502D01">
        <w:rPr>
          <w:lang w:val="en-US"/>
        </w:rPr>
        <w:t>For KO, the GARCH type models also outperforms the HS models, according to the</w:t>
      </w:r>
      <w:r w:rsidR="001402A8">
        <w:rPr>
          <w:lang w:val="en-US"/>
        </w:rPr>
        <w:t xml:space="preserve"> lower number of violations. However, among all these models, only IGARCH model is not rejected by DQ test to be significantly different from 0.05. For PTR, the AR(1)-GJR-GARCH(1,1) model has the fewest violation, and the lowest loss function value. But, it is rejected by the independence test as it has a p-value below 0.05. Lastly, for MMM, AR(1)-GJR-GARCH(1,1) again proved to be the best model by violation and loss function criteria, it is also not rejected by any independence tests. To conclude, the AR(1)-GJR-GARCH(1,1) model is proved to be the best model among others in terms of forecasting VaR, HS models perform bad, especially during volatile periods. HS 5 always generates the highest violation rates and loss function value.</w:t>
      </w:r>
    </w:p>
    <w:p w:rsidR="00683703" w:rsidRPr="00FC35B9" w:rsidRDefault="00683703" w:rsidP="00683703">
      <w:pPr>
        <w:pStyle w:val="3"/>
        <w:numPr>
          <w:ilvl w:val="2"/>
          <w:numId w:val="1"/>
        </w:numPr>
        <w:rPr>
          <w:lang w:val="en-US"/>
        </w:rPr>
      </w:pPr>
      <w:r>
        <w:rPr>
          <w:lang w:val="en-US"/>
        </w:rPr>
        <w:t>Multi-Period VaR Forecasts</w:t>
      </w:r>
    </w:p>
    <w:p w:rsidR="00683703" w:rsidRDefault="00683703" w:rsidP="00FC35B9">
      <w:pPr>
        <w:rPr>
          <w:lang w:val="en-US"/>
        </w:rPr>
      </w:pPr>
    </w:p>
    <w:p w:rsidR="0007799B" w:rsidRDefault="00AB6F6D" w:rsidP="00FC35B9">
      <w:pPr>
        <w:rPr>
          <w:lang w:val="en-US"/>
        </w:rPr>
      </w:pPr>
      <w:r w:rsidRPr="00AB6F6D">
        <w:rPr>
          <w:b/>
          <w:lang w:val="en-US"/>
        </w:rPr>
        <w:t>Figure 53</w:t>
      </w:r>
      <w:r w:rsidR="003F5AFA" w:rsidRPr="003F5AFA">
        <w:rPr>
          <w:lang w:val="en-US"/>
        </w:rPr>
        <w:t xml:space="preserve"> below shows the smoothed VaR with 5% violation rate.</w:t>
      </w:r>
      <w:r>
        <w:rPr>
          <w:lang w:val="en-US"/>
        </w:rPr>
        <w:t xml:space="preserve"> The VaR forecasts are more strict and conservative compared to the 1-step forecasts</w:t>
      </w:r>
      <w:r w:rsidR="00BE11C0">
        <w:rPr>
          <w:lang w:val="en-US"/>
        </w:rPr>
        <w:t>, which largely reduces the violation numbers as well as rates, however, there are occasions when the VaR forecasts become over-estimate the risk level as will be discussed further.</w:t>
      </w:r>
    </w:p>
    <w:p w:rsidR="005F3429" w:rsidRDefault="001D0F08" w:rsidP="00D3535C">
      <w:pPr>
        <w:jc w:val="center"/>
        <w:rPr>
          <w:lang w:val="en-US"/>
        </w:rPr>
      </w:pPr>
      <w:r>
        <w:rPr>
          <w:noProof/>
          <w:lang w:val="en-US"/>
        </w:rPr>
        <w:drawing>
          <wp:inline distT="0" distB="0" distL="0" distR="0">
            <wp:extent cx="5727700" cy="19098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3135" cy="1911635"/>
                    </a:xfrm>
                    <a:prstGeom prst="rect">
                      <a:avLst/>
                    </a:prstGeom>
                  </pic:spPr>
                </pic:pic>
              </a:graphicData>
            </a:graphic>
          </wp:inline>
        </w:drawing>
      </w:r>
    </w:p>
    <w:p w:rsidR="003F5AFA" w:rsidRDefault="003F5AFA" w:rsidP="00FC35B9">
      <w:pPr>
        <w:rPr>
          <w:lang w:val="en-US"/>
        </w:rPr>
      </w:pPr>
    </w:p>
    <w:p w:rsidR="005F3429" w:rsidRDefault="005F3429" w:rsidP="005F3429">
      <w:pPr>
        <w:jc w:val="center"/>
        <w:rPr>
          <w:lang w:val="en-US"/>
        </w:rPr>
      </w:pPr>
      <w:r w:rsidRPr="003868D0">
        <w:rPr>
          <w:b/>
          <w:lang w:val="en-US"/>
        </w:rPr>
        <w:t>Figure 5</w:t>
      </w:r>
      <w:r>
        <w:rPr>
          <w:b/>
          <w:lang w:val="en-US"/>
        </w:rPr>
        <w:t>3</w:t>
      </w:r>
      <w:r>
        <w:rPr>
          <w:lang w:val="en-US"/>
        </w:rPr>
        <w:t xml:space="preserve">: VaR Forecasts at 5% for MSFT – 10-step ahead </w:t>
      </w:r>
    </w:p>
    <w:p w:rsidR="0007799B" w:rsidRDefault="0007799B" w:rsidP="005F3429">
      <w:pPr>
        <w:jc w:val="center"/>
        <w:rPr>
          <w:lang w:val="en-US"/>
        </w:rPr>
      </w:pPr>
    </w:p>
    <w:p w:rsidR="0007799B" w:rsidRDefault="0007799B" w:rsidP="005F3429">
      <w:pPr>
        <w:jc w:val="center"/>
        <w:rPr>
          <w:lang w:val="en-US"/>
        </w:rPr>
      </w:pPr>
    </w:p>
    <w:p w:rsidR="005F3429" w:rsidRDefault="005F3429" w:rsidP="005F3429">
      <w:pPr>
        <w:jc w:val="center"/>
        <w:rPr>
          <w:lang w:val="en-US"/>
        </w:rPr>
      </w:pPr>
    </w:p>
    <w:p w:rsidR="005F3429" w:rsidRDefault="001D0F08" w:rsidP="005F3429">
      <w:pPr>
        <w:jc w:val="center"/>
        <w:rPr>
          <w:lang w:val="en-US"/>
        </w:rPr>
      </w:pPr>
      <w:r>
        <w:rPr>
          <w:noProof/>
          <w:lang w:val="en-US"/>
        </w:rPr>
        <w:drawing>
          <wp:inline distT="0" distB="0" distL="0" distR="0">
            <wp:extent cx="5727148" cy="233808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49" cy="2339883"/>
                    </a:xfrm>
                    <a:prstGeom prst="rect">
                      <a:avLst/>
                    </a:prstGeom>
                  </pic:spPr>
                </pic:pic>
              </a:graphicData>
            </a:graphic>
          </wp:inline>
        </w:drawing>
      </w:r>
    </w:p>
    <w:p w:rsidR="00D3535C" w:rsidRDefault="00D3535C" w:rsidP="005F3429">
      <w:pPr>
        <w:jc w:val="center"/>
        <w:rPr>
          <w:lang w:val="en-US"/>
        </w:rPr>
      </w:pPr>
    </w:p>
    <w:p w:rsidR="005F3429" w:rsidRDefault="005F3429" w:rsidP="005F3429">
      <w:pPr>
        <w:jc w:val="center"/>
        <w:rPr>
          <w:lang w:val="en-US"/>
        </w:rPr>
      </w:pPr>
      <w:r w:rsidRPr="003868D0">
        <w:rPr>
          <w:b/>
          <w:lang w:val="en-US"/>
        </w:rPr>
        <w:t>Figure 5</w:t>
      </w:r>
      <w:r>
        <w:rPr>
          <w:b/>
          <w:lang w:val="en-US"/>
        </w:rPr>
        <w:t>4</w:t>
      </w:r>
      <w:r>
        <w:rPr>
          <w:lang w:val="en-US"/>
        </w:rPr>
        <w:t>: Violation at 5% for MSFT – 10-step ahead</w:t>
      </w:r>
    </w:p>
    <w:p w:rsidR="00A118AC" w:rsidRDefault="00A118AC" w:rsidP="005F3429">
      <w:pPr>
        <w:jc w:val="center"/>
        <w:rPr>
          <w:lang w:val="en-US"/>
        </w:rPr>
      </w:pPr>
    </w:p>
    <w:p w:rsidR="00A118AC" w:rsidRPr="00270170" w:rsidRDefault="00A118AC" w:rsidP="005F3429">
      <w:pPr>
        <w:jc w:val="center"/>
        <w:rPr>
          <w:lang w:val="en-US"/>
        </w:rPr>
      </w:pPr>
    </w:p>
    <w:tbl>
      <w:tblPr>
        <w:tblW w:w="7080" w:type="dxa"/>
        <w:jc w:val="center"/>
        <w:tblLook w:val="04A0" w:firstRow="1" w:lastRow="0" w:firstColumn="1" w:lastColumn="0" w:noHBand="0" w:noVBand="1"/>
      </w:tblPr>
      <w:tblGrid>
        <w:gridCol w:w="1576"/>
        <w:gridCol w:w="1383"/>
        <w:gridCol w:w="1383"/>
        <w:gridCol w:w="992"/>
        <w:gridCol w:w="916"/>
        <w:gridCol w:w="916"/>
      </w:tblGrid>
      <w:tr w:rsidR="009F2454" w:rsidRPr="009F2454" w:rsidTr="009F2454">
        <w:trPr>
          <w:trHeight w:val="980"/>
          <w:jc w:val="center"/>
        </w:trPr>
        <w:tc>
          <w:tcPr>
            <w:tcW w:w="1576" w:type="dxa"/>
            <w:tcBorders>
              <w:top w:val="nil"/>
              <w:left w:val="nil"/>
              <w:bottom w:val="single" w:sz="8" w:space="0" w:color="auto"/>
              <w:right w:val="nil"/>
            </w:tcBorders>
            <w:shd w:val="clear" w:color="auto" w:fill="auto"/>
            <w:noWrap/>
            <w:vAlign w:val="center"/>
            <w:hideMark/>
          </w:tcPr>
          <w:p w:rsidR="009F2454" w:rsidRPr="009F2454" w:rsidRDefault="009F2454" w:rsidP="009F2454">
            <w:pPr>
              <w:rPr>
                <w:rFonts w:ascii="Calibri" w:hAnsi="Calibri" w:cs="Calibri"/>
                <w:b/>
                <w:bCs/>
                <w:color w:val="000000"/>
              </w:rPr>
            </w:pPr>
            <w:r w:rsidRPr="009F2454">
              <w:rPr>
                <w:rFonts w:ascii="Calibri" w:hAnsi="Calibri" w:cs="Calibri"/>
                <w:b/>
                <w:bCs/>
                <w:color w:val="000000"/>
              </w:rPr>
              <w:t>MSFT</w:t>
            </w:r>
          </w:p>
        </w:tc>
        <w:tc>
          <w:tcPr>
            <w:tcW w:w="1348" w:type="dxa"/>
            <w:tcBorders>
              <w:top w:val="nil"/>
              <w:left w:val="nil"/>
              <w:bottom w:val="single" w:sz="8" w:space="0" w:color="auto"/>
              <w:right w:val="nil"/>
            </w:tcBorders>
            <w:shd w:val="clear" w:color="auto" w:fill="auto"/>
            <w:vAlign w:val="center"/>
            <w:hideMark/>
          </w:tcPr>
          <w:p w:rsidR="009F2454" w:rsidRPr="009F2454" w:rsidRDefault="009F2454" w:rsidP="009F2454">
            <w:pPr>
              <w:jc w:val="center"/>
              <w:rPr>
                <w:rFonts w:ascii="Calibri" w:hAnsi="Calibri" w:cs="Calibri"/>
                <w:b/>
                <w:bCs/>
                <w:color w:val="000000"/>
              </w:rPr>
            </w:pPr>
            <w:r w:rsidRPr="009F2454">
              <w:rPr>
                <w:rFonts w:ascii="Calibri" w:hAnsi="Calibri" w:cs="Calibri"/>
                <w:b/>
                <w:bCs/>
                <w:color w:val="000000"/>
              </w:rPr>
              <w:t>AR(1)-</w:t>
            </w:r>
            <w:r w:rsidRPr="009F2454">
              <w:rPr>
                <w:rFonts w:ascii="Calibri" w:hAnsi="Calibri" w:cs="Calibri"/>
                <w:b/>
                <w:bCs/>
                <w:color w:val="000000"/>
              </w:rPr>
              <w:br/>
              <w:t>GARCH(1,1)</w:t>
            </w:r>
            <w:r w:rsidRPr="009F2454">
              <w:rPr>
                <w:rFonts w:ascii="Calibri" w:hAnsi="Calibri" w:cs="Calibri"/>
                <w:b/>
                <w:bCs/>
                <w:color w:val="000000"/>
              </w:rPr>
              <w:br/>
              <w:t>-t</w:t>
            </w:r>
          </w:p>
        </w:tc>
        <w:tc>
          <w:tcPr>
            <w:tcW w:w="1348" w:type="dxa"/>
            <w:tcBorders>
              <w:top w:val="nil"/>
              <w:left w:val="nil"/>
              <w:bottom w:val="single" w:sz="8" w:space="0" w:color="auto"/>
              <w:right w:val="nil"/>
            </w:tcBorders>
            <w:shd w:val="clear" w:color="auto" w:fill="auto"/>
            <w:vAlign w:val="center"/>
            <w:hideMark/>
          </w:tcPr>
          <w:p w:rsidR="009F2454" w:rsidRPr="009F2454" w:rsidRDefault="009F2454" w:rsidP="009F2454">
            <w:pPr>
              <w:jc w:val="center"/>
              <w:rPr>
                <w:rFonts w:ascii="Calibri" w:hAnsi="Calibri" w:cs="Calibri"/>
                <w:b/>
                <w:bCs/>
                <w:color w:val="000000"/>
              </w:rPr>
            </w:pPr>
            <w:r w:rsidRPr="009F2454">
              <w:rPr>
                <w:rFonts w:ascii="Calibri" w:hAnsi="Calibri" w:cs="Calibri"/>
                <w:b/>
                <w:bCs/>
                <w:color w:val="000000"/>
              </w:rPr>
              <w:t>AR(1)-GJR-</w:t>
            </w:r>
            <w:r w:rsidRPr="009F2454">
              <w:rPr>
                <w:rFonts w:ascii="Calibri" w:hAnsi="Calibri" w:cs="Calibri"/>
                <w:b/>
                <w:bCs/>
                <w:color w:val="000000"/>
              </w:rPr>
              <w:br/>
              <w:t>GARCH(1,1)</w:t>
            </w:r>
            <w:r w:rsidRPr="009F2454">
              <w:rPr>
                <w:rFonts w:ascii="Calibri" w:hAnsi="Calibri" w:cs="Calibri"/>
                <w:b/>
                <w:bCs/>
                <w:color w:val="000000"/>
              </w:rPr>
              <w:br/>
              <w:t>-t</w:t>
            </w:r>
          </w:p>
        </w:tc>
        <w:tc>
          <w:tcPr>
            <w:tcW w:w="976" w:type="dxa"/>
            <w:tcBorders>
              <w:top w:val="nil"/>
              <w:left w:val="nil"/>
              <w:bottom w:val="single" w:sz="8" w:space="0" w:color="auto"/>
              <w:right w:val="nil"/>
            </w:tcBorders>
            <w:shd w:val="clear" w:color="auto" w:fill="auto"/>
            <w:noWrap/>
            <w:vAlign w:val="center"/>
            <w:hideMark/>
          </w:tcPr>
          <w:p w:rsidR="009F2454" w:rsidRPr="009F2454" w:rsidRDefault="009F2454" w:rsidP="009F2454">
            <w:pPr>
              <w:jc w:val="center"/>
              <w:rPr>
                <w:rFonts w:ascii="Calibri" w:hAnsi="Calibri" w:cs="Calibri"/>
                <w:b/>
                <w:bCs/>
                <w:color w:val="000000"/>
              </w:rPr>
            </w:pPr>
            <w:r w:rsidRPr="009F2454">
              <w:rPr>
                <w:rFonts w:ascii="Calibri" w:hAnsi="Calibri" w:cs="Calibri"/>
                <w:b/>
                <w:bCs/>
                <w:color w:val="000000"/>
              </w:rPr>
              <w:t>IGARCH</w:t>
            </w:r>
          </w:p>
        </w:tc>
        <w:tc>
          <w:tcPr>
            <w:tcW w:w="916" w:type="dxa"/>
            <w:tcBorders>
              <w:top w:val="nil"/>
              <w:left w:val="nil"/>
              <w:bottom w:val="single" w:sz="8" w:space="0" w:color="auto"/>
              <w:right w:val="nil"/>
            </w:tcBorders>
            <w:shd w:val="clear" w:color="auto" w:fill="auto"/>
            <w:noWrap/>
            <w:vAlign w:val="center"/>
            <w:hideMark/>
          </w:tcPr>
          <w:p w:rsidR="009F2454" w:rsidRPr="009F2454" w:rsidRDefault="009F2454" w:rsidP="009F2454">
            <w:pPr>
              <w:jc w:val="center"/>
              <w:rPr>
                <w:rFonts w:ascii="Calibri" w:hAnsi="Calibri" w:cs="Calibri"/>
                <w:b/>
                <w:bCs/>
                <w:color w:val="000000"/>
              </w:rPr>
            </w:pPr>
            <w:r w:rsidRPr="009F2454">
              <w:rPr>
                <w:rFonts w:ascii="Calibri" w:hAnsi="Calibri" w:cs="Calibri"/>
                <w:b/>
                <w:bCs/>
                <w:color w:val="000000"/>
              </w:rPr>
              <w:t>HS25</w:t>
            </w:r>
          </w:p>
        </w:tc>
        <w:tc>
          <w:tcPr>
            <w:tcW w:w="916" w:type="dxa"/>
            <w:tcBorders>
              <w:top w:val="nil"/>
              <w:left w:val="nil"/>
              <w:bottom w:val="single" w:sz="8" w:space="0" w:color="auto"/>
              <w:right w:val="nil"/>
            </w:tcBorders>
            <w:shd w:val="clear" w:color="auto" w:fill="auto"/>
            <w:noWrap/>
            <w:vAlign w:val="center"/>
            <w:hideMark/>
          </w:tcPr>
          <w:p w:rsidR="009F2454" w:rsidRPr="009F2454" w:rsidRDefault="009F2454" w:rsidP="009F2454">
            <w:pPr>
              <w:jc w:val="center"/>
              <w:rPr>
                <w:rFonts w:ascii="Calibri" w:hAnsi="Calibri" w:cs="Calibri"/>
                <w:b/>
                <w:bCs/>
                <w:color w:val="000000"/>
              </w:rPr>
            </w:pPr>
            <w:r w:rsidRPr="009F2454">
              <w:rPr>
                <w:rFonts w:ascii="Calibri" w:hAnsi="Calibri" w:cs="Calibri"/>
                <w:b/>
                <w:bCs/>
                <w:color w:val="000000"/>
              </w:rPr>
              <w:t>HS5</w:t>
            </w:r>
          </w:p>
        </w:tc>
      </w:tr>
      <w:tr w:rsidR="009F2454" w:rsidRPr="009F2454" w:rsidTr="009F2454">
        <w:trPr>
          <w:trHeight w:val="320"/>
          <w:jc w:val="center"/>
        </w:trPr>
        <w:tc>
          <w:tcPr>
            <w:tcW w:w="1576" w:type="dxa"/>
            <w:tcBorders>
              <w:top w:val="nil"/>
              <w:left w:val="nil"/>
              <w:bottom w:val="nil"/>
              <w:right w:val="nil"/>
            </w:tcBorders>
            <w:shd w:val="clear" w:color="auto" w:fill="auto"/>
            <w:noWrap/>
            <w:vAlign w:val="bottom"/>
            <w:hideMark/>
          </w:tcPr>
          <w:p w:rsidR="009F2454" w:rsidRPr="009F2454" w:rsidRDefault="009F2454" w:rsidP="009F2454">
            <w:pPr>
              <w:rPr>
                <w:rFonts w:ascii="Calibri" w:hAnsi="Calibri" w:cs="Calibri"/>
                <w:b/>
                <w:bCs/>
                <w:color w:val="000000"/>
              </w:rPr>
            </w:pPr>
            <w:r w:rsidRPr="009F2454">
              <w:rPr>
                <w:rFonts w:ascii="Calibri" w:hAnsi="Calibri" w:cs="Calibri"/>
                <w:b/>
                <w:bCs/>
                <w:color w:val="000000"/>
              </w:rPr>
              <w:t>No of Viols</w:t>
            </w:r>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16</w:t>
            </w:r>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17</w:t>
            </w:r>
          </w:p>
        </w:tc>
        <w:tc>
          <w:tcPr>
            <w:tcW w:w="97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b/>
                <w:color w:val="000000"/>
              </w:rPr>
            </w:pPr>
            <w:r w:rsidRPr="009F2454">
              <w:rPr>
                <w:rFonts w:ascii="Calibri" w:hAnsi="Calibri" w:cs="Calibri"/>
                <w:b/>
                <w:color w:val="000000"/>
              </w:rPr>
              <w:t>13</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54</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145</w:t>
            </w:r>
          </w:p>
        </w:tc>
      </w:tr>
      <w:tr w:rsidR="009F2454" w:rsidRPr="009F2454" w:rsidTr="009F2454">
        <w:trPr>
          <w:trHeight w:val="320"/>
          <w:jc w:val="center"/>
        </w:trPr>
        <w:tc>
          <w:tcPr>
            <w:tcW w:w="1576" w:type="dxa"/>
            <w:tcBorders>
              <w:top w:val="nil"/>
              <w:left w:val="nil"/>
              <w:bottom w:val="nil"/>
              <w:right w:val="nil"/>
            </w:tcBorders>
            <w:shd w:val="clear" w:color="auto" w:fill="auto"/>
            <w:noWrap/>
            <w:vAlign w:val="bottom"/>
            <w:hideMark/>
          </w:tcPr>
          <w:p w:rsidR="009F2454" w:rsidRPr="009F2454" w:rsidRDefault="009F2454" w:rsidP="009F2454">
            <w:pPr>
              <w:rPr>
                <w:rFonts w:ascii="Calibri" w:hAnsi="Calibri" w:cs="Calibri"/>
                <w:b/>
                <w:bCs/>
                <w:color w:val="000000"/>
              </w:rPr>
            </w:pPr>
            <w:proofErr w:type="spellStart"/>
            <w:r w:rsidRPr="009F2454">
              <w:rPr>
                <w:rFonts w:ascii="Calibri" w:hAnsi="Calibri" w:cs="Calibri"/>
                <w:b/>
                <w:bCs/>
                <w:color w:val="000000"/>
              </w:rPr>
              <w:t>VRate</w:t>
            </w:r>
            <w:proofErr w:type="spellEnd"/>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0.02</w:t>
            </w:r>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0.02</w:t>
            </w:r>
          </w:p>
        </w:tc>
        <w:tc>
          <w:tcPr>
            <w:tcW w:w="97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b/>
                <w:color w:val="000000"/>
              </w:rPr>
            </w:pPr>
            <w:r w:rsidRPr="009F2454">
              <w:rPr>
                <w:rFonts w:ascii="Calibri" w:hAnsi="Calibri" w:cs="Calibri"/>
                <w:b/>
                <w:color w:val="000000"/>
              </w:rPr>
              <w:t>0.02</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0.06</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0.17</w:t>
            </w:r>
          </w:p>
        </w:tc>
      </w:tr>
      <w:tr w:rsidR="009F2454" w:rsidRPr="009F2454" w:rsidTr="009F2454">
        <w:trPr>
          <w:trHeight w:val="340"/>
          <w:jc w:val="center"/>
        </w:trPr>
        <w:tc>
          <w:tcPr>
            <w:tcW w:w="1576" w:type="dxa"/>
            <w:tcBorders>
              <w:top w:val="nil"/>
              <w:left w:val="nil"/>
              <w:bottom w:val="nil"/>
              <w:right w:val="nil"/>
            </w:tcBorders>
            <w:shd w:val="clear" w:color="auto" w:fill="auto"/>
            <w:noWrap/>
            <w:vAlign w:val="bottom"/>
            <w:hideMark/>
          </w:tcPr>
          <w:p w:rsidR="009F2454" w:rsidRPr="009F2454" w:rsidRDefault="009F2454" w:rsidP="009F2454">
            <w:pPr>
              <w:rPr>
                <w:rFonts w:ascii="Calibri" w:hAnsi="Calibri" w:cs="Calibri"/>
                <w:b/>
                <w:bCs/>
                <w:color w:val="000000"/>
              </w:rPr>
            </w:pPr>
            <w:proofErr w:type="spellStart"/>
            <w:r w:rsidRPr="009F2454">
              <w:rPr>
                <w:rFonts w:ascii="Calibri" w:hAnsi="Calibri" w:cs="Calibri"/>
                <w:b/>
                <w:bCs/>
                <w:color w:val="000000"/>
              </w:rPr>
              <w:t>VRate</w:t>
            </w:r>
            <w:proofErr w:type="spellEnd"/>
            <w:r w:rsidRPr="009F2454">
              <w:rPr>
                <w:rFonts w:ascii="Calibri" w:hAnsi="Calibri" w:cs="Calibri"/>
                <w:b/>
                <w:bCs/>
                <w:color w:val="000000"/>
              </w:rPr>
              <w:t xml:space="preserve"> Ratio</w:t>
            </w:r>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0.38</w:t>
            </w:r>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0.40</w:t>
            </w:r>
          </w:p>
        </w:tc>
        <w:tc>
          <w:tcPr>
            <w:tcW w:w="97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b/>
                <w:color w:val="000000"/>
              </w:rPr>
            </w:pPr>
            <w:r w:rsidRPr="009F2454">
              <w:rPr>
                <w:rFonts w:ascii="Calibri" w:hAnsi="Calibri" w:cs="Calibri"/>
                <w:b/>
                <w:color w:val="000000"/>
              </w:rPr>
              <w:t>0.31</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1.29</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3.45</w:t>
            </w:r>
          </w:p>
        </w:tc>
      </w:tr>
      <w:tr w:rsidR="009F2454" w:rsidRPr="009F2454" w:rsidTr="009F2454">
        <w:trPr>
          <w:trHeight w:val="320"/>
          <w:jc w:val="center"/>
        </w:trPr>
        <w:tc>
          <w:tcPr>
            <w:tcW w:w="1576" w:type="dxa"/>
            <w:tcBorders>
              <w:top w:val="nil"/>
              <w:left w:val="nil"/>
              <w:bottom w:val="nil"/>
              <w:right w:val="nil"/>
            </w:tcBorders>
            <w:shd w:val="clear" w:color="auto" w:fill="auto"/>
            <w:noWrap/>
            <w:vAlign w:val="bottom"/>
            <w:hideMark/>
          </w:tcPr>
          <w:p w:rsidR="009F2454" w:rsidRPr="009F2454" w:rsidRDefault="009F2454" w:rsidP="009F2454">
            <w:pPr>
              <w:rPr>
                <w:rFonts w:ascii="Calibri" w:hAnsi="Calibri" w:cs="Calibri"/>
                <w:b/>
                <w:bCs/>
                <w:color w:val="000000"/>
              </w:rPr>
            </w:pPr>
            <w:r w:rsidRPr="009F2454">
              <w:rPr>
                <w:rFonts w:ascii="Calibri" w:hAnsi="Calibri" w:cs="Calibri"/>
                <w:b/>
                <w:bCs/>
                <w:color w:val="000000"/>
              </w:rPr>
              <w:t>CI</w:t>
            </w:r>
          </w:p>
        </w:tc>
        <w:tc>
          <w:tcPr>
            <w:tcW w:w="5504" w:type="dxa"/>
            <w:gridSpan w:val="5"/>
            <w:tcBorders>
              <w:top w:val="nil"/>
              <w:left w:val="nil"/>
              <w:bottom w:val="nil"/>
              <w:right w:val="nil"/>
            </w:tcBorders>
            <w:shd w:val="clear" w:color="auto" w:fill="auto"/>
            <w:noWrap/>
            <w:vAlign w:val="bottom"/>
            <w:hideMark/>
          </w:tcPr>
          <w:p w:rsidR="009F2454" w:rsidRPr="009F2454" w:rsidRDefault="0052132A" w:rsidP="0052132A">
            <w:pPr>
              <w:rPr>
                <w:rFonts w:ascii="Calibri" w:hAnsi="Calibri" w:cs="Calibri"/>
                <w:color w:val="000000"/>
              </w:rPr>
            </w:pPr>
            <w:r>
              <w:rPr>
                <w:rFonts w:ascii="Calibri" w:hAnsi="Calibri" w:cs="Calibri"/>
                <w:color w:val="000000"/>
              </w:rPr>
              <w:t xml:space="preserve">        NO                    </w:t>
            </w:r>
            <w:proofErr w:type="spellStart"/>
            <w:r>
              <w:rPr>
                <w:rFonts w:ascii="Calibri" w:hAnsi="Calibri" w:cs="Calibri"/>
                <w:color w:val="000000"/>
              </w:rPr>
              <w:t>NO</w:t>
            </w:r>
            <w:proofErr w:type="spellEnd"/>
            <w:r>
              <w:rPr>
                <w:rFonts w:ascii="Calibri" w:hAnsi="Calibri" w:cs="Calibri"/>
                <w:color w:val="000000"/>
              </w:rPr>
              <w:t xml:space="preserve">                 </w:t>
            </w:r>
            <w:proofErr w:type="spellStart"/>
            <w:r>
              <w:rPr>
                <w:rFonts w:ascii="Calibri" w:hAnsi="Calibri" w:cs="Calibri"/>
                <w:color w:val="000000"/>
              </w:rPr>
              <w:t>NO</w:t>
            </w:r>
            <w:proofErr w:type="spellEnd"/>
            <w:r>
              <w:rPr>
                <w:rFonts w:ascii="Calibri" w:hAnsi="Calibri" w:cs="Calibri"/>
                <w:color w:val="000000"/>
              </w:rPr>
              <w:t xml:space="preserve">            </w:t>
            </w:r>
            <w:r w:rsidRPr="0052132A">
              <w:rPr>
                <w:rFonts w:ascii="Calibri" w:hAnsi="Calibri" w:cs="Calibri"/>
                <w:color w:val="000000"/>
              </w:rPr>
              <w:t>OK</w:t>
            </w:r>
            <w:r>
              <w:rPr>
                <w:rFonts w:ascii="Calibri" w:hAnsi="Calibri" w:cs="Calibri"/>
                <w:color w:val="000000"/>
              </w:rPr>
              <w:t xml:space="preserve">           NO</w:t>
            </w:r>
          </w:p>
        </w:tc>
      </w:tr>
      <w:tr w:rsidR="009F2454" w:rsidRPr="009F2454" w:rsidTr="009F2454">
        <w:trPr>
          <w:trHeight w:val="320"/>
          <w:jc w:val="center"/>
        </w:trPr>
        <w:tc>
          <w:tcPr>
            <w:tcW w:w="1576" w:type="dxa"/>
            <w:tcBorders>
              <w:top w:val="nil"/>
              <w:left w:val="nil"/>
              <w:bottom w:val="nil"/>
              <w:right w:val="nil"/>
            </w:tcBorders>
            <w:shd w:val="clear" w:color="auto" w:fill="auto"/>
            <w:noWrap/>
            <w:vAlign w:val="bottom"/>
            <w:hideMark/>
          </w:tcPr>
          <w:p w:rsidR="009F2454" w:rsidRPr="009F2454" w:rsidRDefault="009F2454" w:rsidP="009F2454">
            <w:pPr>
              <w:rPr>
                <w:rFonts w:ascii="Calibri" w:hAnsi="Calibri" w:cs="Calibri"/>
                <w:b/>
                <w:bCs/>
                <w:color w:val="000000"/>
              </w:rPr>
            </w:pPr>
            <w:proofErr w:type="spellStart"/>
            <w:r w:rsidRPr="009F2454">
              <w:rPr>
                <w:rFonts w:ascii="Calibri" w:hAnsi="Calibri" w:cs="Calibri"/>
                <w:b/>
                <w:bCs/>
                <w:color w:val="000000"/>
              </w:rPr>
              <w:t>Ind</w:t>
            </w:r>
            <w:proofErr w:type="spellEnd"/>
            <w:r w:rsidRPr="009F2454">
              <w:rPr>
                <w:rFonts w:ascii="Calibri" w:hAnsi="Calibri" w:cs="Calibri"/>
                <w:b/>
                <w:bCs/>
                <w:color w:val="000000"/>
              </w:rPr>
              <w:t xml:space="preserve"> Test</w:t>
            </w:r>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0.00</w:t>
            </w:r>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0.35</w:t>
            </w:r>
          </w:p>
        </w:tc>
        <w:tc>
          <w:tcPr>
            <w:tcW w:w="976" w:type="dxa"/>
            <w:tcBorders>
              <w:top w:val="nil"/>
              <w:left w:val="nil"/>
              <w:bottom w:val="nil"/>
              <w:right w:val="nil"/>
            </w:tcBorders>
            <w:shd w:val="clear" w:color="auto" w:fill="auto"/>
            <w:noWrap/>
            <w:vAlign w:val="bottom"/>
            <w:hideMark/>
          </w:tcPr>
          <w:p w:rsidR="009F2454" w:rsidRPr="00296C05" w:rsidRDefault="009F2454" w:rsidP="009F2454">
            <w:pPr>
              <w:jc w:val="center"/>
              <w:rPr>
                <w:rFonts w:ascii="Calibri" w:hAnsi="Calibri" w:cs="Calibri"/>
                <w:b/>
                <w:color w:val="000000"/>
              </w:rPr>
            </w:pPr>
            <w:r w:rsidRPr="00296C05">
              <w:rPr>
                <w:rFonts w:ascii="Calibri" w:hAnsi="Calibri" w:cs="Calibri"/>
                <w:b/>
                <w:color w:val="000000"/>
              </w:rPr>
              <w:t>0.52</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0.18</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0.02</w:t>
            </w:r>
          </w:p>
        </w:tc>
      </w:tr>
      <w:tr w:rsidR="009F2454" w:rsidRPr="009F2454" w:rsidTr="009F2454">
        <w:trPr>
          <w:trHeight w:val="320"/>
          <w:jc w:val="center"/>
        </w:trPr>
        <w:tc>
          <w:tcPr>
            <w:tcW w:w="1576" w:type="dxa"/>
            <w:tcBorders>
              <w:top w:val="nil"/>
              <w:left w:val="nil"/>
              <w:bottom w:val="nil"/>
              <w:right w:val="nil"/>
            </w:tcBorders>
            <w:shd w:val="clear" w:color="auto" w:fill="auto"/>
            <w:noWrap/>
            <w:vAlign w:val="bottom"/>
            <w:hideMark/>
          </w:tcPr>
          <w:p w:rsidR="009F2454" w:rsidRPr="009F2454" w:rsidRDefault="009F2454" w:rsidP="009F2454">
            <w:pPr>
              <w:rPr>
                <w:rFonts w:ascii="Calibri" w:hAnsi="Calibri" w:cs="Calibri"/>
                <w:b/>
                <w:bCs/>
                <w:color w:val="000000"/>
              </w:rPr>
            </w:pPr>
            <w:r w:rsidRPr="009F2454">
              <w:rPr>
                <w:rFonts w:ascii="Calibri" w:hAnsi="Calibri" w:cs="Calibri"/>
                <w:b/>
                <w:bCs/>
                <w:color w:val="000000"/>
              </w:rPr>
              <w:t>DQ Test</w:t>
            </w:r>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0.00</w:t>
            </w:r>
          </w:p>
        </w:tc>
        <w:tc>
          <w:tcPr>
            <w:tcW w:w="1348"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0.00</w:t>
            </w:r>
          </w:p>
        </w:tc>
        <w:tc>
          <w:tcPr>
            <w:tcW w:w="97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0.00</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0.00</w:t>
            </w:r>
          </w:p>
        </w:tc>
        <w:tc>
          <w:tcPr>
            <w:tcW w:w="916" w:type="dxa"/>
            <w:tcBorders>
              <w:top w:val="nil"/>
              <w:left w:val="nil"/>
              <w:bottom w:val="nil"/>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0.00</w:t>
            </w:r>
          </w:p>
        </w:tc>
      </w:tr>
      <w:tr w:rsidR="009F2454" w:rsidRPr="009F2454" w:rsidTr="009F2454">
        <w:trPr>
          <w:trHeight w:val="340"/>
          <w:jc w:val="center"/>
        </w:trPr>
        <w:tc>
          <w:tcPr>
            <w:tcW w:w="1576" w:type="dxa"/>
            <w:tcBorders>
              <w:top w:val="nil"/>
              <w:left w:val="nil"/>
              <w:bottom w:val="single" w:sz="8" w:space="0" w:color="auto"/>
              <w:right w:val="nil"/>
            </w:tcBorders>
            <w:shd w:val="clear" w:color="auto" w:fill="auto"/>
            <w:noWrap/>
            <w:vAlign w:val="bottom"/>
            <w:hideMark/>
          </w:tcPr>
          <w:p w:rsidR="009F2454" w:rsidRPr="009F2454" w:rsidRDefault="009F2454" w:rsidP="009F2454">
            <w:pPr>
              <w:rPr>
                <w:rFonts w:ascii="Calibri" w:hAnsi="Calibri" w:cs="Calibri"/>
                <w:b/>
                <w:bCs/>
                <w:color w:val="000000"/>
              </w:rPr>
            </w:pPr>
            <w:r w:rsidRPr="009F2454">
              <w:rPr>
                <w:rFonts w:ascii="Calibri" w:hAnsi="Calibri" w:cs="Calibri"/>
                <w:b/>
                <w:bCs/>
                <w:color w:val="000000"/>
              </w:rPr>
              <w:t>Loss Function</w:t>
            </w:r>
          </w:p>
        </w:tc>
        <w:tc>
          <w:tcPr>
            <w:tcW w:w="1348" w:type="dxa"/>
            <w:tcBorders>
              <w:top w:val="nil"/>
              <w:left w:val="nil"/>
              <w:bottom w:val="single" w:sz="8" w:space="0" w:color="auto"/>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174.84</w:t>
            </w:r>
          </w:p>
        </w:tc>
        <w:tc>
          <w:tcPr>
            <w:tcW w:w="1348" w:type="dxa"/>
            <w:tcBorders>
              <w:top w:val="nil"/>
              <w:left w:val="nil"/>
              <w:bottom w:val="single" w:sz="8" w:space="0" w:color="auto"/>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174.22</w:t>
            </w:r>
          </w:p>
        </w:tc>
        <w:tc>
          <w:tcPr>
            <w:tcW w:w="976" w:type="dxa"/>
            <w:tcBorders>
              <w:top w:val="nil"/>
              <w:left w:val="nil"/>
              <w:bottom w:val="single" w:sz="8" w:space="0" w:color="auto"/>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178.31</w:t>
            </w:r>
          </w:p>
        </w:tc>
        <w:tc>
          <w:tcPr>
            <w:tcW w:w="916" w:type="dxa"/>
            <w:tcBorders>
              <w:top w:val="nil"/>
              <w:left w:val="nil"/>
              <w:bottom w:val="single" w:sz="8" w:space="0" w:color="auto"/>
              <w:right w:val="nil"/>
            </w:tcBorders>
            <w:shd w:val="clear" w:color="auto" w:fill="auto"/>
            <w:noWrap/>
            <w:vAlign w:val="bottom"/>
            <w:hideMark/>
          </w:tcPr>
          <w:p w:rsidR="009F2454" w:rsidRPr="00296C05" w:rsidRDefault="009F2454" w:rsidP="009F2454">
            <w:pPr>
              <w:jc w:val="center"/>
              <w:rPr>
                <w:rFonts w:ascii="Calibri" w:hAnsi="Calibri" w:cs="Calibri"/>
                <w:b/>
                <w:color w:val="000000"/>
              </w:rPr>
            </w:pPr>
            <w:r w:rsidRPr="00296C05">
              <w:rPr>
                <w:rFonts w:ascii="Calibri" w:hAnsi="Calibri" w:cs="Calibri"/>
                <w:b/>
                <w:color w:val="000000"/>
              </w:rPr>
              <w:t>154.29</w:t>
            </w:r>
          </w:p>
        </w:tc>
        <w:tc>
          <w:tcPr>
            <w:tcW w:w="916" w:type="dxa"/>
            <w:tcBorders>
              <w:top w:val="nil"/>
              <w:left w:val="nil"/>
              <w:bottom w:val="single" w:sz="8" w:space="0" w:color="auto"/>
              <w:right w:val="nil"/>
            </w:tcBorders>
            <w:shd w:val="clear" w:color="auto" w:fill="auto"/>
            <w:noWrap/>
            <w:vAlign w:val="bottom"/>
            <w:hideMark/>
          </w:tcPr>
          <w:p w:rsidR="009F2454" w:rsidRPr="009F2454" w:rsidRDefault="009F2454" w:rsidP="009F2454">
            <w:pPr>
              <w:jc w:val="center"/>
              <w:rPr>
                <w:rFonts w:ascii="Calibri" w:hAnsi="Calibri" w:cs="Calibri"/>
                <w:color w:val="000000"/>
              </w:rPr>
            </w:pPr>
            <w:r w:rsidRPr="009F2454">
              <w:rPr>
                <w:rFonts w:ascii="Calibri" w:hAnsi="Calibri" w:cs="Calibri"/>
                <w:color w:val="000000"/>
              </w:rPr>
              <w:t>190.03</w:t>
            </w:r>
          </w:p>
        </w:tc>
      </w:tr>
    </w:tbl>
    <w:p w:rsidR="005F3429" w:rsidRDefault="005F3429" w:rsidP="009F2454">
      <w:pPr>
        <w:jc w:val="center"/>
        <w:rPr>
          <w:lang w:val="en-US"/>
        </w:rPr>
      </w:pPr>
    </w:p>
    <w:p w:rsidR="005F3429" w:rsidRDefault="005F3429" w:rsidP="005F3429">
      <w:pPr>
        <w:jc w:val="center"/>
        <w:rPr>
          <w:lang w:val="en-US"/>
        </w:rPr>
      </w:pPr>
      <w:r>
        <w:rPr>
          <w:b/>
          <w:lang w:val="en-US"/>
        </w:rPr>
        <w:t>Table 56</w:t>
      </w:r>
      <w:r>
        <w:rPr>
          <w:lang w:val="en-US"/>
        </w:rPr>
        <w:t>: Tests for MSFT – 10-step ahead</w:t>
      </w:r>
    </w:p>
    <w:p w:rsidR="005F3429" w:rsidRDefault="005F3429" w:rsidP="00FC35B9">
      <w:pPr>
        <w:rPr>
          <w:lang w:val="en-US"/>
        </w:rPr>
      </w:pPr>
    </w:p>
    <w:p w:rsidR="003F5AFA" w:rsidRDefault="003F5AFA" w:rsidP="00FC35B9">
      <w:pPr>
        <w:rPr>
          <w:lang w:val="en-US"/>
        </w:rPr>
      </w:pPr>
    </w:p>
    <w:p w:rsidR="00BE11C0" w:rsidRDefault="003F5AFA" w:rsidP="00FC35B9">
      <w:pPr>
        <w:rPr>
          <w:lang w:val="en-US"/>
        </w:rPr>
      </w:pPr>
      <w:r w:rsidRPr="003F5AFA">
        <w:rPr>
          <w:lang w:val="en-US"/>
        </w:rPr>
        <w:t xml:space="preserve">According to </w:t>
      </w:r>
      <w:r w:rsidRPr="00BE11C0">
        <w:rPr>
          <w:b/>
          <w:lang w:val="en-US"/>
        </w:rPr>
        <w:t xml:space="preserve">Figure </w:t>
      </w:r>
      <w:r w:rsidR="00BE11C0" w:rsidRPr="00BE11C0">
        <w:rPr>
          <w:b/>
          <w:lang w:val="en-US"/>
        </w:rPr>
        <w:t>53</w:t>
      </w:r>
      <w:r w:rsidR="00BE11C0">
        <w:rPr>
          <w:lang w:val="en-US"/>
        </w:rPr>
        <w:t xml:space="preserve">, again the HS 5 model is the most dynamic one, with the risk of yielding more violations. </w:t>
      </w:r>
      <w:r w:rsidR="0073114B">
        <w:rPr>
          <w:lang w:val="en-US"/>
        </w:rPr>
        <w:t xml:space="preserve">During period of low volatilities, only HS 5 yielded violations quite frequently among these models. </w:t>
      </w:r>
      <w:r w:rsidR="00BE11C0">
        <w:rPr>
          <w:lang w:val="en-US"/>
        </w:rPr>
        <w:t xml:space="preserve">The AR(1)-GJR-GARCH(1,1) and AR(1)-GARCH(1,1) also shows the similar lines very close to each other. IGARCH performs most consistent during both periods of high volatility and low volatility, and its forecast line in </w:t>
      </w:r>
      <w:r w:rsidR="00BE11C0" w:rsidRPr="00BE11C0">
        <w:rPr>
          <w:b/>
          <w:lang w:val="en-US"/>
        </w:rPr>
        <w:t>Figure 53</w:t>
      </w:r>
      <w:r w:rsidR="00BE11C0">
        <w:rPr>
          <w:lang w:val="en-US"/>
        </w:rPr>
        <w:t xml:space="preserve"> is below the other lines and thus has the smallest number of violations.</w:t>
      </w:r>
    </w:p>
    <w:p w:rsidR="00296C05" w:rsidRDefault="00296C05" w:rsidP="00FC35B9">
      <w:pPr>
        <w:rPr>
          <w:lang w:val="en-US"/>
        </w:rPr>
      </w:pPr>
    </w:p>
    <w:p w:rsidR="00296C05" w:rsidRDefault="00296C05" w:rsidP="00FC35B9">
      <w:pPr>
        <w:rPr>
          <w:lang w:val="en-US"/>
        </w:rPr>
      </w:pPr>
      <w:r>
        <w:rPr>
          <w:lang w:val="en-US"/>
        </w:rPr>
        <w:t>As from Table 56, IGARCH performs best in terms of number of violations (13), with violation rate of 0.02, which is however not expected according to the confidence interval. None of those models survives the relatively strict DQ test, with p-values of 0, even though some of them passed the independence test. Unfortunately, the lowest loss function for 10-step ahead forecasts belongs to HS 25 model, thus here our advanced quantitative models did not outperform the much straight-forward HS.</w:t>
      </w:r>
    </w:p>
    <w:p w:rsidR="00BE11C0" w:rsidRDefault="00BE11C0" w:rsidP="00FC35B9">
      <w:pPr>
        <w:rPr>
          <w:lang w:val="en-US"/>
        </w:rPr>
      </w:pPr>
    </w:p>
    <w:p w:rsidR="00D3535C" w:rsidRPr="003F5AFA" w:rsidRDefault="00D3535C" w:rsidP="003F5AFA">
      <w:pPr>
        <w:rPr>
          <w:lang w:val="en-US"/>
        </w:rPr>
      </w:pPr>
    </w:p>
    <w:p w:rsidR="003F5AFA" w:rsidRDefault="003F5AFA" w:rsidP="003F5AFA">
      <w:pPr>
        <w:rPr>
          <w:lang w:val="en-US"/>
        </w:rPr>
      </w:pPr>
      <w:r w:rsidRPr="003F5AFA">
        <w:rPr>
          <w:lang w:val="en-US"/>
        </w:rPr>
        <w:t>Other Models:</w:t>
      </w:r>
    </w:p>
    <w:p w:rsidR="00D3535C" w:rsidRDefault="00D3535C" w:rsidP="003F5AFA">
      <w:pPr>
        <w:rPr>
          <w:lang w:val="en-US"/>
        </w:rPr>
      </w:pPr>
    </w:p>
    <w:p w:rsidR="00A118AC" w:rsidRDefault="00A118AC" w:rsidP="003F5AFA">
      <w:pPr>
        <w:rPr>
          <w:lang w:val="en-US"/>
        </w:rPr>
      </w:pPr>
    </w:p>
    <w:tbl>
      <w:tblPr>
        <w:tblW w:w="7080" w:type="dxa"/>
        <w:jc w:val="center"/>
        <w:tblLook w:val="04A0" w:firstRow="1" w:lastRow="0" w:firstColumn="1" w:lastColumn="0" w:noHBand="0" w:noVBand="1"/>
      </w:tblPr>
      <w:tblGrid>
        <w:gridCol w:w="1576"/>
        <w:gridCol w:w="1383"/>
        <w:gridCol w:w="1383"/>
        <w:gridCol w:w="992"/>
        <w:gridCol w:w="916"/>
        <w:gridCol w:w="916"/>
      </w:tblGrid>
      <w:tr w:rsidR="003B44EA" w:rsidRPr="003B44EA" w:rsidTr="003B44EA">
        <w:trPr>
          <w:trHeight w:val="980"/>
          <w:jc w:val="center"/>
        </w:trPr>
        <w:tc>
          <w:tcPr>
            <w:tcW w:w="1576" w:type="dxa"/>
            <w:tcBorders>
              <w:top w:val="nil"/>
              <w:left w:val="nil"/>
              <w:bottom w:val="single" w:sz="8" w:space="0" w:color="auto"/>
              <w:right w:val="nil"/>
            </w:tcBorders>
            <w:shd w:val="clear" w:color="auto" w:fill="auto"/>
            <w:noWrap/>
            <w:vAlign w:val="center"/>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JNJ</w:t>
            </w:r>
          </w:p>
        </w:tc>
        <w:tc>
          <w:tcPr>
            <w:tcW w:w="1348" w:type="dxa"/>
            <w:tcBorders>
              <w:top w:val="nil"/>
              <w:left w:val="nil"/>
              <w:bottom w:val="single" w:sz="8" w:space="0" w:color="auto"/>
              <w:right w:val="nil"/>
            </w:tcBorders>
            <w:shd w:val="clear" w:color="auto" w:fill="auto"/>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AR(1)-</w:t>
            </w:r>
            <w:r w:rsidRPr="003B44EA">
              <w:rPr>
                <w:rFonts w:ascii="Calibri" w:hAnsi="Calibri" w:cs="Calibri"/>
                <w:b/>
                <w:bCs/>
                <w:color w:val="000000"/>
              </w:rPr>
              <w:br/>
              <w:t>GARCH(1,1)</w:t>
            </w:r>
            <w:r w:rsidRPr="003B44EA">
              <w:rPr>
                <w:rFonts w:ascii="Calibri" w:hAnsi="Calibri" w:cs="Calibri"/>
                <w:b/>
                <w:bCs/>
                <w:color w:val="000000"/>
              </w:rPr>
              <w:br/>
              <w:t>-t</w:t>
            </w:r>
          </w:p>
        </w:tc>
        <w:tc>
          <w:tcPr>
            <w:tcW w:w="1348" w:type="dxa"/>
            <w:tcBorders>
              <w:top w:val="nil"/>
              <w:left w:val="nil"/>
              <w:bottom w:val="single" w:sz="8" w:space="0" w:color="auto"/>
              <w:right w:val="nil"/>
            </w:tcBorders>
            <w:shd w:val="clear" w:color="auto" w:fill="auto"/>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AR(1)-GJR-</w:t>
            </w:r>
            <w:r w:rsidRPr="003B44EA">
              <w:rPr>
                <w:rFonts w:ascii="Calibri" w:hAnsi="Calibri" w:cs="Calibri"/>
                <w:b/>
                <w:bCs/>
                <w:color w:val="000000"/>
              </w:rPr>
              <w:br/>
              <w:t>GARCH(1,1)</w:t>
            </w:r>
            <w:r w:rsidRPr="003B44EA">
              <w:rPr>
                <w:rFonts w:ascii="Calibri" w:hAnsi="Calibri" w:cs="Calibri"/>
                <w:b/>
                <w:bCs/>
                <w:color w:val="000000"/>
              </w:rPr>
              <w:br/>
              <w:t>-t</w:t>
            </w:r>
          </w:p>
        </w:tc>
        <w:tc>
          <w:tcPr>
            <w:tcW w:w="976"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IGARCH</w:t>
            </w:r>
          </w:p>
        </w:tc>
        <w:tc>
          <w:tcPr>
            <w:tcW w:w="916"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HS25</w:t>
            </w:r>
          </w:p>
        </w:tc>
        <w:tc>
          <w:tcPr>
            <w:tcW w:w="916"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HS5</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No of Viols</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25</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24</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14</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60</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148</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VRate</w:t>
            </w:r>
            <w:proofErr w:type="spellEnd"/>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0.03</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0.03</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0.02</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0.07</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0.18</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VRate</w:t>
            </w:r>
            <w:proofErr w:type="spellEnd"/>
            <w:r w:rsidRPr="003B44EA">
              <w:rPr>
                <w:rFonts w:ascii="Calibri" w:hAnsi="Calibri" w:cs="Calibri"/>
                <w:b/>
                <w:bCs/>
                <w:color w:val="000000"/>
              </w:rPr>
              <w:t xml:space="preserve"> Ratio</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0.60</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0.57</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0.33</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1.43</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3.52</w:t>
            </w:r>
          </w:p>
        </w:tc>
      </w:tr>
      <w:tr w:rsidR="003B44EA" w:rsidRPr="003B44EA" w:rsidTr="003B44EA">
        <w:trPr>
          <w:trHeight w:val="34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CI</w:t>
            </w:r>
          </w:p>
        </w:tc>
        <w:tc>
          <w:tcPr>
            <w:tcW w:w="5504" w:type="dxa"/>
            <w:gridSpan w:val="5"/>
            <w:tcBorders>
              <w:top w:val="nil"/>
              <w:left w:val="nil"/>
              <w:bottom w:val="nil"/>
              <w:right w:val="nil"/>
            </w:tcBorders>
            <w:shd w:val="clear" w:color="auto" w:fill="auto"/>
            <w:noWrap/>
            <w:vAlign w:val="bottom"/>
            <w:hideMark/>
          </w:tcPr>
          <w:p w:rsidR="003B44EA" w:rsidRPr="003B44EA" w:rsidRDefault="0052132A" w:rsidP="0052132A">
            <w:pPr>
              <w:rPr>
                <w:rFonts w:ascii="Calibri" w:hAnsi="Calibri" w:cs="Calibri"/>
                <w:color w:val="000000"/>
              </w:rPr>
            </w:pPr>
            <w:r>
              <w:rPr>
                <w:rFonts w:ascii="Calibri" w:hAnsi="Calibri" w:cs="Calibri"/>
                <w:color w:val="000000"/>
              </w:rPr>
              <w:t xml:space="preserve">        OK                    </w:t>
            </w:r>
            <w:proofErr w:type="spellStart"/>
            <w:r>
              <w:rPr>
                <w:rFonts w:ascii="Calibri" w:hAnsi="Calibri" w:cs="Calibri"/>
                <w:color w:val="000000"/>
              </w:rPr>
              <w:t>OK</w:t>
            </w:r>
            <w:proofErr w:type="spellEnd"/>
            <w:r>
              <w:rPr>
                <w:rFonts w:ascii="Calibri" w:hAnsi="Calibri" w:cs="Calibri"/>
                <w:color w:val="000000"/>
              </w:rPr>
              <w:t xml:space="preserve">                 NO            </w:t>
            </w:r>
            <w:proofErr w:type="spellStart"/>
            <w:r>
              <w:rPr>
                <w:rFonts w:ascii="Calibri" w:hAnsi="Calibri" w:cs="Calibri"/>
                <w:color w:val="000000"/>
              </w:rPr>
              <w:t>NO</w:t>
            </w:r>
            <w:proofErr w:type="spellEnd"/>
            <w:r>
              <w:rPr>
                <w:rFonts w:ascii="Calibri" w:hAnsi="Calibri" w:cs="Calibri"/>
                <w:color w:val="000000"/>
              </w:rPr>
              <w:t xml:space="preserve">           </w:t>
            </w:r>
            <w:proofErr w:type="spellStart"/>
            <w:r>
              <w:rPr>
                <w:rFonts w:ascii="Calibri" w:hAnsi="Calibri" w:cs="Calibri"/>
                <w:color w:val="000000"/>
              </w:rPr>
              <w:t>NO</w:t>
            </w:r>
            <w:proofErr w:type="spellEnd"/>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Ind</w:t>
            </w:r>
            <w:proofErr w:type="spellEnd"/>
            <w:r w:rsidRPr="003B44EA">
              <w:rPr>
                <w:rFonts w:ascii="Calibri" w:hAnsi="Calibri" w:cs="Calibri"/>
                <w:b/>
                <w:bCs/>
                <w:color w:val="000000"/>
              </w:rPr>
              <w:t xml:space="preserve"> Test</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0.21</w:t>
            </w:r>
          </w:p>
        </w:tc>
        <w:tc>
          <w:tcPr>
            <w:tcW w:w="1348" w:type="dxa"/>
            <w:tcBorders>
              <w:top w:val="nil"/>
              <w:left w:val="nil"/>
              <w:bottom w:val="nil"/>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0.18</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0.02</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DQ Test</w:t>
            </w:r>
          </w:p>
        </w:tc>
        <w:tc>
          <w:tcPr>
            <w:tcW w:w="1348" w:type="dxa"/>
            <w:tcBorders>
              <w:top w:val="nil"/>
              <w:left w:val="nil"/>
              <w:bottom w:val="nil"/>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0.10</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0.02</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r>
      <w:tr w:rsidR="003B44EA" w:rsidRPr="003B44EA" w:rsidTr="003B44EA">
        <w:trPr>
          <w:trHeight w:val="340"/>
          <w:jc w:val="center"/>
        </w:trPr>
        <w:tc>
          <w:tcPr>
            <w:tcW w:w="1576" w:type="dxa"/>
            <w:tcBorders>
              <w:top w:val="nil"/>
              <w:left w:val="nil"/>
              <w:bottom w:val="single" w:sz="8" w:space="0" w:color="auto"/>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Loss Function</w:t>
            </w:r>
          </w:p>
        </w:tc>
        <w:tc>
          <w:tcPr>
            <w:tcW w:w="1348"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102.86</w:t>
            </w:r>
          </w:p>
        </w:tc>
        <w:tc>
          <w:tcPr>
            <w:tcW w:w="1348" w:type="dxa"/>
            <w:tcBorders>
              <w:top w:val="nil"/>
              <w:left w:val="nil"/>
              <w:bottom w:val="single" w:sz="8" w:space="0" w:color="auto"/>
              <w:right w:val="nil"/>
            </w:tcBorders>
            <w:shd w:val="clear" w:color="auto" w:fill="auto"/>
            <w:noWrap/>
            <w:vAlign w:val="bottom"/>
            <w:hideMark/>
          </w:tcPr>
          <w:p w:rsidR="003B44EA" w:rsidRPr="00296C05" w:rsidRDefault="003B44EA" w:rsidP="003B44EA">
            <w:pPr>
              <w:jc w:val="center"/>
              <w:rPr>
                <w:rFonts w:ascii="Calibri" w:hAnsi="Calibri" w:cs="Calibri"/>
                <w:color w:val="000000"/>
              </w:rPr>
            </w:pPr>
            <w:r w:rsidRPr="00296C05">
              <w:rPr>
                <w:rFonts w:ascii="Calibri" w:hAnsi="Calibri" w:cs="Calibri"/>
                <w:color w:val="000000"/>
              </w:rPr>
              <w:t>106.82</w:t>
            </w:r>
          </w:p>
        </w:tc>
        <w:tc>
          <w:tcPr>
            <w:tcW w:w="976"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117.73</w:t>
            </w:r>
          </w:p>
        </w:tc>
        <w:tc>
          <w:tcPr>
            <w:tcW w:w="916" w:type="dxa"/>
            <w:tcBorders>
              <w:top w:val="nil"/>
              <w:left w:val="nil"/>
              <w:bottom w:val="single" w:sz="8" w:space="0" w:color="auto"/>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97.70</w:t>
            </w:r>
          </w:p>
        </w:tc>
        <w:tc>
          <w:tcPr>
            <w:tcW w:w="916"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129.66</w:t>
            </w:r>
          </w:p>
        </w:tc>
      </w:tr>
    </w:tbl>
    <w:p w:rsidR="00A118AC" w:rsidRDefault="00A118AC" w:rsidP="003F5AFA">
      <w:pPr>
        <w:rPr>
          <w:lang w:val="en-US"/>
        </w:rPr>
      </w:pPr>
    </w:p>
    <w:p w:rsidR="003F5AFA" w:rsidRDefault="003F5AFA" w:rsidP="003F5AFA">
      <w:pPr>
        <w:rPr>
          <w:lang w:val="en-US"/>
        </w:rPr>
      </w:pPr>
    </w:p>
    <w:p w:rsidR="003F5AFA" w:rsidRDefault="003F5AFA" w:rsidP="003F5AFA">
      <w:pPr>
        <w:jc w:val="center"/>
        <w:rPr>
          <w:lang w:val="en-US"/>
        </w:rPr>
      </w:pPr>
      <w:r>
        <w:rPr>
          <w:b/>
          <w:lang w:val="en-US"/>
        </w:rPr>
        <w:t>Table 5</w:t>
      </w:r>
      <w:r w:rsidR="005F3429">
        <w:rPr>
          <w:b/>
          <w:lang w:val="en-US"/>
        </w:rPr>
        <w:t>7</w:t>
      </w:r>
      <w:r>
        <w:rPr>
          <w:lang w:val="en-US"/>
        </w:rPr>
        <w:t>: Tests for JNJ – 10-step ahead</w:t>
      </w:r>
    </w:p>
    <w:p w:rsidR="00E16885" w:rsidRDefault="00E16885" w:rsidP="003F5AFA">
      <w:pPr>
        <w:jc w:val="center"/>
        <w:rPr>
          <w:lang w:val="en-US"/>
        </w:rPr>
      </w:pPr>
    </w:p>
    <w:p w:rsidR="00A118AC" w:rsidRDefault="00A118AC" w:rsidP="003F5AFA">
      <w:pPr>
        <w:jc w:val="center"/>
        <w:rPr>
          <w:lang w:val="en-US"/>
        </w:rPr>
      </w:pPr>
    </w:p>
    <w:tbl>
      <w:tblPr>
        <w:tblW w:w="7080" w:type="dxa"/>
        <w:jc w:val="center"/>
        <w:tblLook w:val="04A0" w:firstRow="1" w:lastRow="0" w:firstColumn="1" w:lastColumn="0" w:noHBand="0" w:noVBand="1"/>
      </w:tblPr>
      <w:tblGrid>
        <w:gridCol w:w="1576"/>
        <w:gridCol w:w="1383"/>
        <w:gridCol w:w="1383"/>
        <w:gridCol w:w="992"/>
        <w:gridCol w:w="916"/>
        <w:gridCol w:w="916"/>
      </w:tblGrid>
      <w:tr w:rsidR="003B44EA" w:rsidRPr="003B44EA" w:rsidTr="003B44EA">
        <w:trPr>
          <w:trHeight w:val="980"/>
          <w:jc w:val="center"/>
        </w:trPr>
        <w:tc>
          <w:tcPr>
            <w:tcW w:w="1576" w:type="dxa"/>
            <w:tcBorders>
              <w:top w:val="nil"/>
              <w:left w:val="nil"/>
              <w:bottom w:val="single" w:sz="8" w:space="0" w:color="auto"/>
              <w:right w:val="nil"/>
            </w:tcBorders>
            <w:shd w:val="clear" w:color="auto" w:fill="auto"/>
            <w:noWrap/>
            <w:vAlign w:val="center"/>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KO</w:t>
            </w:r>
          </w:p>
        </w:tc>
        <w:tc>
          <w:tcPr>
            <w:tcW w:w="1348" w:type="dxa"/>
            <w:tcBorders>
              <w:top w:val="nil"/>
              <w:left w:val="nil"/>
              <w:bottom w:val="single" w:sz="8" w:space="0" w:color="auto"/>
              <w:right w:val="nil"/>
            </w:tcBorders>
            <w:shd w:val="clear" w:color="auto" w:fill="auto"/>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AR(1)-</w:t>
            </w:r>
            <w:r w:rsidRPr="003B44EA">
              <w:rPr>
                <w:rFonts w:ascii="Calibri" w:hAnsi="Calibri" w:cs="Calibri"/>
                <w:b/>
                <w:bCs/>
                <w:color w:val="000000"/>
              </w:rPr>
              <w:br/>
              <w:t>GARCH(1,1)</w:t>
            </w:r>
            <w:r w:rsidRPr="003B44EA">
              <w:rPr>
                <w:rFonts w:ascii="Calibri" w:hAnsi="Calibri" w:cs="Calibri"/>
                <w:b/>
                <w:bCs/>
                <w:color w:val="000000"/>
              </w:rPr>
              <w:br/>
              <w:t>-t</w:t>
            </w:r>
          </w:p>
        </w:tc>
        <w:tc>
          <w:tcPr>
            <w:tcW w:w="1348" w:type="dxa"/>
            <w:tcBorders>
              <w:top w:val="nil"/>
              <w:left w:val="nil"/>
              <w:bottom w:val="single" w:sz="8" w:space="0" w:color="auto"/>
              <w:right w:val="nil"/>
            </w:tcBorders>
            <w:shd w:val="clear" w:color="auto" w:fill="auto"/>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AR(1)-GJR-</w:t>
            </w:r>
            <w:r w:rsidRPr="003B44EA">
              <w:rPr>
                <w:rFonts w:ascii="Calibri" w:hAnsi="Calibri" w:cs="Calibri"/>
                <w:b/>
                <w:bCs/>
                <w:color w:val="000000"/>
              </w:rPr>
              <w:br/>
              <w:t>GARCH(1,1)</w:t>
            </w:r>
            <w:r w:rsidRPr="003B44EA">
              <w:rPr>
                <w:rFonts w:ascii="Calibri" w:hAnsi="Calibri" w:cs="Calibri"/>
                <w:b/>
                <w:bCs/>
                <w:color w:val="000000"/>
              </w:rPr>
              <w:br/>
              <w:t>-t</w:t>
            </w:r>
          </w:p>
        </w:tc>
        <w:tc>
          <w:tcPr>
            <w:tcW w:w="976"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IGARCH</w:t>
            </w:r>
          </w:p>
        </w:tc>
        <w:tc>
          <w:tcPr>
            <w:tcW w:w="916"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HS25</w:t>
            </w:r>
          </w:p>
        </w:tc>
        <w:tc>
          <w:tcPr>
            <w:tcW w:w="916"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HS5</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No of Viols</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2</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2</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15</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56</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134</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VRate</w:t>
            </w:r>
            <w:proofErr w:type="spellEnd"/>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0.00</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0.00</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0.02</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0.07</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0.16</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VRate</w:t>
            </w:r>
            <w:proofErr w:type="spellEnd"/>
            <w:r w:rsidRPr="003B44EA">
              <w:rPr>
                <w:rFonts w:ascii="Calibri" w:hAnsi="Calibri" w:cs="Calibri"/>
                <w:b/>
                <w:bCs/>
                <w:color w:val="000000"/>
              </w:rPr>
              <w:t xml:space="preserve"> Ratio</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0.05</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0.05</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0.36</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1.33</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3.19</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CI</w:t>
            </w:r>
          </w:p>
        </w:tc>
        <w:tc>
          <w:tcPr>
            <w:tcW w:w="5504" w:type="dxa"/>
            <w:gridSpan w:val="5"/>
            <w:tcBorders>
              <w:top w:val="nil"/>
              <w:left w:val="nil"/>
              <w:bottom w:val="nil"/>
              <w:right w:val="nil"/>
            </w:tcBorders>
            <w:shd w:val="clear" w:color="auto" w:fill="auto"/>
            <w:noWrap/>
            <w:vAlign w:val="bottom"/>
            <w:hideMark/>
          </w:tcPr>
          <w:p w:rsidR="003B44EA" w:rsidRPr="003B44EA" w:rsidRDefault="0052132A" w:rsidP="0052132A">
            <w:pPr>
              <w:rPr>
                <w:rFonts w:ascii="Calibri" w:hAnsi="Calibri" w:cs="Calibri"/>
                <w:color w:val="000000"/>
              </w:rPr>
            </w:pPr>
            <w:r>
              <w:rPr>
                <w:rFonts w:ascii="Calibri" w:hAnsi="Calibri" w:cs="Calibri"/>
                <w:color w:val="000000"/>
              </w:rPr>
              <w:t xml:space="preserve">        </w:t>
            </w:r>
            <w:r>
              <w:rPr>
                <w:rFonts w:ascii="Calibri" w:hAnsi="Calibri" w:cs="Calibri" w:hint="eastAsia"/>
                <w:color w:val="000000"/>
              </w:rPr>
              <w:t>NO</w:t>
            </w:r>
            <w:r>
              <w:rPr>
                <w:rFonts w:ascii="Calibri" w:hAnsi="Calibri" w:cs="Calibri"/>
                <w:color w:val="000000"/>
              </w:rPr>
              <w:t xml:space="preserve">                    </w:t>
            </w:r>
            <w:proofErr w:type="spellStart"/>
            <w:r>
              <w:rPr>
                <w:rFonts w:ascii="Calibri" w:hAnsi="Calibri" w:cs="Calibri"/>
                <w:color w:val="000000"/>
              </w:rPr>
              <w:t>NO</w:t>
            </w:r>
            <w:proofErr w:type="spellEnd"/>
            <w:r>
              <w:rPr>
                <w:rFonts w:ascii="Calibri" w:hAnsi="Calibri" w:cs="Calibri"/>
                <w:color w:val="000000"/>
              </w:rPr>
              <w:t xml:space="preserve">                </w:t>
            </w:r>
            <w:proofErr w:type="spellStart"/>
            <w:r>
              <w:rPr>
                <w:rFonts w:ascii="Calibri" w:hAnsi="Calibri" w:cs="Calibri"/>
                <w:color w:val="000000"/>
              </w:rPr>
              <w:t>NO</w:t>
            </w:r>
            <w:proofErr w:type="spellEnd"/>
            <w:r>
              <w:rPr>
                <w:rFonts w:ascii="Calibri" w:hAnsi="Calibri" w:cs="Calibri"/>
                <w:color w:val="000000"/>
              </w:rPr>
              <w:t xml:space="preserve">            </w:t>
            </w:r>
            <w:proofErr w:type="spellStart"/>
            <w:r>
              <w:rPr>
                <w:rFonts w:ascii="Calibri" w:hAnsi="Calibri" w:cs="Calibri"/>
                <w:color w:val="000000"/>
              </w:rPr>
              <w:t>NO</w:t>
            </w:r>
            <w:proofErr w:type="spellEnd"/>
            <w:r>
              <w:rPr>
                <w:rFonts w:ascii="Calibri" w:hAnsi="Calibri" w:cs="Calibri"/>
                <w:color w:val="000000"/>
              </w:rPr>
              <w:t xml:space="preserve">           </w:t>
            </w:r>
            <w:proofErr w:type="spellStart"/>
            <w:r>
              <w:rPr>
                <w:rFonts w:ascii="Calibri" w:hAnsi="Calibri" w:cs="Calibri"/>
                <w:color w:val="000000"/>
              </w:rPr>
              <w:t>NO</w:t>
            </w:r>
            <w:proofErr w:type="spellEnd"/>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Ind</w:t>
            </w:r>
            <w:proofErr w:type="spellEnd"/>
            <w:r w:rsidRPr="003B44EA">
              <w:rPr>
                <w:rFonts w:ascii="Calibri" w:hAnsi="Calibri" w:cs="Calibri"/>
                <w:b/>
                <w:bCs/>
                <w:color w:val="000000"/>
              </w:rPr>
              <w:t xml:space="preserve"> Test</w:t>
            </w:r>
          </w:p>
        </w:tc>
        <w:tc>
          <w:tcPr>
            <w:tcW w:w="1348" w:type="dxa"/>
            <w:tcBorders>
              <w:top w:val="nil"/>
              <w:left w:val="nil"/>
              <w:bottom w:val="nil"/>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0.92</w:t>
            </w:r>
          </w:p>
        </w:tc>
        <w:tc>
          <w:tcPr>
            <w:tcW w:w="1348" w:type="dxa"/>
            <w:tcBorders>
              <w:top w:val="nil"/>
              <w:left w:val="nil"/>
              <w:bottom w:val="nil"/>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0.92</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0.26</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0.01</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DQ Test</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r>
      <w:tr w:rsidR="003B44EA" w:rsidRPr="003B44EA" w:rsidTr="003B44EA">
        <w:trPr>
          <w:trHeight w:val="340"/>
          <w:jc w:val="center"/>
        </w:trPr>
        <w:tc>
          <w:tcPr>
            <w:tcW w:w="1576" w:type="dxa"/>
            <w:tcBorders>
              <w:top w:val="nil"/>
              <w:left w:val="nil"/>
              <w:bottom w:val="single" w:sz="8" w:space="0" w:color="auto"/>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Loss Function</w:t>
            </w:r>
          </w:p>
        </w:tc>
        <w:tc>
          <w:tcPr>
            <w:tcW w:w="1348"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216.43</w:t>
            </w:r>
          </w:p>
        </w:tc>
        <w:tc>
          <w:tcPr>
            <w:tcW w:w="1348"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221.85</w:t>
            </w:r>
          </w:p>
        </w:tc>
        <w:tc>
          <w:tcPr>
            <w:tcW w:w="976"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107.88</w:t>
            </w:r>
          </w:p>
        </w:tc>
        <w:tc>
          <w:tcPr>
            <w:tcW w:w="916" w:type="dxa"/>
            <w:tcBorders>
              <w:top w:val="nil"/>
              <w:left w:val="nil"/>
              <w:bottom w:val="single" w:sz="8" w:space="0" w:color="auto"/>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100.77</w:t>
            </w:r>
          </w:p>
        </w:tc>
        <w:tc>
          <w:tcPr>
            <w:tcW w:w="916"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128.66</w:t>
            </w:r>
          </w:p>
        </w:tc>
      </w:tr>
    </w:tbl>
    <w:p w:rsidR="00A118AC" w:rsidRDefault="00A118AC" w:rsidP="003F5AFA">
      <w:pPr>
        <w:jc w:val="center"/>
        <w:rPr>
          <w:lang w:val="en-US"/>
        </w:rPr>
      </w:pPr>
    </w:p>
    <w:p w:rsidR="003F5AFA" w:rsidRDefault="003F5AFA" w:rsidP="003F5AFA">
      <w:pPr>
        <w:jc w:val="center"/>
        <w:rPr>
          <w:lang w:val="en-US"/>
        </w:rPr>
      </w:pPr>
      <w:r>
        <w:rPr>
          <w:b/>
          <w:lang w:val="en-US"/>
        </w:rPr>
        <w:t>Table 5</w:t>
      </w:r>
      <w:r w:rsidR="005F3429">
        <w:rPr>
          <w:b/>
          <w:lang w:val="en-US"/>
        </w:rPr>
        <w:t>8</w:t>
      </w:r>
      <w:r>
        <w:rPr>
          <w:lang w:val="en-US"/>
        </w:rPr>
        <w:t>: Tests for KO – 10-step ahead</w:t>
      </w:r>
    </w:p>
    <w:p w:rsidR="00E16885" w:rsidRDefault="00E16885" w:rsidP="003F5AFA">
      <w:pPr>
        <w:jc w:val="center"/>
        <w:rPr>
          <w:lang w:val="en-US"/>
        </w:rPr>
      </w:pPr>
    </w:p>
    <w:p w:rsidR="00A118AC" w:rsidRDefault="00A118AC" w:rsidP="003F5AFA">
      <w:pPr>
        <w:jc w:val="center"/>
        <w:rPr>
          <w:lang w:val="en-US"/>
        </w:rPr>
      </w:pPr>
    </w:p>
    <w:tbl>
      <w:tblPr>
        <w:tblW w:w="7080" w:type="dxa"/>
        <w:jc w:val="center"/>
        <w:tblLook w:val="04A0" w:firstRow="1" w:lastRow="0" w:firstColumn="1" w:lastColumn="0" w:noHBand="0" w:noVBand="1"/>
      </w:tblPr>
      <w:tblGrid>
        <w:gridCol w:w="1568"/>
        <w:gridCol w:w="1383"/>
        <w:gridCol w:w="1383"/>
        <w:gridCol w:w="992"/>
        <w:gridCol w:w="908"/>
        <w:gridCol w:w="908"/>
      </w:tblGrid>
      <w:tr w:rsidR="003B44EA" w:rsidRPr="003B44EA" w:rsidTr="003B44EA">
        <w:trPr>
          <w:trHeight w:val="980"/>
          <w:jc w:val="center"/>
        </w:trPr>
        <w:tc>
          <w:tcPr>
            <w:tcW w:w="1568" w:type="dxa"/>
            <w:tcBorders>
              <w:top w:val="nil"/>
              <w:left w:val="nil"/>
              <w:bottom w:val="single" w:sz="8" w:space="0" w:color="auto"/>
              <w:right w:val="nil"/>
            </w:tcBorders>
            <w:shd w:val="clear" w:color="auto" w:fill="auto"/>
            <w:noWrap/>
            <w:vAlign w:val="center"/>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PTR</w:t>
            </w:r>
          </w:p>
        </w:tc>
        <w:tc>
          <w:tcPr>
            <w:tcW w:w="1364" w:type="dxa"/>
            <w:tcBorders>
              <w:top w:val="nil"/>
              <w:left w:val="nil"/>
              <w:bottom w:val="single" w:sz="8" w:space="0" w:color="auto"/>
              <w:right w:val="nil"/>
            </w:tcBorders>
            <w:shd w:val="clear" w:color="auto" w:fill="auto"/>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AR(1)-</w:t>
            </w:r>
            <w:r w:rsidRPr="003B44EA">
              <w:rPr>
                <w:rFonts w:ascii="Calibri" w:hAnsi="Calibri" w:cs="Calibri"/>
                <w:b/>
                <w:bCs/>
                <w:color w:val="000000"/>
              </w:rPr>
              <w:br/>
              <w:t>GARCH(1,1)</w:t>
            </w:r>
            <w:r w:rsidRPr="003B44EA">
              <w:rPr>
                <w:rFonts w:ascii="Calibri" w:hAnsi="Calibri" w:cs="Calibri"/>
                <w:b/>
                <w:bCs/>
                <w:color w:val="000000"/>
              </w:rPr>
              <w:br/>
              <w:t>-t</w:t>
            </w:r>
          </w:p>
        </w:tc>
        <w:tc>
          <w:tcPr>
            <w:tcW w:w="1364" w:type="dxa"/>
            <w:tcBorders>
              <w:top w:val="nil"/>
              <w:left w:val="nil"/>
              <w:bottom w:val="single" w:sz="8" w:space="0" w:color="auto"/>
              <w:right w:val="nil"/>
            </w:tcBorders>
            <w:shd w:val="clear" w:color="auto" w:fill="auto"/>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AR(1)-GJR-</w:t>
            </w:r>
            <w:r w:rsidRPr="003B44EA">
              <w:rPr>
                <w:rFonts w:ascii="Calibri" w:hAnsi="Calibri" w:cs="Calibri"/>
                <w:b/>
                <w:bCs/>
                <w:color w:val="000000"/>
              </w:rPr>
              <w:br/>
              <w:t>GARCH(1,1)</w:t>
            </w:r>
            <w:r w:rsidRPr="003B44EA">
              <w:rPr>
                <w:rFonts w:ascii="Calibri" w:hAnsi="Calibri" w:cs="Calibri"/>
                <w:b/>
                <w:bCs/>
                <w:color w:val="000000"/>
              </w:rPr>
              <w:br/>
              <w:t>-t</w:t>
            </w:r>
          </w:p>
        </w:tc>
        <w:tc>
          <w:tcPr>
            <w:tcW w:w="968"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IGARCH</w:t>
            </w:r>
          </w:p>
        </w:tc>
        <w:tc>
          <w:tcPr>
            <w:tcW w:w="908"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HS25</w:t>
            </w:r>
          </w:p>
        </w:tc>
        <w:tc>
          <w:tcPr>
            <w:tcW w:w="908"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HS5</w:t>
            </w:r>
          </w:p>
        </w:tc>
      </w:tr>
      <w:tr w:rsidR="003B44EA" w:rsidRPr="003B44EA" w:rsidTr="003B44EA">
        <w:trPr>
          <w:trHeight w:val="320"/>
          <w:jc w:val="center"/>
        </w:trPr>
        <w:tc>
          <w:tcPr>
            <w:tcW w:w="1568"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No of Viols</w:t>
            </w:r>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21</w:t>
            </w:r>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13</w:t>
            </w:r>
          </w:p>
        </w:tc>
        <w:tc>
          <w:tcPr>
            <w:tcW w:w="96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7</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48</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126</w:t>
            </w:r>
          </w:p>
        </w:tc>
      </w:tr>
      <w:tr w:rsidR="003B44EA" w:rsidRPr="003B44EA" w:rsidTr="003B44EA">
        <w:trPr>
          <w:trHeight w:val="320"/>
          <w:jc w:val="center"/>
        </w:trPr>
        <w:tc>
          <w:tcPr>
            <w:tcW w:w="1568"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VRate</w:t>
            </w:r>
            <w:proofErr w:type="spellEnd"/>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0.03</w:t>
            </w:r>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0.02</w:t>
            </w:r>
          </w:p>
        </w:tc>
        <w:tc>
          <w:tcPr>
            <w:tcW w:w="96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0.01</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0.06</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0.15</w:t>
            </w:r>
          </w:p>
        </w:tc>
      </w:tr>
      <w:tr w:rsidR="003B44EA" w:rsidRPr="003B44EA" w:rsidTr="003B44EA">
        <w:trPr>
          <w:trHeight w:val="320"/>
          <w:jc w:val="center"/>
        </w:trPr>
        <w:tc>
          <w:tcPr>
            <w:tcW w:w="1568"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VRate</w:t>
            </w:r>
            <w:proofErr w:type="spellEnd"/>
            <w:r w:rsidRPr="003B44EA">
              <w:rPr>
                <w:rFonts w:ascii="Calibri" w:hAnsi="Calibri" w:cs="Calibri"/>
                <w:b/>
                <w:bCs/>
                <w:color w:val="000000"/>
              </w:rPr>
              <w:t xml:space="preserve"> Ratio</w:t>
            </w:r>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0.50</w:t>
            </w:r>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0.31</w:t>
            </w:r>
          </w:p>
        </w:tc>
        <w:tc>
          <w:tcPr>
            <w:tcW w:w="96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0.17</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1.14</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3.00</w:t>
            </w:r>
          </w:p>
        </w:tc>
      </w:tr>
      <w:tr w:rsidR="003B44EA" w:rsidRPr="003B44EA" w:rsidTr="003B44EA">
        <w:trPr>
          <w:trHeight w:val="320"/>
          <w:jc w:val="center"/>
        </w:trPr>
        <w:tc>
          <w:tcPr>
            <w:tcW w:w="1568"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CI</w:t>
            </w:r>
          </w:p>
        </w:tc>
        <w:tc>
          <w:tcPr>
            <w:tcW w:w="5512" w:type="dxa"/>
            <w:gridSpan w:val="5"/>
            <w:tcBorders>
              <w:top w:val="nil"/>
              <w:left w:val="nil"/>
              <w:bottom w:val="nil"/>
              <w:right w:val="nil"/>
            </w:tcBorders>
            <w:shd w:val="clear" w:color="auto" w:fill="auto"/>
            <w:noWrap/>
            <w:vAlign w:val="bottom"/>
            <w:hideMark/>
          </w:tcPr>
          <w:p w:rsidR="003B44EA" w:rsidRPr="003B44EA" w:rsidRDefault="0052132A" w:rsidP="0052132A">
            <w:pPr>
              <w:rPr>
                <w:rFonts w:ascii="Calibri" w:hAnsi="Calibri" w:cs="Calibri"/>
                <w:color w:val="000000"/>
              </w:rPr>
            </w:pPr>
            <w:r>
              <w:rPr>
                <w:rFonts w:ascii="Calibri" w:hAnsi="Calibri" w:cs="Calibri"/>
                <w:color w:val="000000"/>
              </w:rPr>
              <w:t xml:space="preserve">        </w:t>
            </w:r>
            <w:r w:rsidR="004E6830">
              <w:rPr>
                <w:rFonts w:ascii="Calibri" w:hAnsi="Calibri" w:cs="Calibri"/>
                <w:color w:val="000000"/>
              </w:rPr>
              <w:t>OK</w:t>
            </w:r>
            <w:r>
              <w:rPr>
                <w:rFonts w:ascii="Calibri" w:hAnsi="Calibri" w:cs="Calibri"/>
                <w:color w:val="000000"/>
              </w:rPr>
              <w:t xml:space="preserve">                    </w:t>
            </w:r>
            <w:r w:rsidR="004E6830">
              <w:rPr>
                <w:rFonts w:ascii="Calibri" w:hAnsi="Calibri" w:cs="Calibri"/>
                <w:color w:val="000000"/>
              </w:rPr>
              <w:t>NO</w:t>
            </w:r>
            <w:r>
              <w:rPr>
                <w:rFonts w:ascii="Calibri" w:hAnsi="Calibri" w:cs="Calibri"/>
                <w:color w:val="000000"/>
              </w:rPr>
              <w:t xml:space="preserve">                 </w:t>
            </w:r>
            <w:proofErr w:type="spellStart"/>
            <w:r w:rsidR="004E6830">
              <w:rPr>
                <w:rFonts w:ascii="Calibri" w:hAnsi="Calibri" w:cs="Calibri"/>
                <w:color w:val="000000"/>
              </w:rPr>
              <w:t>NO</w:t>
            </w:r>
            <w:proofErr w:type="spellEnd"/>
            <w:r>
              <w:rPr>
                <w:rFonts w:ascii="Calibri" w:hAnsi="Calibri" w:cs="Calibri"/>
                <w:color w:val="000000"/>
              </w:rPr>
              <w:t xml:space="preserve">            </w:t>
            </w:r>
            <w:r w:rsidRPr="0052132A">
              <w:rPr>
                <w:rFonts w:ascii="Calibri" w:hAnsi="Calibri" w:cs="Calibri"/>
                <w:color w:val="000000"/>
              </w:rPr>
              <w:t>OK</w:t>
            </w:r>
            <w:r>
              <w:rPr>
                <w:rFonts w:ascii="Calibri" w:hAnsi="Calibri" w:cs="Calibri"/>
                <w:color w:val="000000"/>
              </w:rPr>
              <w:t xml:space="preserve">           </w:t>
            </w:r>
            <w:r w:rsidR="004E6830">
              <w:rPr>
                <w:rFonts w:ascii="Calibri" w:hAnsi="Calibri" w:cs="Calibri"/>
                <w:color w:val="000000"/>
              </w:rPr>
              <w:t>NO</w:t>
            </w:r>
          </w:p>
        </w:tc>
      </w:tr>
      <w:tr w:rsidR="003B44EA" w:rsidRPr="003B44EA" w:rsidTr="003B44EA">
        <w:trPr>
          <w:trHeight w:val="320"/>
          <w:jc w:val="center"/>
        </w:trPr>
        <w:tc>
          <w:tcPr>
            <w:tcW w:w="1568"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Ind</w:t>
            </w:r>
            <w:proofErr w:type="spellEnd"/>
            <w:r w:rsidRPr="003B44EA">
              <w:rPr>
                <w:rFonts w:ascii="Calibri" w:hAnsi="Calibri" w:cs="Calibri"/>
                <w:b/>
                <w:bCs/>
                <w:color w:val="000000"/>
              </w:rPr>
              <w:t xml:space="preserve"> Test</w:t>
            </w:r>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0.55</w:t>
            </w:r>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0.19</w:t>
            </w:r>
          </w:p>
        </w:tc>
        <w:tc>
          <w:tcPr>
            <w:tcW w:w="968" w:type="dxa"/>
            <w:tcBorders>
              <w:top w:val="nil"/>
              <w:left w:val="nil"/>
              <w:bottom w:val="nil"/>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0.73</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0.02</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r>
      <w:tr w:rsidR="003B44EA" w:rsidRPr="003B44EA" w:rsidTr="003B44EA">
        <w:trPr>
          <w:trHeight w:val="320"/>
          <w:jc w:val="center"/>
        </w:trPr>
        <w:tc>
          <w:tcPr>
            <w:tcW w:w="1568"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DQ Test</w:t>
            </w:r>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0.02</w:t>
            </w:r>
          </w:p>
        </w:tc>
        <w:tc>
          <w:tcPr>
            <w:tcW w:w="1364"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6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0.01</w:t>
            </w:r>
          </w:p>
        </w:tc>
        <w:tc>
          <w:tcPr>
            <w:tcW w:w="90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r>
      <w:tr w:rsidR="003B44EA" w:rsidRPr="003B44EA" w:rsidTr="003B44EA">
        <w:trPr>
          <w:trHeight w:val="340"/>
          <w:jc w:val="center"/>
        </w:trPr>
        <w:tc>
          <w:tcPr>
            <w:tcW w:w="1568" w:type="dxa"/>
            <w:tcBorders>
              <w:top w:val="nil"/>
              <w:left w:val="nil"/>
              <w:bottom w:val="single" w:sz="8" w:space="0" w:color="auto"/>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Loss Function</w:t>
            </w:r>
          </w:p>
        </w:tc>
        <w:tc>
          <w:tcPr>
            <w:tcW w:w="1364"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197.70</w:t>
            </w:r>
          </w:p>
        </w:tc>
        <w:tc>
          <w:tcPr>
            <w:tcW w:w="1364"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201.35</w:t>
            </w:r>
          </w:p>
        </w:tc>
        <w:tc>
          <w:tcPr>
            <w:tcW w:w="968"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219.07</w:t>
            </w:r>
          </w:p>
        </w:tc>
        <w:tc>
          <w:tcPr>
            <w:tcW w:w="908" w:type="dxa"/>
            <w:tcBorders>
              <w:top w:val="nil"/>
              <w:left w:val="nil"/>
              <w:bottom w:val="single" w:sz="8" w:space="0" w:color="auto"/>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169.42</w:t>
            </w:r>
          </w:p>
        </w:tc>
        <w:tc>
          <w:tcPr>
            <w:tcW w:w="908"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215.14</w:t>
            </w:r>
          </w:p>
        </w:tc>
      </w:tr>
    </w:tbl>
    <w:p w:rsidR="00A118AC" w:rsidRDefault="00A118AC" w:rsidP="003F5AFA">
      <w:pPr>
        <w:jc w:val="center"/>
        <w:rPr>
          <w:lang w:val="en-US"/>
        </w:rPr>
      </w:pPr>
    </w:p>
    <w:p w:rsidR="00A118AC" w:rsidRDefault="00A118AC" w:rsidP="003F5AFA">
      <w:pPr>
        <w:jc w:val="center"/>
        <w:rPr>
          <w:lang w:val="en-US"/>
        </w:rPr>
      </w:pPr>
    </w:p>
    <w:p w:rsidR="003F5AFA" w:rsidRDefault="003F5AFA" w:rsidP="003F5AFA">
      <w:pPr>
        <w:jc w:val="center"/>
        <w:rPr>
          <w:lang w:val="en-US"/>
        </w:rPr>
      </w:pPr>
      <w:r>
        <w:rPr>
          <w:b/>
          <w:lang w:val="en-US"/>
        </w:rPr>
        <w:t>Table 5</w:t>
      </w:r>
      <w:r w:rsidR="005F3429">
        <w:rPr>
          <w:b/>
          <w:lang w:val="en-US"/>
        </w:rPr>
        <w:t>9</w:t>
      </w:r>
      <w:r>
        <w:rPr>
          <w:lang w:val="en-US"/>
        </w:rPr>
        <w:t>: Tests for PTR – 10-step ahead</w:t>
      </w:r>
    </w:p>
    <w:p w:rsidR="00A118AC" w:rsidRDefault="00A118AC" w:rsidP="003F5AFA">
      <w:pPr>
        <w:jc w:val="center"/>
        <w:rPr>
          <w:lang w:val="en-US"/>
        </w:rPr>
      </w:pPr>
    </w:p>
    <w:p w:rsidR="00A118AC" w:rsidRDefault="00A118AC" w:rsidP="003F5AFA">
      <w:pPr>
        <w:jc w:val="center"/>
        <w:rPr>
          <w:lang w:val="en-US"/>
        </w:rPr>
      </w:pPr>
    </w:p>
    <w:tbl>
      <w:tblPr>
        <w:tblW w:w="7080" w:type="dxa"/>
        <w:jc w:val="center"/>
        <w:tblLook w:val="04A0" w:firstRow="1" w:lastRow="0" w:firstColumn="1" w:lastColumn="0" w:noHBand="0" w:noVBand="1"/>
      </w:tblPr>
      <w:tblGrid>
        <w:gridCol w:w="1576"/>
        <w:gridCol w:w="1383"/>
        <w:gridCol w:w="1383"/>
        <w:gridCol w:w="992"/>
        <w:gridCol w:w="916"/>
        <w:gridCol w:w="916"/>
      </w:tblGrid>
      <w:tr w:rsidR="003B44EA" w:rsidRPr="003B44EA" w:rsidTr="003B44EA">
        <w:trPr>
          <w:trHeight w:val="980"/>
          <w:jc w:val="center"/>
        </w:trPr>
        <w:tc>
          <w:tcPr>
            <w:tcW w:w="1576" w:type="dxa"/>
            <w:tcBorders>
              <w:top w:val="nil"/>
              <w:left w:val="nil"/>
              <w:bottom w:val="single" w:sz="8" w:space="0" w:color="auto"/>
              <w:right w:val="nil"/>
            </w:tcBorders>
            <w:shd w:val="clear" w:color="auto" w:fill="auto"/>
            <w:noWrap/>
            <w:vAlign w:val="center"/>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MMM</w:t>
            </w:r>
          </w:p>
        </w:tc>
        <w:tc>
          <w:tcPr>
            <w:tcW w:w="1348" w:type="dxa"/>
            <w:tcBorders>
              <w:top w:val="nil"/>
              <w:left w:val="nil"/>
              <w:bottom w:val="single" w:sz="8" w:space="0" w:color="auto"/>
              <w:right w:val="nil"/>
            </w:tcBorders>
            <w:shd w:val="clear" w:color="auto" w:fill="auto"/>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AR(1)-</w:t>
            </w:r>
            <w:r w:rsidRPr="003B44EA">
              <w:rPr>
                <w:rFonts w:ascii="Calibri" w:hAnsi="Calibri" w:cs="Calibri"/>
                <w:b/>
                <w:bCs/>
                <w:color w:val="000000"/>
              </w:rPr>
              <w:br/>
              <w:t>GARCH(1,1)</w:t>
            </w:r>
            <w:r w:rsidRPr="003B44EA">
              <w:rPr>
                <w:rFonts w:ascii="Calibri" w:hAnsi="Calibri" w:cs="Calibri"/>
                <w:b/>
                <w:bCs/>
                <w:color w:val="000000"/>
              </w:rPr>
              <w:br/>
              <w:t>-t</w:t>
            </w:r>
          </w:p>
        </w:tc>
        <w:tc>
          <w:tcPr>
            <w:tcW w:w="1348" w:type="dxa"/>
            <w:tcBorders>
              <w:top w:val="nil"/>
              <w:left w:val="nil"/>
              <w:bottom w:val="single" w:sz="8" w:space="0" w:color="auto"/>
              <w:right w:val="nil"/>
            </w:tcBorders>
            <w:shd w:val="clear" w:color="auto" w:fill="auto"/>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AR(1)-GJR-</w:t>
            </w:r>
            <w:r w:rsidRPr="003B44EA">
              <w:rPr>
                <w:rFonts w:ascii="Calibri" w:hAnsi="Calibri" w:cs="Calibri"/>
                <w:b/>
                <w:bCs/>
                <w:color w:val="000000"/>
              </w:rPr>
              <w:br/>
              <w:t>GARCH(1,1)</w:t>
            </w:r>
            <w:r w:rsidRPr="003B44EA">
              <w:rPr>
                <w:rFonts w:ascii="Calibri" w:hAnsi="Calibri" w:cs="Calibri"/>
                <w:b/>
                <w:bCs/>
                <w:color w:val="000000"/>
              </w:rPr>
              <w:br/>
              <w:t>-t</w:t>
            </w:r>
          </w:p>
        </w:tc>
        <w:tc>
          <w:tcPr>
            <w:tcW w:w="976"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IGARCH</w:t>
            </w:r>
          </w:p>
        </w:tc>
        <w:tc>
          <w:tcPr>
            <w:tcW w:w="916"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HS25</w:t>
            </w:r>
          </w:p>
        </w:tc>
        <w:tc>
          <w:tcPr>
            <w:tcW w:w="916" w:type="dxa"/>
            <w:tcBorders>
              <w:top w:val="nil"/>
              <w:left w:val="nil"/>
              <w:bottom w:val="single" w:sz="8" w:space="0" w:color="auto"/>
              <w:right w:val="nil"/>
            </w:tcBorders>
            <w:shd w:val="clear" w:color="auto" w:fill="auto"/>
            <w:noWrap/>
            <w:vAlign w:val="center"/>
            <w:hideMark/>
          </w:tcPr>
          <w:p w:rsidR="003B44EA" w:rsidRPr="003B44EA" w:rsidRDefault="003B44EA" w:rsidP="003B44EA">
            <w:pPr>
              <w:jc w:val="center"/>
              <w:rPr>
                <w:rFonts w:ascii="Calibri" w:hAnsi="Calibri" w:cs="Calibri"/>
                <w:b/>
                <w:bCs/>
                <w:color w:val="000000"/>
              </w:rPr>
            </w:pPr>
            <w:r w:rsidRPr="003B44EA">
              <w:rPr>
                <w:rFonts w:ascii="Calibri" w:hAnsi="Calibri" w:cs="Calibri"/>
                <w:b/>
                <w:bCs/>
                <w:color w:val="000000"/>
              </w:rPr>
              <w:t>HS5</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No of Viols</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30</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30</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13</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54</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146</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VRate</w:t>
            </w:r>
            <w:proofErr w:type="spellEnd"/>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0.04</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0.04</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0.02</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0.06</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0.17</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VRate</w:t>
            </w:r>
            <w:proofErr w:type="spellEnd"/>
            <w:r w:rsidRPr="003B44EA">
              <w:rPr>
                <w:rFonts w:ascii="Calibri" w:hAnsi="Calibri" w:cs="Calibri"/>
                <w:b/>
                <w:bCs/>
                <w:color w:val="000000"/>
              </w:rPr>
              <w:t xml:space="preserve"> Ratio</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0.71</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0.71</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b/>
                <w:color w:val="000000"/>
              </w:rPr>
            </w:pPr>
            <w:r w:rsidRPr="003B44EA">
              <w:rPr>
                <w:rFonts w:ascii="Calibri" w:hAnsi="Calibri" w:cs="Calibri"/>
                <w:b/>
                <w:color w:val="000000"/>
              </w:rPr>
              <w:t>0.31</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1.29</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3.48</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CI</w:t>
            </w:r>
          </w:p>
        </w:tc>
        <w:tc>
          <w:tcPr>
            <w:tcW w:w="5504" w:type="dxa"/>
            <w:gridSpan w:val="5"/>
            <w:tcBorders>
              <w:top w:val="nil"/>
              <w:left w:val="nil"/>
              <w:bottom w:val="nil"/>
              <w:right w:val="nil"/>
            </w:tcBorders>
            <w:shd w:val="clear" w:color="auto" w:fill="auto"/>
            <w:noWrap/>
            <w:vAlign w:val="bottom"/>
            <w:hideMark/>
          </w:tcPr>
          <w:p w:rsidR="003B44EA" w:rsidRPr="003B44EA" w:rsidRDefault="0052132A" w:rsidP="0052132A">
            <w:pPr>
              <w:rPr>
                <w:rFonts w:ascii="Calibri" w:hAnsi="Calibri" w:cs="Calibri"/>
                <w:color w:val="000000"/>
              </w:rPr>
            </w:pPr>
            <w:r>
              <w:rPr>
                <w:rFonts w:ascii="Calibri" w:hAnsi="Calibri" w:cs="Calibri"/>
                <w:color w:val="000000"/>
              </w:rPr>
              <w:t xml:space="preserve">        OK                    </w:t>
            </w:r>
            <w:proofErr w:type="spellStart"/>
            <w:r>
              <w:rPr>
                <w:rFonts w:ascii="Calibri" w:hAnsi="Calibri" w:cs="Calibri"/>
                <w:color w:val="000000"/>
              </w:rPr>
              <w:t>OK</w:t>
            </w:r>
            <w:proofErr w:type="spellEnd"/>
            <w:r>
              <w:rPr>
                <w:rFonts w:ascii="Calibri" w:hAnsi="Calibri" w:cs="Calibri"/>
                <w:color w:val="000000"/>
              </w:rPr>
              <w:t xml:space="preserve">                 </w:t>
            </w:r>
            <w:r w:rsidR="004E6830">
              <w:rPr>
                <w:rFonts w:ascii="Calibri" w:hAnsi="Calibri" w:cs="Calibri"/>
                <w:color w:val="000000"/>
              </w:rPr>
              <w:t>NO</w:t>
            </w:r>
            <w:r>
              <w:rPr>
                <w:rFonts w:ascii="Calibri" w:hAnsi="Calibri" w:cs="Calibri"/>
                <w:color w:val="000000"/>
              </w:rPr>
              <w:t xml:space="preserve">            </w:t>
            </w:r>
            <w:r w:rsidRPr="0052132A">
              <w:rPr>
                <w:rFonts w:ascii="Calibri" w:hAnsi="Calibri" w:cs="Calibri"/>
                <w:color w:val="000000"/>
              </w:rPr>
              <w:t>OK</w:t>
            </w:r>
            <w:r>
              <w:rPr>
                <w:rFonts w:ascii="Calibri" w:hAnsi="Calibri" w:cs="Calibri"/>
                <w:color w:val="000000"/>
              </w:rPr>
              <w:t xml:space="preserve">           </w:t>
            </w:r>
            <w:r w:rsidR="004E6830">
              <w:rPr>
                <w:rFonts w:ascii="Calibri" w:hAnsi="Calibri" w:cs="Calibri"/>
                <w:color w:val="000000"/>
              </w:rPr>
              <w:t>NO</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proofErr w:type="spellStart"/>
            <w:r w:rsidRPr="003B44EA">
              <w:rPr>
                <w:rFonts w:ascii="Calibri" w:hAnsi="Calibri" w:cs="Calibri"/>
                <w:b/>
                <w:bCs/>
                <w:color w:val="000000"/>
              </w:rPr>
              <w:t>Ind</w:t>
            </w:r>
            <w:proofErr w:type="spellEnd"/>
            <w:r w:rsidRPr="003B44EA">
              <w:rPr>
                <w:rFonts w:ascii="Calibri" w:hAnsi="Calibri" w:cs="Calibri"/>
                <w:b/>
                <w:bCs/>
                <w:color w:val="000000"/>
              </w:rPr>
              <w:t xml:space="preserve"> Test</w:t>
            </w:r>
          </w:p>
        </w:tc>
        <w:tc>
          <w:tcPr>
            <w:tcW w:w="1348" w:type="dxa"/>
            <w:tcBorders>
              <w:top w:val="nil"/>
              <w:left w:val="nil"/>
              <w:bottom w:val="nil"/>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0.94</w:t>
            </w:r>
          </w:p>
        </w:tc>
        <w:tc>
          <w:tcPr>
            <w:tcW w:w="1348" w:type="dxa"/>
            <w:tcBorders>
              <w:top w:val="nil"/>
              <w:left w:val="nil"/>
              <w:bottom w:val="nil"/>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0.94</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0.52</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0.77</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0.01</w:t>
            </w:r>
          </w:p>
        </w:tc>
      </w:tr>
      <w:tr w:rsidR="003B44EA" w:rsidRPr="003B44EA" w:rsidTr="003B44EA">
        <w:trPr>
          <w:trHeight w:val="320"/>
          <w:jc w:val="center"/>
        </w:trPr>
        <w:tc>
          <w:tcPr>
            <w:tcW w:w="1576" w:type="dxa"/>
            <w:tcBorders>
              <w:top w:val="nil"/>
              <w:left w:val="nil"/>
              <w:bottom w:val="nil"/>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DQ Test</w:t>
            </w:r>
          </w:p>
        </w:tc>
        <w:tc>
          <w:tcPr>
            <w:tcW w:w="1348"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0.15</w:t>
            </w:r>
          </w:p>
        </w:tc>
        <w:tc>
          <w:tcPr>
            <w:tcW w:w="1348" w:type="dxa"/>
            <w:tcBorders>
              <w:top w:val="nil"/>
              <w:left w:val="nil"/>
              <w:bottom w:val="nil"/>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0.23</w:t>
            </w:r>
          </w:p>
        </w:tc>
        <w:tc>
          <w:tcPr>
            <w:tcW w:w="97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c>
          <w:tcPr>
            <w:tcW w:w="916" w:type="dxa"/>
            <w:tcBorders>
              <w:top w:val="nil"/>
              <w:left w:val="nil"/>
              <w:bottom w:val="nil"/>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0.00</w:t>
            </w:r>
          </w:p>
        </w:tc>
      </w:tr>
      <w:tr w:rsidR="003B44EA" w:rsidRPr="003B44EA" w:rsidTr="003B44EA">
        <w:trPr>
          <w:trHeight w:val="340"/>
          <w:jc w:val="center"/>
        </w:trPr>
        <w:tc>
          <w:tcPr>
            <w:tcW w:w="1576" w:type="dxa"/>
            <w:tcBorders>
              <w:top w:val="nil"/>
              <w:left w:val="nil"/>
              <w:bottom w:val="single" w:sz="8" w:space="0" w:color="auto"/>
              <w:right w:val="nil"/>
            </w:tcBorders>
            <w:shd w:val="clear" w:color="auto" w:fill="auto"/>
            <w:noWrap/>
            <w:vAlign w:val="bottom"/>
            <w:hideMark/>
          </w:tcPr>
          <w:p w:rsidR="003B44EA" w:rsidRPr="003B44EA" w:rsidRDefault="003B44EA" w:rsidP="003B44EA">
            <w:pPr>
              <w:rPr>
                <w:rFonts w:ascii="Calibri" w:hAnsi="Calibri" w:cs="Calibri"/>
                <w:b/>
                <w:bCs/>
                <w:color w:val="000000"/>
              </w:rPr>
            </w:pPr>
            <w:r w:rsidRPr="003B44EA">
              <w:rPr>
                <w:rFonts w:ascii="Calibri" w:hAnsi="Calibri" w:cs="Calibri"/>
                <w:b/>
                <w:bCs/>
                <w:color w:val="000000"/>
              </w:rPr>
              <w:t>Loss Function</w:t>
            </w:r>
          </w:p>
        </w:tc>
        <w:tc>
          <w:tcPr>
            <w:tcW w:w="1348"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124.03</w:t>
            </w:r>
          </w:p>
        </w:tc>
        <w:tc>
          <w:tcPr>
            <w:tcW w:w="1348"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121.58</w:t>
            </w:r>
          </w:p>
        </w:tc>
        <w:tc>
          <w:tcPr>
            <w:tcW w:w="976"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133.07</w:t>
            </w:r>
          </w:p>
        </w:tc>
        <w:tc>
          <w:tcPr>
            <w:tcW w:w="916" w:type="dxa"/>
            <w:tcBorders>
              <w:top w:val="nil"/>
              <w:left w:val="nil"/>
              <w:bottom w:val="single" w:sz="8" w:space="0" w:color="auto"/>
              <w:right w:val="nil"/>
            </w:tcBorders>
            <w:shd w:val="clear" w:color="auto" w:fill="auto"/>
            <w:noWrap/>
            <w:vAlign w:val="bottom"/>
            <w:hideMark/>
          </w:tcPr>
          <w:p w:rsidR="003B44EA" w:rsidRPr="00296C05" w:rsidRDefault="003B44EA" w:rsidP="003B44EA">
            <w:pPr>
              <w:jc w:val="center"/>
              <w:rPr>
                <w:rFonts w:ascii="Calibri" w:hAnsi="Calibri" w:cs="Calibri"/>
                <w:b/>
                <w:color w:val="000000"/>
              </w:rPr>
            </w:pPr>
            <w:r w:rsidRPr="00296C05">
              <w:rPr>
                <w:rFonts w:ascii="Calibri" w:hAnsi="Calibri" w:cs="Calibri"/>
                <w:b/>
                <w:color w:val="000000"/>
              </w:rPr>
              <w:t>119.24</w:t>
            </w:r>
          </w:p>
        </w:tc>
        <w:tc>
          <w:tcPr>
            <w:tcW w:w="916" w:type="dxa"/>
            <w:tcBorders>
              <w:top w:val="nil"/>
              <w:left w:val="nil"/>
              <w:bottom w:val="single" w:sz="8" w:space="0" w:color="auto"/>
              <w:right w:val="nil"/>
            </w:tcBorders>
            <w:shd w:val="clear" w:color="auto" w:fill="auto"/>
            <w:noWrap/>
            <w:vAlign w:val="bottom"/>
            <w:hideMark/>
          </w:tcPr>
          <w:p w:rsidR="003B44EA" w:rsidRPr="003B44EA" w:rsidRDefault="003B44EA" w:rsidP="003B44EA">
            <w:pPr>
              <w:jc w:val="center"/>
              <w:rPr>
                <w:rFonts w:ascii="Calibri" w:hAnsi="Calibri" w:cs="Calibri"/>
                <w:color w:val="000000"/>
              </w:rPr>
            </w:pPr>
            <w:r w:rsidRPr="003B44EA">
              <w:rPr>
                <w:rFonts w:ascii="Calibri" w:hAnsi="Calibri" w:cs="Calibri"/>
                <w:color w:val="000000"/>
              </w:rPr>
              <w:t>158.98</w:t>
            </w:r>
          </w:p>
        </w:tc>
      </w:tr>
    </w:tbl>
    <w:p w:rsidR="00E16885" w:rsidRDefault="00E16885" w:rsidP="003F5AFA">
      <w:pPr>
        <w:jc w:val="center"/>
        <w:rPr>
          <w:lang w:val="en-US"/>
        </w:rPr>
      </w:pPr>
    </w:p>
    <w:p w:rsidR="003F5AFA" w:rsidRDefault="003F5AFA" w:rsidP="003F5AFA">
      <w:pPr>
        <w:jc w:val="center"/>
        <w:rPr>
          <w:lang w:val="en-US"/>
        </w:rPr>
      </w:pPr>
      <w:r>
        <w:rPr>
          <w:b/>
          <w:lang w:val="en-US"/>
        </w:rPr>
        <w:t xml:space="preserve">Table </w:t>
      </w:r>
      <w:r w:rsidR="005F3429">
        <w:rPr>
          <w:b/>
          <w:lang w:val="en-US"/>
        </w:rPr>
        <w:t>60</w:t>
      </w:r>
      <w:r>
        <w:rPr>
          <w:lang w:val="en-US"/>
        </w:rPr>
        <w:t>: Tests for MMM – 10-step ahead</w:t>
      </w:r>
    </w:p>
    <w:p w:rsidR="003F5AFA" w:rsidRDefault="003F5AFA" w:rsidP="003F5AFA">
      <w:pPr>
        <w:rPr>
          <w:lang w:val="en-US"/>
        </w:rPr>
      </w:pPr>
    </w:p>
    <w:p w:rsidR="003F5AFA" w:rsidRDefault="003F5AFA" w:rsidP="003F5AFA">
      <w:pPr>
        <w:rPr>
          <w:lang w:val="en-US"/>
        </w:rPr>
      </w:pPr>
    </w:p>
    <w:p w:rsidR="00483EC1" w:rsidRDefault="00483EC1" w:rsidP="003F5AFA">
      <w:pPr>
        <w:rPr>
          <w:lang w:val="en-US"/>
        </w:rPr>
      </w:pPr>
      <w:r>
        <w:rPr>
          <w:lang w:val="en-US"/>
        </w:rPr>
        <w:t xml:space="preserve">According to </w:t>
      </w:r>
      <w:r w:rsidRPr="00483EC1">
        <w:rPr>
          <w:b/>
          <w:lang w:val="en-US"/>
        </w:rPr>
        <w:t>Table 57 – Table 60</w:t>
      </w:r>
      <w:r>
        <w:rPr>
          <w:lang w:val="en-US"/>
        </w:rPr>
        <w:t xml:space="preserve"> above, </w:t>
      </w:r>
      <w:r w:rsidR="00B4240E">
        <w:rPr>
          <w:lang w:val="en-US"/>
        </w:rPr>
        <w:t xml:space="preserve">the IGARCH model performs the best for JNJ, PTR, and MMM in terms of accuracy, since they yield the smallest number of violations. The AR(1)-GJR-GARCH(1,1)-t model is most accurate in forecasting for </w:t>
      </w:r>
      <w:r w:rsidR="00D16B39">
        <w:rPr>
          <w:lang w:val="en-US"/>
        </w:rPr>
        <w:t>KO, with only 2 violations</w:t>
      </w:r>
      <w:r w:rsidR="002B2F90">
        <w:rPr>
          <w:lang w:val="en-US"/>
        </w:rPr>
        <w:t xml:space="preserve">. However, regarding to the independence test and DQ test, these models struggled to passed them, which indicates they might not be reasonable fit. The advanced quantitative models are all shown to have larger loss function value than the HS 25 model, which </w:t>
      </w:r>
      <w:r w:rsidR="0073114B">
        <w:rPr>
          <w:lang w:val="en-US"/>
        </w:rPr>
        <w:t>suggests that the GARCH models are not tracking dynamic risks better than the HS 25</w:t>
      </w:r>
      <w:r w:rsidR="00CF45E1">
        <w:rPr>
          <w:lang w:val="en-US"/>
        </w:rPr>
        <w:t>.</w:t>
      </w:r>
    </w:p>
    <w:p w:rsidR="00C00DDE" w:rsidRDefault="00C00DDE" w:rsidP="00C00DDE">
      <w:pPr>
        <w:pStyle w:val="1"/>
        <w:numPr>
          <w:ilvl w:val="0"/>
          <w:numId w:val="1"/>
        </w:numPr>
        <w:rPr>
          <w:lang w:val="en-US"/>
        </w:rPr>
      </w:pPr>
      <w:r>
        <w:rPr>
          <w:lang w:val="en-US"/>
        </w:rPr>
        <w:t>Optimal Portfolio Allocation Strategy</w:t>
      </w:r>
    </w:p>
    <w:p w:rsidR="00CD68B3" w:rsidRDefault="00CD68B3" w:rsidP="00CD68B3">
      <w:r>
        <w:t>Portfolio management plays an important role in finance since building portfolio can get benefit of diversification which reduces volatility by combining individual assets. M</w:t>
      </w:r>
      <w:r>
        <w:rPr>
          <w:rFonts w:hint="eastAsia"/>
        </w:rPr>
        <w:t>ore</w:t>
      </w:r>
      <w:r>
        <w:t xml:space="preserve"> specifically, individual assets have their idiosyncratic risk due to operating conditions of their companies or industries. By combining these individual assets together, the fluctuations of returns in the opposite direction would cancel each other out, thus the fluctuation of portfolio would be smoothed. </w:t>
      </w:r>
    </w:p>
    <w:p w:rsidR="00CD68B3" w:rsidRDefault="00CD68B3" w:rsidP="00CD68B3">
      <w:r>
        <w:t>When doing portfolio management, the main task is to assign weights for individual assets.</w:t>
      </w:r>
    </w:p>
    <w:p w:rsidR="00CD68B3" w:rsidRDefault="00CD68B3" w:rsidP="00CD68B3">
      <w:r>
        <w:t xml:space="preserve">There are a lot of methods assigning weights and the most famous one is the Markowitz portfolio theory which focuses on building portfolio to minimize variance. In the following parts, weighting methods without adjustment and with 1-period and 5-period adjustment are discussed and we also gives several ways of assigning weights: equal weighting, weighing based on returns, volatility, and value at risk (VaR) in fixed and dynamic approach. </w:t>
      </w:r>
    </w:p>
    <w:p w:rsidR="00CD68B3" w:rsidRDefault="00CD68B3" w:rsidP="00CD68B3"/>
    <w:p w:rsidR="00CD68B3" w:rsidRDefault="00CD68B3" w:rsidP="00CD68B3">
      <w:pPr>
        <w:pStyle w:val="a9"/>
        <w:widowControl w:val="0"/>
        <w:numPr>
          <w:ilvl w:val="0"/>
          <w:numId w:val="5"/>
        </w:numPr>
        <w:contextualSpacing w:val="0"/>
        <w:jc w:val="both"/>
      </w:pPr>
      <w:r>
        <w:t>Weight assigning methods</w:t>
      </w:r>
    </w:p>
    <w:p w:rsidR="00CD68B3" w:rsidRDefault="00CD68B3" w:rsidP="00CD68B3">
      <w:r>
        <w:t>First of all, the simplest way is to assign equal weight to each individual asset. Although equal weighting is very easy to understand and implement, it often outperform complex weighting methods. Therefore it is used as benchmark in our analysis. the equal weighting method would not change weights assigned in fixed or dynamic weight adjusting approach, so equal weighting is discussed at the beginning. In our case, there are five stocks considered. Hence, we assign 1/5 to each stocks and the portfolio return is equal to:</w:t>
      </w:r>
    </w:p>
    <w:p w:rsidR="00CD68B3" w:rsidRPr="00CF370B" w:rsidRDefault="006050C2" w:rsidP="00CD68B3">
      <w:pPr>
        <w:pStyle w:val="a9"/>
        <w:ind w:left="360"/>
      </w:pPr>
      <m:oMathPara>
        <m:oMath>
          <m:sSub>
            <m:sSubPr>
              <m:ctrlPr>
                <w:rPr>
                  <w:rFonts w:ascii="Cambria Math" w:hAnsi="Cambria Math"/>
                  <w:i/>
                </w:rPr>
              </m:ctrlPr>
            </m:sSubPr>
            <m:e>
              <m:r>
                <w:rPr>
                  <w:rFonts w:ascii="Cambria Math" w:hAnsi="Cambria Math"/>
                </w:rPr>
                <m:t>r</m:t>
              </m:r>
            </m:e>
            <m:sub>
              <m:r>
                <w:rPr>
                  <w:rFonts w:ascii="Cambria Math" w:hAnsi="Cambria Math"/>
                </w:rPr>
                <m:t>p,t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b>
            <m:sSubPr>
              <m:ctrlPr>
                <w:rPr>
                  <w:rFonts w:ascii="Cambria Math" w:hAnsi="Cambria Math"/>
                  <w:i/>
                </w:rPr>
              </m:ctrlPr>
            </m:sSubPr>
            <m:e>
              <m:r>
                <w:rPr>
                  <w:rFonts w:ascii="Cambria Math" w:hAnsi="Cambria Math"/>
                </w:rPr>
                <m:t>r</m:t>
              </m:r>
            </m:e>
            <m:sub>
              <m:r>
                <w:rPr>
                  <w:rFonts w:ascii="Cambria Math" w:hAnsi="Cambria Math"/>
                </w:rPr>
                <m:t>MSFT,t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b>
            <m:sSubPr>
              <m:ctrlPr>
                <w:rPr>
                  <w:rFonts w:ascii="Cambria Math" w:hAnsi="Cambria Math"/>
                  <w:i/>
                </w:rPr>
              </m:ctrlPr>
            </m:sSubPr>
            <m:e>
              <m:r>
                <w:rPr>
                  <w:rFonts w:ascii="Cambria Math" w:hAnsi="Cambria Math"/>
                </w:rPr>
                <m:t>r</m:t>
              </m:r>
            </m:e>
            <m:sub>
              <m:r>
                <w:rPr>
                  <w:rFonts w:ascii="Cambria Math" w:hAnsi="Cambria Math"/>
                </w:rPr>
                <m:t>JNJ,t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b>
            <m:sSubPr>
              <m:ctrlPr>
                <w:rPr>
                  <w:rFonts w:ascii="Cambria Math" w:hAnsi="Cambria Math"/>
                  <w:i/>
                </w:rPr>
              </m:ctrlPr>
            </m:sSubPr>
            <m:e>
              <m:r>
                <w:rPr>
                  <w:rFonts w:ascii="Cambria Math" w:hAnsi="Cambria Math"/>
                </w:rPr>
                <m:t>r</m:t>
              </m:r>
            </m:e>
            <m:sub>
              <m:r>
                <w:rPr>
                  <w:rFonts w:ascii="Cambria Math" w:hAnsi="Cambria Math"/>
                </w:rPr>
                <m:t>KO,t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b>
            <m:sSubPr>
              <m:ctrlPr>
                <w:rPr>
                  <w:rFonts w:ascii="Cambria Math" w:hAnsi="Cambria Math"/>
                  <w:i/>
                </w:rPr>
              </m:ctrlPr>
            </m:sSubPr>
            <m:e>
              <m:r>
                <w:rPr>
                  <w:rFonts w:ascii="Cambria Math" w:hAnsi="Cambria Math"/>
                </w:rPr>
                <m:t>r</m:t>
              </m:r>
            </m:e>
            <m:sub>
              <m:r>
                <w:rPr>
                  <w:rFonts w:ascii="Cambria Math" w:hAnsi="Cambria Math"/>
                </w:rPr>
                <m:t>PTR,t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sSub>
            <m:sSubPr>
              <m:ctrlPr>
                <w:rPr>
                  <w:rFonts w:ascii="Cambria Math" w:hAnsi="Cambria Math"/>
                  <w:i/>
                </w:rPr>
              </m:ctrlPr>
            </m:sSubPr>
            <m:e>
              <m:r>
                <w:rPr>
                  <w:rFonts w:ascii="Cambria Math" w:hAnsi="Cambria Math"/>
                </w:rPr>
                <m:t>r</m:t>
              </m:r>
            </m:e>
            <m:sub>
              <m:r>
                <w:rPr>
                  <w:rFonts w:ascii="Cambria Math" w:hAnsi="Cambria Math"/>
                </w:rPr>
                <m:t>MMM,t</m:t>
              </m:r>
            </m:sub>
          </m:sSub>
        </m:oMath>
      </m:oMathPara>
    </w:p>
    <w:p w:rsidR="00CD68B3" w:rsidRDefault="00CD68B3" w:rsidP="00CD68B3">
      <w:r>
        <w:t xml:space="preserve">Where </w:t>
      </w:r>
      <m:oMath>
        <m:sSub>
          <m:sSubPr>
            <m:ctrlPr>
              <w:rPr>
                <w:rFonts w:ascii="Cambria Math" w:hAnsi="Cambria Math"/>
                <w:i/>
              </w:rPr>
            </m:ctrlPr>
          </m:sSubPr>
          <m:e>
            <m:r>
              <w:rPr>
                <w:rFonts w:ascii="Cambria Math" w:hAnsi="Cambria Math"/>
              </w:rPr>
              <m:t>r</m:t>
            </m:r>
          </m:e>
          <m:sub>
            <m:r>
              <w:rPr>
                <w:rFonts w:ascii="Cambria Math" w:hAnsi="Cambria Math"/>
              </w:rPr>
              <m:t>p,t</m:t>
            </m:r>
          </m:sub>
        </m:sSub>
      </m:oMath>
      <w:r>
        <w:rPr>
          <w:rFonts w:hint="eastAsia"/>
        </w:rPr>
        <w:t xml:space="preserve"> </w:t>
      </w:r>
      <w:r>
        <w:t>is the portfolio return at time t which is the weighted average of five stocks returns at time t with equal weights 1/5.</w:t>
      </w:r>
    </w:p>
    <w:p w:rsidR="00CD68B3" w:rsidRDefault="00CD68B3" w:rsidP="00CD68B3">
      <w:r>
        <w:t xml:space="preserve">For weighting method based on returns, we assign higher weight to stocks having higher returns at time t being proportional to sum of stocks returns at time t. This strategy focuses on returns only and might be suitable for risk neutral investors who do not care about risks. </w:t>
      </w:r>
    </w:p>
    <w:p w:rsidR="00CD68B3" w:rsidRDefault="00CD68B3" w:rsidP="00CD68B3">
      <w:r>
        <w:rPr>
          <w:rFonts w:hint="eastAsia"/>
        </w:rPr>
        <w:t>V</w:t>
      </w:r>
      <w:r>
        <w:t>olatility strategy aims to minimize risk (volatility) by assigning higher weight to stocks having lower volatility. Hence, reciprocal of volatility is used in computation of weights. This strategy is more in line with our intuition of portfolio management, since majority of investors are risk-averse and attach great importance to risks.</w:t>
      </w:r>
    </w:p>
    <w:p w:rsidR="00CD68B3" w:rsidRDefault="00CD68B3" w:rsidP="00CD68B3">
      <w:r>
        <w:t>Value at risk (VaR</w:t>
      </w:r>
      <w:r>
        <w:rPr>
          <w:rFonts w:hint="eastAsia"/>
        </w:rPr>
        <w:t>)</w:t>
      </w:r>
      <w:r>
        <w:t xml:space="preserve"> calculated by percentiles is a widely used risk measure showing the maximal loss of invested assets that may occur during a given time period and at a given probability level(</w:t>
      </w:r>
      <w:proofErr w:type="spellStart"/>
      <w:r>
        <w:t>Tsay</w:t>
      </w:r>
      <w:proofErr w:type="spellEnd"/>
      <w:r>
        <w:t xml:space="preserve">, 2010). VaR showing possible extreme loss is more conservative than volatility. Thus, we considered a portfolio strategy which has similar weights calculation process with volatility strategy except for using reciprocal of VaR instead of reciprocal of volatility. In other words, we assign higher weight to assets with lower </w:t>
      </w:r>
      <w:proofErr w:type="spellStart"/>
      <w:r>
        <w:t>VaR.</w:t>
      </w:r>
      <w:proofErr w:type="spellEnd"/>
    </w:p>
    <w:p w:rsidR="00CD68B3" w:rsidRDefault="00CD68B3" w:rsidP="00CD68B3"/>
    <w:p w:rsidR="00CD68B3" w:rsidRDefault="00CD68B3" w:rsidP="00CD68B3">
      <w:pPr>
        <w:pStyle w:val="a9"/>
        <w:widowControl w:val="0"/>
        <w:numPr>
          <w:ilvl w:val="0"/>
          <w:numId w:val="5"/>
        </w:numPr>
        <w:contextualSpacing w:val="0"/>
        <w:jc w:val="both"/>
      </w:pPr>
      <w:r>
        <w:t>Dynamic adjustment</w:t>
      </w:r>
    </w:p>
    <w:p w:rsidR="00CD68B3" w:rsidRDefault="00CD68B3" w:rsidP="00CD68B3">
      <w:pPr>
        <w:pStyle w:val="a9"/>
        <w:ind w:left="360"/>
      </w:pPr>
      <w:r>
        <w:rPr>
          <w:rFonts w:hint="eastAsia"/>
        </w:rPr>
        <w:t>W</w:t>
      </w:r>
      <w:r>
        <w:t xml:space="preserve">hen doing portfolio allocation, we usually adjust weights periodically. Returns, volatility, value at risk and other portfolio allocation criteria like betas are dynamic, so weights have to be dynamically adjusted. However, adjusting weights with high frequency has very high cost while lower frequency cannot catch changes of these investment criteria and might lead to large loss. Thus, there is a trade-off when we are considering adjustment frequency. In the following part, we discussed two frequencies—adjust weights every one period and every five period. </w:t>
      </w:r>
    </w:p>
    <w:p w:rsidR="00CD68B3" w:rsidRDefault="00CD68B3" w:rsidP="00CD68B3">
      <w:pPr>
        <w:pStyle w:val="a9"/>
        <w:ind w:left="360"/>
      </w:pPr>
    </w:p>
    <w:p w:rsidR="00CD68B3" w:rsidRDefault="00CD68B3" w:rsidP="00CD68B3">
      <w:pPr>
        <w:pStyle w:val="a9"/>
        <w:widowControl w:val="0"/>
        <w:numPr>
          <w:ilvl w:val="0"/>
          <w:numId w:val="6"/>
        </w:numPr>
        <w:contextualSpacing w:val="0"/>
        <w:jc w:val="both"/>
      </w:pPr>
      <w:r>
        <w:t>Adjust weights every period</w:t>
      </w:r>
    </w:p>
    <w:p w:rsidR="00CD68B3" w:rsidRDefault="00CD68B3" w:rsidP="00CD68B3">
      <w:pPr>
        <w:pStyle w:val="a9"/>
        <w:ind w:left="420"/>
      </w:pPr>
      <w:r>
        <w:t>Comparing with computational costs of portfolio allocation with high frequency (every second, minute, etc), adjusting weight every day has reasonable costs and can capture market changes timely to avoid great losses in most cases.</w:t>
      </w:r>
    </w:p>
    <w:p w:rsidR="00CD68B3" w:rsidRDefault="00CD68B3" w:rsidP="00CD68B3">
      <w:pPr>
        <w:pStyle w:val="a9"/>
        <w:ind w:left="420"/>
      </w:pPr>
      <w:r>
        <w:t>Formulas of rebalancing weights are shown as follow:</w:t>
      </w:r>
    </w:p>
    <w:p w:rsidR="00CD68B3" w:rsidRPr="00E34508" w:rsidRDefault="00CD68B3" w:rsidP="00CD68B3">
      <w:pPr>
        <w:pStyle w:val="a9"/>
        <w:ind w:left="420"/>
      </w:pPr>
    </w:p>
    <w:tbl>
      <w:tblPr>
        <w:tblStyle w:val="aa"/>
        <w:tblW w:w="5000" w:type="pct"/>
        <w:jc w:val="center"/>
        <w:tblBorders>
          <w:top w:val="double" w:sz="6" w:space="0" w:color="auto"/>
          <w:left w:val="none" w:sz="0" w:space="0" w:color="auto"/>
          <w:bottom w:val="double" w:sz="6"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1660"/>
        <w:gridCol w:w="2001"/>
        <w:gridCol w:w="2367"/>
      </w:tblGrid>
      <w:tr w:rsidR="00CD68B3" w:rsidTr="0006551A">
        <w:trPr>
          <w:jc w:val="center"/>
        </w:trPr>
        <w:tc>
          <w:tcPr>
            <w:tcW w:w="1659" w:type="pct"/>
            <w:tcBorders>
              <w:bottom w:val="double" w:sz="6" w:space="0" w:color="auto"/>
            </w:tcBorders>
            <w:vAlign w:val="center"/>
          </w:tcPr>
          <w:p w:rsidR="00CD68B3" w:rsidRDefault="00CD68B3" w:rsidP="0006551A">
            <w:pPr>
              <w:pStyle w:val="a9"/>
              <w:jc w:val="center"/>
            </w:pPr>
            <w:r>
              <w:rPr>
                <w:rFonts w:hint="eastAsia"/>
              </w:rPr>
              <w:t>S</w:t>
            </w:r>
            <w:r>
              <w:t>trategy according to:</w:t>
            </w:r>
          </w:p>
        </w:tc>
        <w:tc>
          <w:tcPr>
            <w:tcW w:w="920" w:type="pct"/>
            <w:tcBorders>
              <w:bottom w:val="double" w:sz="6" w:space="0" w:color="auto"/>
            </w:tcBorders>
            <w:vAlign w:val="center"/>
          </w:tcPr>
          <w:p w:rsidR="00CD68B3" w:rsidRDefault="00CD68B3" w:rsidP="0006551A">
            <w:pPr>
              <w:pStyle w:val="a9"/>
              <w:jc w:val="center"/>
            </w:pPr>
            <w:r>
              <w:t>Return</w:t>
            </w:r>
          </w:p>
        </w:tc>
        <w:tc>
          <w:tcPr>
            <w:tcW w:w="1109" w:type="pct"/>
            <w:tcBorders>
              <w:bottom w:val="double" w:sz="6" w:space="0" w:color="auto"/>
            </w:tcBorders>
            <w:vAlign w:val="center"/>
          </w:tcPr>
          <w:p w:rsidR="00CD68B3" w:rsidRDefault="00CD68B3" w:rsidP="0006551A">
            <w:pPr>
              <w:pStyle w:val="a9"/>
              <w:jc w:val="center"/>
            </w:pPr>
            <w:r>
              <w:rPr>
                <w:rFonts w:hint="eastAsia"/>
              </w:rPr>
              <w:t>V</w:t>
            </w:r>
            <w:r>
              <w:t>olatility</w:t>
            </w:r>
          </w:p>
        </w:tc>
        <w:tc>
          <w:tcPr>
            <w:tcW w:w="1313" w:type="pct"/>
            <w:tcBorders>
              <w:bottom w:val="double" w:sz="6" w:space="0" w:color="auto"/>
            </w:tcBorders>
            <w:vAlign w:val="center"/>
          </w:tcPr>
          <w:p w:rsidR="00CD68B3" w:rsidRDefault="00CD68B3" w:rsidP="0006551A">
            <w:pPr>
              <w:pStyle w:val="a9"/>
              <w:jc w:val="center"/>
            </w:pPr>
            <w:r>
              <w:rPr>
                <w:rFonts w:hint="eastAsia"/>
              </w:rPr>
              <w:t>V</w:t>
            </w:r>
            <w:r>
              <w:t>alue at Risk</w:t>
            </w:r>
          </w:p>
        </w:tc>
      </w:tr>
      <w:tr w:rsidR="00CD68B3" w:rsidTr="0006551A">
        <w:trPr>
          <w:jc w:val="center"/>
        </w:trPr>
        <w:tc>
          <w:tcPr>
            <w:tcW w:w="1659" w:type="pct"/>
            <w:tcBorders>
              <w:top w:val="double" w:sz="6" w:space="0" w:color="auto"/>
              <w:bottom w:val="double" w:sz="6" w:space="0" w:color="auto"/>
            </w:tcBorders>
            <w:vAlign w:val="center"/>
          </w:tcPr>
          <w:p w:rsidR="00CD68B3" w:rsidRDefault="006050C2" w:rsidP="0006551A">
            <w:pPr>
              <w:pStyle w:val="a9"/>
              <w:jc w:val="center"/>
            </w:pPr>
            <m:oMathPara>
              <m:oMath>
                <m:sSub>
                  <m:sSubPr>
                    <m:ctrlPr>
                      <w:rPr>
                        <w:rFonts w:ascii="Cambria Math" w:hAnsi="Cambria Math"/>
                        <w:i/>
                      </w:rPr>
                    </m:ctrlPr>
                  </m:sSubPr>
                  <m:e>
                    <m:r>
                      <w:rPr>
                        <w:rFonts w:ascii="Cambria Math" w:hAnsi="Cambria Math"/>
                      </w:rPr>
                      <m:t>W</m:t>
                    </m:r>
                  </m:e>
                  <m:sub>
                    <m:r>
                      <w:rPr>
                        <w:rFonts w:ascii="Cambria Math" w:hAnsi="Cambria Math"/>
                      </w:rPr>
                      <m:t>i,t</m:t>
                    </m:r>
                  </m:sub>
                </m:sSub>
              </m:oMath>
            </m:oMathPara>
          </w:p>
        </w:tc>
        <w:tc>
          <w:tcPr>
            <w:tcW w:w="920" w:type="pct"/>
            <w:tcBorders>
              <w:top w:val="double" w:sz="6" w:space="0" w:color="auto"/>
              <w:bottom w:val="double" w:sz="6" w:space="0" w:color="auto"/>
            </w:tcBorders>
          </w:tcPr>
          <w:p w:rsidR="00CD68B3" w:rsidRDefault="006050C2" w:rsidP="0006551A">
            <w:pPr>
              <w:pStyle w:val="a9"/>
            </w:pPr>
            <m:oMathPara>
              <m:oMath>
                <m:f>
                  <m:fPr>
                    <m:ctrlPr>
                      <w:rPr>
                        <w:rFonts w:ascii="Cambria Math" w:hAnsi="Cambria Math"/>
                      </w:rPr>
                    </m:ctrlPr>
                  </m:fPr>
                  <m:num>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i;t+1|t</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5</m:t>
                        </m:r>
                      </m:sup>
                      <m:e>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i;t+1|t</m:t>
                            </m:r>
                          </m:sub>
                        </m:sSub>
                      </m:e>
                    </m:nary>
                  </m:den>
                </m:f>
              </m:oMath>
            </m:oMathPara>
          </w:p>
        </w:tc>
        <w:tc>
          <w:tcPr>
            <w:tcW w:w="1109" w:type="pct"/>
            <w:tcBorders>
              <w:top w:val="double" w:sz="6" w:space="0" w:color="auto"/>
              <w:bottom w:val="double" w:sz="6" w:space="0" w:color="auto"/>
            </w:tcBorders>
          </w:tcPr>
          <w:p w:rsidR="00CD68B3" w:rsidRDefault="006050C2" w:rsidP="0006551A">
            <w:pPr>
              <w:pStyle w:val="a9"/>
            </w:pPr>
            <m:oMathPara>
              <m:oMath>
                <m:f>
                  <m:fPr>
                    <m:ctrlPr>
                      <w:rPr>
                        <w:rFonts w:ascii="Cambria Math" w:hAnsi="Cambria Math"/>
                      </w:rPr>
                    </m:ctrlPr>
                  </m:fPr>
                  <m:num>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i;t+1|t</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5</m:t>
                        </m:r>
                      </m:sup>
                      <m:e>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i;t+1|t</m:t>
                            </m:r>
                          </m:sub>
                        </m:sSub>
                      </m:e>
                    </m:nary>
                  </m:den>
                </m:f>
              </m:oMath>
            </m:oMathPara>
          </w:p>
        </w:tc>
        <w:tc>
          <w:tcPr>
            <w:tcW w:w="1313" w:type="pct"/>
            <w:tcBorders>
              <w:top w:val="double" w:sz="6" w:space="0" w:color="auto"/>
              <w:bottom w:val="double" w:sz="6" w:space="0" w:color="auto"/>
            </w:tcBorders>
          </w:tcPr>
          <w:p w:rsidR="00CD68B3" w:rsidRPr="00750684" w:rsidRDefault="006050C2" w:rsidP="0006551A">
            <w:pPr>
              <w:pStyle w:val="a9"/>
              <w:ind w:left="360"/>
            </w:pPr>
            <m:oMathPara>
              <m:oMath>
                <m:f>
                  <m:fPr>
                    <m:ctrlPr>
                      <w:rPr>
                        <w:rFonts w:ascii="Cambria Math" w:hAnsi="Cambria Math"/>
                      </w:rPr>
                    </m:ctrlPr>
                  </m:fPr>
                  <m:num>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VaR</m:t>
                            </m:r>
                          </m:e>
                        </m:acc>
                      </m:e>
                      <m:sub>
                        <m:r>
                          <w:rPr>
                            <w:rFonts w:ascii="Cambria Math" w:hAnsi="Cambria Math"/>
                          </w:rPr>
                          <m:t>i;t+1|t</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5</m:t>
                        </m:r>
                      </m:sup>
                      <m:e>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VaR</m:t>
                                </m:r>
                              </m:e>
                            </m:acc>
                          </m:e>
                          <m:sub>
                            <m:r>
                              <w:rPr>
                                <w:rFonts w:ascii="Cambria Math" w:hAnsi="Cambria Math"/>
                              </w:rPr>
                              <m:t>i;t+1|t</m:t>
                            </m:r>
                          </m:sub>
                        </m:sSub>
                      </m:e>
                    </m:nary>
                  </m:den>
                </m:f>
              </m:oMath>
            </m:oMathPara>
          </w:p>
          <w:p w:rsidR="00CD68B3" w:rsidRDefault="00CD68B3" w:rsidP="0006551A">
            <w:pPr>
              <w:pStyle w:val="a9"/>
              <w:keepNext/>
            </w:pPr>
          </w:p>
        </w:tc>
      </w:tr>
    </w:tbl>
    <w:p w:rsidR="00CD68B3" w:rsidRDefault="00CD68B3" w:rsidP="00CD68B3">
      <w:pPr>
        <w:pStyle w:val="ac"/>
        <w:jc w:val="center"/>
      </w:pPr>
      <w:bookmarkStart w:id="1" w:name="_Ref515729603"/>
      <w:r>
        <w:t xml:space="preserve">Table </w:t>
      </w:r>
      <w:r>
        <w:fldChar w:fldCharType="begin"/>
      </w:r>
      <w:r>
        <w:instrText xml:space="preserve"> SEQ Table \* ARABIC </w:instrText>
      </w:r>
      <w:r>
        <w:fldChar w:fldCharType="separate"/>
      </w:r>
      <w:r>
        <w:rPr>
          <w:noProof/>
        </w:rPr>
        <w:t>1</w:t>
      </w:r>
      <w:r>
        <w:fldChar w:fldCharType="end"/>
      </w:r>
      <w:bookmarkEnd w:id="1"/>
      <w:r>
        <w:t xml:space="preserve"> Dynamic adjustment—1 period frequency</w:t>
      </w:r>
    </w:p>
    <w:p w:rsidR="00CD68B3" w:rsidRDefault="00CD68B3" w:rsidP="00CD68B3">
      <w:pPr>
        <w:pStyle w:val="a9"/>
      </w:pPr>
    </w:p>
    <w:p w:rsidR="00CD68B3" w:rsidRPr="00217EA9" w:rsidRDefault="00CD68B3" w:rsidP="00CD68B3">
      <w:pPr>
        <w:pStyle w:val="a9"/>
        <w:ind w:left="420"/>
      </w:pPr>
      <w:r>
        <w:t xml:space="preserve">In </w:t>
      </w:r>
      <w:r>
        <w:fldChar w:fldCharType="begin"/>
      </w:r>
      <w:r>
        <w:instrText xml:space="preserve"> REF _Ref515729603 \h </w:instrText>
      </w:r>
      <w:r>
        <w:fldChar w:fldCharType="separate"/>
      </w:r>
      <w:r>
        <w:t xml:space="preserve">Table </w:t>
      </w:r>
      <w:r>
        <w:rPr>
          <w:noProof/>
        </w:rPr>
        <w:t>1</w:t>
      </w:r>
      <w:r>
        <w:fldChar w:fldCharType="end"/>
      </w:r>
      <w:r>
        <w:t xml:space="preserve">, </w:t>
      </w:r>
      <m:oMath>
        <m:sSub>
          <m:sSubPr>
            <m:ctrlPr>
              <w:rPr>
                <w:rFonts w:ascii="Cambria Math" w:hAnsi="Cambria Math"/>
                <w:i/>
              </w:rPr>
            </m:ctrlPr>
          </m:sSubPr>
          <m:e>
            <m:r>
              <w:rPr>
                <w:rFonts w:ascii="Cambria Math" w:hAnsi="Cambria Math"/>
              </w:rPr>
              <m:t>W</m:t>
            </m:r>
          </m:e>
          <m:sub>
            <m:r>
              <w:rPr>
                <w:rFonts w:ascii="Cambria Math" w:hAnsi="Cambria Math"/>
              </w:rPr>
              <m:t>i,t</m:t>
            </m:r>
          </m:sub>
        </m:sSub>
      </m:oMath>
      <w:r>
        <w:t xml:space="preserve"> </w:t>
      </w:r>
      <w:r>
        <w:rPr>
          <w:rFonts w:hint="eastAsia"/>
        </w:rPr>
        <w:t>i</w:t>
      </w:r>
      <w:r>
        <w:t xml:space="preserve">s the weight for stock </w:t>
      </w:r>
      <w:proofErr w:type="spellStart"/>
      <w:r w:rsidRPr="00217EA9">
        <w:rPr>
          <w:i/>
        </w:rPr>
        <w:t>i</w:t>
      </w:r>
      <w:proofErr w:type="spellEnd"/>
      <w:r>
        <w:t xml:space="preserve"> (</w:t>
      </w:r>
      <w:proofErr w:type="spellStart"/>
      <w:r w:rsidRPr="00217EA9">
        <w:rPr>
          <w:i/>
        </w:rPr>
        <w:t>i</w:t>
      </w:r>
      <w:proofErr w:type="spellEnd"/>
      <w:r>
        <w:t xml:space="preserve">=1,2,…,5) at time t.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i;t+1|t</m:t>
            </m:r>
          </m:sub>
        </m:sSub>
      </m:oMath>
      <w:r>
        <w:rPr>
          <w:rFonts w:hint="eastAsia"/>
        </w:rPr>
        <w:t xml:space="preserve"> </w:t>
      </w:r>
      <w:r>
        <w:t xml:space="preserve">denotes one-step ahead return forecasted at time t for stock </w:t>
      </w:r>
      <w:proofErr w:type="spellStart"/>
      <w:r>
        <w:rPr>
          <w:i/>
        </w:rPr>
        <w:t>i</w:t>
      </w:r>
      <w:proofErr w:type="spellEnd"/>
      <w:r>
        <w:rPr>
          <w:i/>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i;t+1|t</m:t>
            </m:r>
          </m:sub>
        </m:sSub>
      </m:oMath>
      <w:r>
        <w:rPr>
          <w:rFonts w:hint="eastAsia"/>
        </w:rPr>
        <w:t xml:space="preserve"> </w:t>
      </w:r>
      <w:r>
        <w:t xml:space="preserve">is the one-step ahead volatility forecast on origin t for stock </w:t>
      </w:r>
      <w:proofErr w:type="spellStart"/>
      <w:r>
        <w:rPr>
          <w:i/>
        </w:rPr>
        <w:t>i</w:t>
      </w:r>
      <w:proofErr w:type="spellEnd"/>
      <w:r>
        <w:rPr>
          <w:i/>
        </w:rPr>
        <w:t xml:space="preserve"> </w:t>
      </w:r>
      <w:r>
        <w:t xml:space="preserve">and </w:t>
      </w:r>
      <m:oMath>
        <m:sSub>
          <m:sSubPr>
            <m:ctrlPr>
              <w:rPr>
                <w:rFonts w:ascii="Cambria Math" w:hAnsi="Cambria Math"/>
              </w:rPr>
            </m:ctrlPr>
          </m:sSubPr>
          <m:e>
            <m:acc>
              <m:accPr>
                <m:ctrlPr>
                  <w:rPr>
                    <w:rFonts w:ascii="Cambria Math" w:hAnsi="Cambria Math"/>
                  </w:rPr>
                </m:ctrlPr>
              </m:accPr>
              <m:e>
                <m:r>
                  <w:rPr>
                    <w:rFonts w:ascii="Cambria Math" w:hAnsi="Cambria Math"/>
                  </w:rPr>
                  <m:t>VaR</m:t>
                </m:r>
              </m:e>
            </m:acc>
          </m:e>
          <m:sub>
            <m:r>
              <w:rPr>
                <w:rFonts w:ascii="Cambria Math" w:hAnsi="Cambria Math"/>
              </w:rPr>
              <m:t>i;t+1|t</m:t>
            </m:r>
          </m:sub>
        </m:sSub>
      </m:oMath>
      <w:r>
        <w:rPr>
          <w:rFonts w:hint="eastAsia"/>
        </w:rPr>
        <w:t xml:space="preserve"> </w:t>
      </w:r>
      <w:r>
        <w:t xml:space="preserve">is the one-step ahead value at risk forecast on origin t for stock </w:t>
      </w:r>
      <w:proofErr w:type="spellStart"/>
      <w:r>
        <w:rPr>
          <w:i/>
        </w:rPr>
        <w:t>i</w:t>
      </w:r>
      <w:proofErr w:type="spellEnd"/>
      <w:r>
        <w:t>. The denominator ensures that the sum of the calculated weights is 1, but there is no constraint of short selling.</w:t>
      </w:r>
    </w:p>
    <w:p w:rsidR="00CD68B3" w:rsidRPr="00306ED4" w:rsidRDefault="00CD68B3" w:rsidP="00CD68B3">
      <w:pPr>
        <w:pStyle w:val="a9"/>
        <w:ind w:left="420"/>
      </w:pPr>
    </w:p>
    <w:p w:rsidR="00CD68B3" w:rsidRDefault="00CD68B3" w:rsidP="00CD68B3">
      <w:pPr>
        <w:pStyle w:val="a9"/>
        <w:widowControl w:val="0"/>
        <w:numPr>
          <w:ilvl w:val="0"/>
          <w:numId w:val="6"/>
        </w:numPr>
        <w:contextualSpacing w:val="0"/>
        <w:jc w:val="both"/>
      </w:pPr>
      <w:r>
        <w:rPr>
          <w:rFonts w:hint="eastAsia"/>
        </w:rPr>
        <w:t>A</w:t>
      </w:r>
      <w:r>
        <w:t>djust weight every ten periods</w:t>
      </w:r>
    </w:p>
    <w:p w:rsidR="00CD68B3" w:rsidRDefault="00CD68B3" w:rsidP="00CD68B3">
      <w:pPr>
        <w:pStyle w:val="a9"/>
        <w:ind w:left="420"/>
      </w:pPr>
      <w:r>
        <w:rPr>
          <w:rFonts w:hint="eastAsia"/>
        </w:rPr>
        <w:t>R</w:t>
      </w:r>
      <w:r>
        <w:t>ebalancing portfolio every ten days reduces ability to capture market movements comparing with daily adjustment. However, lower the frequency, lower the costs. If the stock has less volatile returns, adjusting weights once every ten days is a reasonable choice.</w:t>
      </w:r>
    </w:p>
    <w:p w:rsidR="00CD68B3" w:rsidRDefault="00CD68B3" w:rsidP="00CD68B3">
      <w:pPr>
        <w:pStyle w:val="a9"/>
        <w:ind w:left="420"/>
      </w:pPr>
      <w:r>
        <w:rPr>
          <w:rFonts w:hint="eastAsia"/>
        </w:rPr>
        <w:t>F</w:t>
      </w:r>
      <w:r>
        <w:t>ormulas of weights re-calculation is given as follow:</w:t>
      </w:r>
    </w:p>
    <w:p w:rsidR="00CD68B3" w:rsidRDefault="00CD68B3" w:rsidP="00CD68B3">
      <w:pPr>
        <w:pStyle w:val="a9"/>
        <w:ind w:left="420"/>
      </w:pPr>
    </w:p>
    <w:tbl>
      <w:tblPr>
        <w:tblStyle w:val="aa"/>
        <w:tblW w:w="0" w:type="auto"/>
        <w:jc w:val="center"/>
        <w:tblBorders>
          <w:top w:val="double" w:sz="6" w:space="0" w:color="auto"/>
          <w:left w:val="none" w:sz="0" w:space="0" w:color="auto"/>
          <w:bottom w:val="double" w:sz="6"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1862"/>
        <w:gridCol w:w="2305"/>
        <w:gridCol w:w="2614"/>
      </w:tblGrid>
      <w:tr w:rsidR="00CD68B3" w:rsidTr="0006551A">
        <w:trPr>
          <w:trHeight w:val="322"/>
          <w:jc w:val="center"/>
        </w:trPr>
        <w:tc>
          <w:tcPr>
            <w:tcW w:w="0" w:type="auto"/>
            <w:tcBorders>
              <w:bottom w:val="double" w:sz="6" w:space="0" w:color="auto"/>
            </w:tcBorders>
            <w:vAlign w:val="center"/>
          </w:tcPr>
          <w:p w:rsidR="00CD68B3" w:rsidRDefault="00CD68B3" w:rsidP="0006551A">
            <w:pPr>
              <w:pStyle w:val="a9"/>
              <w:jc w:val="center"/>
            </w:pPr>
            <w:r>
              <w:rPr>
                <w:rFonts w:hint="eastAsia"/>
              </w:rPr>
              <w:t>S</w:t>
            </w:r>
            <w:r>
              <w:t>trategy according to:</w:t>
            </w:r>
          </w:p>
        </w:tc>
        <w:tc>
          <w:tcPr>
            <w:tcW w:w="0" w:type="auto"/>
            <w:tcBorders>
              <w:bottom w:val="double" w:sz="6" w:space="0" w:color="auto"/>
            </w:tcBorders>
            <w:vAlign w:val="center"/>
          </w:tcPr>
          <w:p w:rsidR="00CD68B3" w:rsidRDefault="00CD68B3" w:rsidP="0006551A">
            <w:pPr>
              <w:pStyle w:val="a9"/>
              <w:jc w:val="center"/>
            </w:pPr>
            <w:r>
              <w:t>Return</w:t>
            </w:r>
          </w:p>
        </w:tc>
        <w:tc>
          <w:tcPr>
            <w:tcW w:w="0" w:type="auto"/>
            <w:tcBorders>
              <w:bottom w:val="double" w:sz="6" w:space="0" w:color="auto"/>
            </w:tcBorders>
            <w:vAlign w:val="center"/>
          </w:tcPr>
          <w:p w:rsidR="00CD68B3" w:rsidRDefault="00CD68B3" w:rsidP="0006551A">
            <w:pPr>
              <w:pStyle w:val="a9"/>
              <w:jc w:val="center"/>
            </w:pPr>
            <w:r>
              <w:rPr>
                <w:rFonts w:hint="eastAsia"/>
              </w:rPr>
              <w:t>V</w:t>
            </w:r>
            <w:r>
              <w:t>olatility</w:t>
            </w:r>
          </w:p>
        </w:tc>
        <w:tc>
          <w:tcPr>
            <w:tcW w:w="0" w:type="auto"/>
            <w:tcBorders>
              <w:bottom w:val="double" w:sz="6" w:space="0" w:color="auto"/>
            </w:tcBorders>
            <w:vAlign w:val="center"/>
          </w:tcPr>
          <w:p w:rsidR="00CD68B3" w:rsidRDefault="00CD68B3" w:rsidP="0006551A">
            <w:pPr>
              <w:pStyle w:val="a9"/>
              <w:jc w:val="center"/>
            </w:pPr>
            <w:r>
              <w:rPr>
                <w:rFonts w:hint="eastAsia"/>
              </w:rPr>
              <w:t>V</w:t>
            </w:r>
            <w:r>
              <w:t>alue at Risk</w:t>
            </w:r>
          </w:p>
        </w:tc>
      </w:tr>
      <w:tr w:rsidR="00CD68B3" w:rsidTr="0006551A">
        <w:trPr>
          <w:trHeight w:val="1279"/>
          <w:jc w:val="center"/>
        </w:trPr>
        <w:tc>
          <w:tcPr>
            <w:tcW w:w="0" w:type="auto"/>
            <w:tcBorders>
              <w:top w:val="double" w:sz="6" w:space="0" w:color="auto"/>
              <w:bottom w:val="double" w:sz="6" w:space="0" w:color="auto"/>
            </w:tcBorders>
            <w:vAlign w:val="center"/>
          </w:tcPr>
          <w:p w:rsidR="00CD68B3" w:rsidRPr="00FB5C03" w:rsidRDefault="006050C2" w:rsidP="0006551A">
            <w:pPr>
              <w:pStyle w:val="a9"/>
              <w:jc w:val="center"/>
            </w:pPr>
            <m:oMathPara>
              <m:oMath>
                <m:sSub>
                  <m:sSubPr>
                    <m:ctrlPr>
                      <w:rPr>
                        <w:rFonts w:ascii="Cambria Math" w:hAnsi="Cambria Math"/>
                        <w:i/>
                      </w:rPr>
                    </m:ctrlPr>
                  </m:sSubPr>
                  <m:e>
                    <m:r>
                      <w:rPr>
                        <w:rFonts w:ascii="Cambria Math" w:hAnsi="Cambria Math"/>
                      </w:rPr>
                      <m:t>W</m:t>
                    </m:r>
                  </m:e>
                  <m:sub>
                    <m:r>
                      <w:rPr>
                        <w:rFonts w:ascii="Cambria Math" w:hAnsi="Cambria Math"/>
                      </w:rPr>
                      <m:t>i,T</m:t>
                    </m:r>
                  </m:sub>
                </m:sSub>
              </m:oMath>
            </m:oMathPara>
          </w:p>
          <w:p w:rsidR="00CD68B3" w:rsidRPr="00FB5C03" w:rsidRDefault="00CD68B3" w:rsidP="0006551A">
            <w:pPr>
              <w:pStyle w:val="a9"/>
              <w:jc w:val="center"/>
            </w:pPr>
            <m:oMathPara>
              <m:oMath>
                <m:r>
                  <w:rPr>
                    <w:rFonts w:ascii="Cambria Math" w:hAnsi="Cambria Math"/>
                  </w:rPr>
                  <m:t>T=t+1,…,t+10</m:t>
                </m:r>
              </m:oMath>
            </m:oMathPara>
          </w:p>
        </w:tc>
        <w:tc>
          <w:tcPr>
            <w:tcW w:w="0" w:type="auto"/>
            <w:tcBorders>
              <w:top w:val="double" w:sz="6" w:space="0" w:color="auto"/>
              <w:bottom w:val="double" w:sz="6" w:space="0" w:color="auto"/>
            </w:tcBorders>
            <w:vAlign w:val="center"/>
          </w:tcPr>
          <w:p w:rsidR="00CD68B3" w:rsidRDefault="006050C2" w:rsidP="0006551A">
            <w:pPr>
              <w:pStyle w:val="a9"/>
              <w:jc w:val="center"/>
            </w:pPr>
            <m:oMathPara>
              <m:oMath>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j=1</m:t>
                        </m:r>
                      </m:sub>
                      <m:sup>
                        <m:r>
                          <w:rPr>
                            <w:rFonts w:ascii="Cambria Math" w:hAnsi="Cambria Math"/>
                          </w:rPr>
                          <m:t>10</m:t>
                        </m:r>
                      </m:sup>
                      <m:e>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i;t+j|t</m:t>
                            </m:r>
                          </m:sub>
                        </m:sSub>
                      </m:e>
                    </m:nary>
                  </m:num>
                  <m:den>
                    <m:nary>
                      <m:naryPr>
                        <m:chr m:val="∑"/>
                        <m:limLoc m:val="undOvr"/>
                        <m:ctrlPr>
                          <w:rPr>
                            <w:rFonts w:ascii="Cambria Math" w:hAnsi="Cambria Math"/>
                          </w:rPr>
                        </m:ctrlPr>
                      </m:naryPr>
                      <m:sub>
                        <m:r>
                          <w:rPr>
                            <w:rFonts w:ascii="Cambria Math" w:hAnsi="Cambria Math"/>
                          </w:rPr>
                          <m:t>i=1</m:t>
                        </m:r>
                      </m:sub>
                      <m:sup>
                        <m:r>
                          <w:rPr>
                            <w:rFonts w:ascii="Cambria Math" w:hAnsi="Cambria Math"/>
                          </w:rPr>
                          <m:t>5</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10</m:t>
                            </m:r>
                          </m:sup>
                          <m:e>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i;t+j|t</m:t>
                                </m:r>
                              </m:sub>
                            </m:sSub>
                          </m:e>
                        </m:nary>
                      </m:e>
                    </m:nary>
                  </m:den>
                </m:f>
              </m:oMath>
            </m:oMathPara>
          </w:p>
        </w:tc>
        <w:tc>
          <w:tcPr>
            <w:tcW w:w="0" w:type="auto"/>
            <w:tcBorders>
              <w:top w:val="double" w:sz="6" w:space="0" w:color="auto"/>
              <w:bottom w:val="double" w:sz="6" w:space="0" w:color="auto"/>
            </w:tcBorders>
            <w:vAlign w:val="center"/>
          </w:tcPr>
          <w:p w:rsidR="00CD68B3" w:rsidRDefault="006050C2" w:rsidP="0006551A">
            <w:pPr>
              <w:pStyle w:val="a9"/>
              <w:jc w:val="center"/>
            </w:pPr>
            <m:oMathPara>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j=1</m:t>
                                </m:r>
                              </m:sub>
                              <m:sup>
                                <m:r>
                                  <w:rPr>
                                    <w:rFonts w:ascii="Cambria Math" w:hAnsi="Cambria Math"/>
                                  </w:rPr>
                                  <m:t>10</m:t>
                                </m:r>
                              </m:sup>
                              <m:e>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i;t+j|t</m:t>
                                    </m:r>
                                  </m:sub>
                                </m:sSub>
                              </m:e>
                            </m:nary>
                          </m:e>
                        </m:d>
                      </m:e>
                      <m:sup>
                        <m:r>
                          <w:rPr>
                            <w:rFonts w:ascii="Cambria Math" w:hAnsi="Cambria Math"/>
                          </w:rPr>
                          <m:t>-1</m:t>
                        </m:r>
                      </m:sup>
                    </m:sSup>
                  </m:num>
                  <m:den>
                    <m:nary>
                      <m:naryPr>
                        <m:chr m:val="∑"/>
                        <m:limLoc m:val="undOvr"/>
                        <m:ctrlPr>
                          <w:rPr>
                            <w:rFonts w:ascii="Cambria Math" w:hAnsi="Cambria Math"/>
                          </w:rPr>
                        </m:ctrlPr>
                      </m:naryPr>
                      <m:sub>
                        <m:r>
                          <w:rPr>
                            <w:rFonts w:ascii="Cambria Math" w:hAnsi="Cambria Math"/>
                          </w:rPr>
                          <m:t>i=1</m:t>
                        </m:r>
                      </m:sub>
                      <m:sup>
                        <m:r>
                          <w:rPr>
                            <w:rFonts w:ascii="Cambria Math" w:hAnsi="Cambria Math"/>
                          </w:rPr>
                          <m:t>5</m:t>
                        </m:r>
                      </m:sup>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j=1</m:t>
                                    </m:r>
                                  </m:sub>
                                  <m:sup>
                                    <m:r>
                                      <w:rPr>
                                        <w:rFonts w:ascii="Cambria Math" w:hAnsi="Cambria Math"/>
                                      </w:rPr>
                                      <m:t>10</m:t>
                                    </m:r>
                                  </m:sup>
                                  <m:e>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i;t+j|t</m:t>
                                        </m:r>
                                      </m:sub>
                                    </m:sSub>
                                  </m:e>
                                </m:nary>
                              </m:e>
                            </m:d>
                          </m:e>
                          <m:sup>
                            <m:r>
                              <w:rPr>
                                <w:rFonts w:ascii="Cambria Math" w:hAnsi="Cambria Math"/>
                              </w:rPr>
                              <m:t>-1</m:t>
                            </m:r>
                          </m:sup>
                        </m:sSup>
                      </m:e>
                    </m:nary>
                  </m:den>
                </m:f>
              </m:oMath>
            </m:oMathPara>
          </w:p>
        </w:tc>
        <w:tc>
          <w:tcPr>
            <w:tcW w:w="0" w:type="auto"/>
            <w:tcBorders>
              <w:top w:val="double" w:sz="6" w:space="0" w:color="auto"/>
              <w:bottom w:val="double" w:sz="6" w:space="0" w:color="auto"/>
            </w:tcBorders>
            <w:vAlign w:val="center"/>
          </w:tcPr>
          <w:p w:rsidR="00CD68B3" w:rsidRDefault="006050C2" w:rsidP="0006551A">
            <w:pPr>
              <w:pStyle w:val="a9"/>
              <w:ind w:left="360"/>
              <w:jc w:val="center"/>
            </w:pPr>
            <m:oMathPara>
              <m:oMath>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j=1</m:t>
                                </m:r>
                              </m:sub>
                              <m:sup>
                                <m:r>
                                  <w:rPr>
                                    <w:rFonts w:ascii="Cambria Math" w:hAnsi="Cambria Math"/>
                                  </w:rPr>
                                  <m:t>10</m:t>
                                </m:r>
                              </m:sup>
                              <m:e>
                                <m:sSub>
                                  <m:sSubPr>
                                    <m:ctrlPr>
                                      <w:rPr>
                                        <w:rFonts w:ascii="Cambria Math" w:hAnsi="Cambria Math"/>
                                      </w:rPr>
                                    </m:ctrlPr>
                                  </m:sSubPr>
                                  <m:e>
                                    <m:acc>
                                      <m:accPr>
                                        <m:ctrlPr>
                                          <w:rPr>
                                            <w:rFonts w:ascii="Cambria Math" w:hAnsi="Cambria Math"/>
                                          </w:rPr>
                                        </m:ctrlPr>
                                      </m:accPr>
                                      <m:e>
                                        <m:r>
                                          <w:rPr>
                                            <w:rFonts w:ascii="Cambria Math" w:hAnsi="Cambria Math"/>
                                          </w:rPr>
                                          <m:t>VaR</m:t>
                                        </m:r>
                                      </m:e>
                                    </m:acc>
                                  </m:e>
                                  <m:sub>
                                    <m:r>
                                      <w:rPr>
                                        <w:rFonts w:ascii="Cambria Math" w:hAnsi="Cambria Math"/>
                                      </w:rPr>
                                      <m:t>i;t+j|t</m:t>
                                    </m:r>
                                  </m:sub>
                                </m:sSub>
                              </m:e>
                            </m:nary>
                          </m:e>
                        </m:d>
                      </m:e>
                      <m:sup>
                        <m:r>
                          <w:rPr>
                            <w:rFonts w:ascii="Cambria Math" w:hAnsi="Cambria Math"/>
                          </w:rPr>
                          <m:t>-1</m:t>
                        </m:r>
                      </m:sup>
                    </m:sSup>
                  </m:num>
                  <m:den>
                    <m:nary>
                      <m:naryPr>
                        <m:chr m:val="∑"/>
                        <m:limLoc m:val="undOvr"/>
                        <m:ctrlPr>
                          <w:rPr>
                            <w:rFonts w:ascii="Cambria Math" w:hAnsi="Cambria Math"/>
                          </w:rPr>
                        </m:ctrlPr>
                      </m:naryPr>
                      <m:sub>
                        <m:r>
                          <w:rPr>
                            <w:rFonts w:ascii="Cambria Math" w:hAnsi="Cambria Math"/>
                          </w:rPr>
                          <m:t>i=1</m:t>
                        </m:r>
                      </m:sub>
                      <m:sup>
                        <m:r>
                          <w:rPr>
                            <w:rFonts w:ascii="Cambria Math" w:hAnsi="Cambria Math"/>
                          </w:rPr>
                          <m:t>5</m:t>
                        </m:r>
                      </m:sup>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j=1</m:t>
                                    </m:r>
                                  </m:sub>
                                  <m:sup>
                                    <m:r>
                                      <w:rPr>
                                        <w:rFonts w:ascii="Cambria Math" w:hAnsi="Cambria Math"/>
                                      </w:rPr>
                                      <m:t>10</m:t>
                                    </m:r>
                                  </m:sup>
                                  <m:e>
                                    <m:sSub>
                                      <m:sSubPr>
                                        <m:ctrlPr>
                                          <w:rPr>
                                            <w:rFonts w:ascii="Cambria Math" w:hAnsi="Cambria Math"/>
                                          </w:rPr>
                                        </m:ctrlPr>
                                      </m:sSubPr>
                                      <m:e>
                                        <m:acc>
                                          <m:accPr>
                                            <m:ctrlPr>
                                              <w:rPr>
                                                <w:rFonts w:ascii="Cambria Math" w:hAnsi="Cambria Math"/>
                                              </w:rPr>
                                            </m:ctrlPr>
                                          </m:accPr>
                                          <m:e>
                                            <m:r>
                                              <w:rPr>
                                                <w:rFonts w:ascii="Cambria Math" w:hAnsi="Cambria Math"/>
                                              </w:rPr>
                                              <m:t>VaR</m:t>
                                            </m:r>
                                          </m:e>
                                        </m:acc>
                                      </m:e>
                                      <m:sub>
                                        <m:r>
                                          <w:rPr>
                                            <w:rFonts w:ascii="Cambria Math" w:hAnsi="Cambria Math"/>
                                          </w:rPr>
                                          <m:t>i;t+j|t</m:t>
                                        </m:r>
                                      </m:sub>
                                    </m:sSub>
                                  </m:e>
                                </m:nary>
                              </m:e>
                            </m:d>
                          </m:e>
                          <m:sup>
                            <m:r>
                              <w:rPr>
                                <w:rFonts w:ascii="Cambria Math" w:hAnsi="Cambria Math"/>
                              </w:rPr>
                              <m:t>-1</m:t>
                            </m:r>
                          </m:sup>
                        </m:sSup>
                      </m:e>
                    </m:nary>
                  </m:den>
                </m:f>
              </m:oMath>
            </m:oMathPara>
          </w:p>
        </w:tc>
      </w:tr>
    </w:tbl>
    <w:p w:rsidR="00CD68B3" w:rsidRDefault="00CD68B3" w:rsidP="00CD68B3">
      <w:pPr>
        <w:pStyle w:val="ac"/>
        <w:jc w:val="center"/>
      </w:pPr>
      <w:bookmarkStart w:id="2" w:name="_Ref515732041"/>
      <w:r>
        <w:t xml:space="preserve">Table </w:t>
      </w:r>
      <w:r>
        <w:fldChar w:fldCharType="begin"/>
      </w:r>
      <w:r>
        <w:instrText xml:space="preserve"> SEQ Table \* ARABIC </w:instrText>
      </w:r>
      <w:r>
        <w:fldChar w:fldCharType="separate"/>
      </w:r>
      <w:r>
        <w:rPr>
          <w:noProof/>
        </w:rPr>
        <w:t>2</w:t>
      </w:r>
      <w:r>
        <w:fldChar w:fldCharType="end"/>
      </w:r>
      <w:bookmarkEnd w:id="2"/>
      <w:r>
        <w:t xml:space="preserve"> Dynamic adjustment—5 periods frequency</w:t>
      </w:r>
    </w:p>
    <w:p w:rsidR="00CD68B3" w:rsidRDefault="00CD68B3" w:rsidP="00CD68B3"/>
    <w:p w:rsidR="00CD68B3" w:rsidRDefault="00CD68B3" w:rsidP="00CD68B3">
      <w:pPr>
        <w:pStyle w:val="a9"/>
        <w:ind w:left="420"/>
      </w:pPr>
      <w:r>
        <w:t xml:space="preserve">In </w:t>
      </w:r>
      <w:r>
        <w:fldChar w:fldCharType="begin"/>
      </w:r>
      <w:r>
        <w:instrText xml:space="preserve"> REF _Ref515732041 \h </w:instrText>
      </w:r>
      <w:r>
        <w:fldChar w:fldCharType="separate"/>
      </w:r>
      <w:r>
        <w:t xml:space="preserve">Table </w:t>
      </w:r>
      <w:r>
        <w:rPr>
          <w:noProof/>
        </w:rPr>
        <w:t>2</w:t>
      </w:r>
      <w:r>
        <w:fldChar w:fldCharType="end"/>
      </w:r>
      <w:r>
        <w:t xml:space="preserve">, capital T is equal to t+1, t+2, …, t+10 where </w:t>
      </w:r>
      <w:proofErr w:type="spellStart"/>
      <w:r>
        <w:t>t</w:t>
      </w:r>
      <w:proofErr w:type="spellEnd"/>
      <w:r>
        <w:t xml:space="preserve"> is the forecast origin. </w:t>
      </w:r>
      <w:r>
        <w:rPr>
          <w:rFonts w:hint="eastAsia"/>
        </w:rPr>
        <w:t>T</w:t>
      </w:r>
      <w:r>
        <w:t xml:space="preserve">hus, </w:t>
      </w:r>
      <m:oMath>
        <m:sSub>
          <m:sSubPr>
            <m:ctrlPr>
              <w:rPr>
                <w:rFonts w:ascii="Cambria Math" w:hAnsi="Cambria Math"/>
                <w:i/>
              </w:rPr>
            </m:ctrlPr>
          </m:sSubPr>
          <m:e>
            <m:r>
              <w:rPr>
                <w:rFonts w:ascii="Cambria Math" w:hAnsi="Cambria Math"/>
              </w:rPr>
              <m:t>W</m:t>
            </m:r>
          </m:e>
          <m:sub>
            <m:r>
              <w:rPr>
                <w:rFonts w:ascii="Cambria Math" w:hAnsi="Cambria Math"/>
              </w:rPr>
              <m:t>i,T</m:t>
            </m:r>
          </m:sub>
        </m:sSub>
      </m:oMath>
      <w:r>
        <w:rPr>
          <w:rFonts w:hint="eastAsia"/>
        </w:rPr>
        <w:t xml:space="preserve"> </w:t>
      </w:r>
      <w:r>
        <w:t xml:space="preserve">is the weight assigned to stock </w:t>
      </w:r>
      <w:proofErr w:type="spellStart"/>
      <w:r w:rsidRPr="00B4100E">
        <w:rPr>
          <w:i/>
        </w:rPr>
        <w:t>i</w:t>
      </w:r>
      <w:proofErr w:type="spellEnd"/>
      <w:r>
        <w:t xml:space="preserve"> at time T.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i;t+j|t</m:t>
            </m:r>
          </m:sub>
        </m:sSub>
      </m:oMath>
      <w:r>
        <w:rPr>
          <w:rFonts w:hint="eastAsia"/>
        </w:rPr>
        <w: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σ</m:t>
                </m:r>
              </m:e>
            </m:acc>
          </m:e>
          <m:sub>
            <m:r>
              <w:rPr>
                <w:rFonts w:ascii="Cambria Math" w:hAnsi="Cambria Math"/>
              </w:rPr>
              <m:t>i;t+j|t</m:t>
            </m:r>
          </m:sub>
        </m:sSub>
      </m:oMath>
      <w:r>
        <w:rPr>
          <w:rFonts w:hint="eastAsia"/>
        </w:rPr>
        <w: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VaR</m:t>
                </m:r>
              </m:e>
            </m:acc>
          </m:e>
          <m:sub>
            <m:r>
              <w:rPr>
                <w:rFonts w:ascii="Cambria Math" w:hAnsi="Cambria Math"/>
              </w:rPr>
              <m:t>i;t+j|t</m:t>
            </m:r>
          </m:sub>
        </m:sSub>
      </m:oMath>
      <w:r>
        <w:rPr>
          <w:rFonts w:hint="eastAsia"/>
        </w:rPr>
        <w:t xml:space="preserve"> </w:t>
      </w:r>
      <w:r>
        <w:t xml:space="preserve">are the j-step ahead forecasts for return, volatility and value at risk for stock </w:t>
      </w:r>
      <w:proofErr w:type="spellStart"/>
      <w:r>
        <w:t>i</w:t>
      </w:r>
      <w:proofErr w:type="spellEnd"/>
      <w:r>
        <w:t xml:space="preserve"> with origin time t (j=1,2,…,10). More specifically, For example, at origin t, we forecast one-step, two-step,…, ten-step ahead returns which are denoted as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hAnsi="Cambria Math"/>
              </w:rPr>
              <m:t>i;t+j|t</m:t>
            </m:r>
          </m:sub>
        </m:sSub>
      </m:oMath>
      <w:r>
        <w:rPr>
          <w:rFonts w:hint="eastAsia"/>
        </w:rPr>
        <w:t>,</w:t>
      </w:r>
      <w:r>
        <w:t xml:space="preserve"> then we move to t+10 and use t+10 as new forecast origin to forecast the next 10 steps, and so on.</w:t>
      </w:r>
    </w:p>
    <w:p w:rsidR="00CD68B3" w:rsidRDefault="00CD68B3" w:rsidP="00CD68B3">
      <w:pPr>
        <w:pStyle w:val="a9"/>
        <w:ind w:left="420"/>
      </w:pPr>
    </w:p>
    <w:p w:rsidR="00CD68B3" w:rsidRDefault="00CD68B3" w:rsidP="00CD68B3">
      <w:pPr>
        <w:pStyle w:val="a9"/>
        <w:widowControl w:val="0"/>
        <w:numPr>
          <w:ilvl w:val="0"/>
          <w:numId w:val="6"/>
        </w:numPr>
        <w:contextualSpacing w:val="0"/>
        <w:jc w:val="both"/>
      </w:pPr>
      <w:r>
        <w:rPr>
          <w:rFonts w:hint="eastAsia"/>
        </w:rPr>
        <w:t>P</w:t>
      </w:r>
      <w:r>
        <w:t>otential problems of these weighting methods.</w:t>
      </w:r>
    </w:p>
    <w:p w:rsidR="00CD68B3" w:rsidRDefault="00CD68B3" w:rsidP="00CD68B3">
      <w:pPr>
        <w:pStyle w:val="a9"/>
        <w:ind w:left="420"/>
      </w:pPr>
      <w:r>
        <w:rPr>
          <w:rFonts w:hint="eastAsia"/>
        </w:rPr>
        <w:t>A</w:t>
      </w:r>
      <w:r>
        <w:t>lthough these portfolio weighting strategies are very intuitive and commonly used, there are some problems that should be presented. First of all, for return method, it is possible for the denominator of weighting formula being equal to zero or close to zero. As a result, weights assigned can have extreme values since there is no constraint about positions. Allocating portfolio weights by VaR strategy also causes problems. It is unlikely to have VaR valued at 0 since VaR measures possible extreme loss when rare bad events happen. However, when implementing historical simulations, the probability of having VaR being equal to 0 is very low but can still be greater than zero especially for short-term historical simulations.</w:t>
      </w:r>
    </w:p>
    <w:p w:rsidR="00CD68B3" w:rsidRDefault="00CD68B3" w:rsidP="00CD68B3"/>
    <w:p w:rsidR="00CD68B3" w:rsidRDefault="00CD68B3" w:rsidP="00CD68B3">
      <w:pPr>
        <w:pStyle w:val="a9"/>
        <w:widowControl w:val="0"/>
        <w:numPr>
          <w:ilvl w:val="0"/>
          <w:numId w:val="5"/>
        </w:numPr>
        <w:contextualSpacing w:val="0"/>
        <w:jc w:val="both"/>
      </w:pPr>
      <w:r>
        <w:rPr>
          <w:rFonts w:hint="eastAsia"/>
        </w:rPr>
        <w:t>A</w:t>
      </w:r>
      <w:r>
        <w:t>ssessing portfolios under different models</w:t>
      </w:r>
    </w:p>
    <w:p w:rsidR="00CD68B3" w:rsidRDefault="00CD68B3" w:rsidP="00CD68B3">
      <w:pPr>
        <w:pStyle w:val="a9"/>
        <w:ind w:left="360"/>
      </w:pPr>
      <w:r>
        <w:rPr>
          <w:rFonts w:hint="eastAsia"/>
        </w:rPr>
        <w:t>S</w:t>
      </w:r>
      <w:r>
        <w:t>ince equal weighting method does not change weights assigned according to forecast results, the realized mean and standard deviation of portfolio would not vary when changing models. Results of different weighting strategies are shown and discussed in the following part.</w:t>
      </w:r>
    </w:p>
    <w:p w:rsidR="00CD68B3" w:rsidRDefault="00CD68B3" w:rsidP="00CD68B3">
      <w:pPr>
        <w:pStyle w:val="a9"/>
        <w:widowControl w:val="0"/>
        <w:numPr>
          <w:ilvl w:val="0"/>
          <w:numId w:val="6"/>
        </w:numPr>
        <w:contextualSpacing w:val="0"/>
        <w:jc w:val="both"/>
      </w:pPr>
      <w:r>
        <w:rPr>
          <w:rFonts w:hint="eastAsia"/>
        </w:rPr>
        <w:t>P</w:t>
      </w:r>
      <w:r>
        <w:t>ortfolio rebalanced every one period</w:t>
      </w:r>
    </w:p>
    <w:p w:rsidR="00CD68B3" w:rsidRDefault="00CD68B3" w:rsidP="00CD68B3"/>
    <w:tbl>
      <w:tblPr>
        <w:tblStyle w:val="2-3"/>
        <w:tblW w:w="5000" w:type="pct"/>
        <w:jc w:val="center"/>
        <w:tblLook w:val="04A0" w:firstRow="1" w:lastRow="0" w:firstColumn="1" w:lastColumn="0" w:noHBand="0" w:noVBand="1"/>
      </w:tblPr>
      <w:tblGrid>
        <w:gridCol w:w="1933"/>
        <w:gridCol w:w="903"/>
        <w:gridCol w:w="940"/>
        <w:gridCol w:w="960"/>
        <w:gridCol w:w="960"/>
        <w:gridCol w:w="832"/>
        <w:gridCol w:w="832"/>
        <w:gridCol w:w="832"/>
        <w:gridCol w:w="828"/>
      </w:tblGrid>
      <w:tr w:rsidR="00CD68B3" w:rsidRPr="003629E5" w:rsidTr="0006551A">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072" w:type="pct"/>
            <w:tcBorders>
              <w:top w:val="double" w:sz="4" w:space="0" w:color="C9C9C9" w:themeColor="accent3" w:themeTint="99"/>
            </w:tcBorders>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1-period dynamic</w:t>
            </w:r>
          </w:p>
        </w:tc>
        <w:tc>
          <w:tcPr>
            <w:tcW w:w="1022" w:type="pct"/>
            <w:gridSpan w:val="2"/>
            <w:tcBorders>
              <w:top w:val="double" w:sz="4" w:space="0" w:color="C9C9C9" w:themeColor="accent3" w:themeTint="99"/>
            </w:tcBorders>
            <w:noWrap/>
            <w:vAlign w:val="center"/>
            <w:hideMark/>
          </w:tcPr>
          <w:p w:rsidR="00CD68B3" w:rsidRPr="003629E5" w:rsidRDefault="00CD68B3" w:rsidP="0006551A">
            <w:pPr>
              <w:jc w:val="center"/>
              <w:cnfStyle w:val="100000000000" w:firstRow="1" w:lastRow="0" w:firstColumn="0" w:lastColumn="0" w:oddVBand="0" w:evenVBand="0" w:oddHBand="0"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Return Strategy</w:t>
            </w:r>
          </w:p>
        </w:tc>
        <w:tc>
          <w:tcPr>
            <w:tcW w:w="1064" w:type="pct"/>
            <w:gridSpan w:val="2"/>
            <w:tcBorders>
              <w:top w:val="double" w:sz="4" w:space="0" w:color="C9C9C9" w:themeColor="accent3" w:themeTint="99"/>
            </w:tcBorders>
            <w:noWrap/>
            <w:vAlign w:val="center"/>
            <w:hideMark/>
          </w:tcPr>
          <w:p w:rsidR="00CD68B3" w:rsidRPr="003629E5" w:rsidRDefault="00CD68B3" w:rsidP="0006551A">
            <w:pPr>
              <w:jc w:val="center"/>
              <w:cnfStyle w:val="100000000000" w:firstRow="1" w:lastRow="0" w:firstColumn="0" w:lastColumn="0" w:oddVBand="0" w:evenVBand="0" w:oddHBand="0"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Volatility Strategy</w:t>
            </w:r>
          </w:p>
        </w:tc>
        <w:tc>
          <w:tcPr>
            <w:tcW w:w="921" w:type="pct"/>
            <w:gridSpan w:val="2"/>
            <w:tcBorders>
              <w:top w:val="double" w:sz="4" w:space="0" w:color="C9C9C9" w:themeColor="accent3" w:themeTint="99"/>
            </w:tcBorders>
            <w:noWrap/>
            <w:vAlign w:val="center"/>
            <w:hideMark/>
          </w:tcPr>
          <w:p w:rsidR="00CD68B3" w:rsidRPr="003629E5" w:rsidRDefault="00CD68B3" w:rsidP="0006551A">
            <w:pPr>
              <w:jc w:val="center"/>
              <w:cnfStyle w:val="100000000000" w:firstRow="1" w:lastRow="0" w:firstColumn="0" w:lastColumn="0" w:oddVBand="0" w:evenVBand="0" w:oddHBand="0"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VaR Strategy</w:t>
            </w:r>
          </w:p>
        </w:tc>
        <w:tc>
          <w:tcPr>
            <w:tcW w:w="921" w:type="pct"/>
            <w:gridSpan w:val="2"/>
            <w:tcBorders>
              <w:top w:val="double" w:sz="4" w:space="0" w:color="C9C9C9" w:themeColor="accent3" w:themeTint="99"/>
            </w:tcBorders>
            <w:noWrap/>
            <w:vAlign w:val="center"/>
            <w:hideMark/>
          </w:tcPr>
          <w:p w:rsidR="00CD68B3" w:rsidRPr="003629E5" w:rsidRDefault="00CD68B3" w:rsidP="0006551A">
            <w:pPr>
              <w:jc w:val="center"/>
              <w:cnfStyle w:val="100000000000" w:firstRow="1" w:lastRow="0" w:firstColumn="0" w:lastColumn="0" w:oddVBand="0" w:evenVBand="0" w:oddHBand="0"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Equal Weight</w:t>
            </w:r>
          </w:p>
        </w:tc>
      </w:tr>
      <w:tr w:rsidR="00CD68B3" w:rsidRPr="003629E5" w:rsidTr="0006551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072" w:type="pct"/>
            <w:noWrap/>
            <w:vAlign w:val="center"/>
            <w:hideMark/>
          </w:tcPr>
          <w:p w:rsidR="00CD68B3" w:rsidRPr="003629E5" w:rsidRDefault="00CD68B3" w:rsidP="0006551A">
            <w:pPr>
              <w:jc w:val="center"/>
              <w:rPr>
                <w:rFonts w:eastAsia="DengXian"/>
                <w:color w:val="000000"/>
                <w:sz w:val="20"/>
                <w:szCs w:val="20"/>
              </w:rPr>
            </w:pPr>
            <w:r>
              <w:rPr>
                <w:rFonts w:eastAsia="DengXian" w:hint="eastAsia"/>
                <w:color w:val="000000"/>
                <w:sz w:val="20"/>
                <w:szCs w:val="20"/>
              </w:rPr>
              <w:t>(</w:t>
            </w:r>
            <w:r>
              <w:rPr>
                <w:rFonts w:eastAsia="DengXian"/>
                <w:color w:val="000000"/>
                <w:sz w:val="20"/>
                <w:szCs w:val="20"/>
              </w:rPr>
              <w:t>%)</w:t>
            </w:r>
          </w:p>
        </w:tc>
        <w:tc>
          <w:tcPr>
            <w:tcW w:w="50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mean</w:t>
            </w:r>
          </w:p>
        </w:tc>
        <w:tc>
          <w:tcPr>
            <w:tcW w:w="52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proofErr w:type="spellStart"/>
            <w:r w:rsidRPr="003629E5">
              <w:rPr>
                <w:rFonts w:eastAsia="DengXian"/>
                <w:color w:val="000000"/>
                <w:sz w:val="20"/>
                <w:szCs w:val="20"/>
              </w:rPr>
              <w:t>std</w:t>
            </w:r>
            <w:proofErr w:type="spellEnd"/>
          </w:p>
        </w:tc>
        <w:tc>
          <w:tcPr>
            <w:tcW w:w="532"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mean</w:t>
            </w:r>
          </w:p>
        </w:tc>
        <w:tc>
          <w:tcPr>
            <w:tcW w:w="532"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proofErr w:type="spellStart"/>
            <w:r w:rsidRPr="003629E5">
              <w:rPr>
                <w:rFonts w:eastAsia="DengXian"/>
                <w:color w:val="000000"/>
                <w:sz w:val="20"/>
                <w:szCs w:val="20"/>
              </w:rPr>
              <w:t>std</w:t>
            </w:r>
            <w:proofErr w:type="spellEnd"/>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mean</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proofErr w:type="spellStart"/>
            <w:r w:rsidRPr="003629E5">
              <w:rPr>
                <w:rFonts w:eastAsia="DengXian"/>
                <w:color w:val="000000"/>
                <w:sz w:val="20"/>
                <w:szCs w:val="20"/>
              </w:rPr>
              <w:t>std</w:t>
            </w:r>
            <w:proofErr w:type="spellEnd"/>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mean</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proofErr w:type="spellStart"/>
            <w:r w:rsidRPr="003629E5">
              <w:rPr>
                <w:rFonts w:eastAsia="DengXian"/>
                <w:color w:val="000000"/>
                <w:sz w:val="20"/>
                <w:szCs w:val="20"/>
              </w:rPr>
              <w:t>std</w:t>
            </w:r>
            <w:proofErr w:type="spellEnd"/>
          </w:p>
        </w:tc>
      </w:tr>
      <w:tr w:rsidR="00CD68B3" w:rsidRPr="003629E5" w:rsidTr="0006551A">
        <w:trPr>
          <w:trHeight w:val="278"/>
          <w:jc w:val="center"/>
        </w:trPr>
        <w:tc>
          <w:tcPr>
            <w:cnfStyle w:val="001000000000" w:firstRow="0" w:lastRow="0" w:firstColumn="1" w:lastColumn="0" w:oddVBand="0" w:evenVBand="0" w:oddHBand="0" w:evenHBand="0" w:firstRowFirstColumn="0" w:firstRowLastColumn="0" w:lastRowFirstColumn="0" w:lastRowLastColumn="0"/>
            <w:tcW w:w="1072" w:type="pct"/>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AR-GARCH</w:t>
            </w:r>
          </w:p>
        </w:tc>
        <w:tc>
          <w:tcPr>
            <w:tcW w:w="501"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rFonts w:eastAsia="DengXian"/>
                <w:color w:val="000000"/>
                <w:sz w:val="18"/>
                <w:szCs w:val="18"/>
              </w:rPr>
            </w:pPr>
            <w:r w:rsidRPr="00D56697">
              <w:rPr>
                <w:rFonts w:eastAsia="DengXian"/>
                <w:color w:val="000000"/>
                <w:sz w:val="18"/>
                <w:szCs w:val="18"/>
              </w:rPr>
              <w:t xml:space="preserve">0.2092 </w:t>
            </w:r>
          </w:p>
        </w:tc>
        <w:tc>
          <w:tcPr>
            <w:tcW w:w="521"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9.3195 </w:t>
            </w:r>
          </w:p>
        </w:tc>
        <w:tc>
          <w:tcPr>
            <w:tcW w:w="532"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0.0286 </w:t>
            </w:r>
          </w:p>
        </w:tc>
        <w:tc>
          <w:tcPr>
            <w:tcW w:w="532"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0.8649 </w:t>
            </w:r>
          </w:p>
        </w:tc>
        <w:tc>
          <w:tcPr>
            <w:tcW w:w="461"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0.0224 </w:t>
            </w:r>
          </w:p>
        </w:tc>
        <w:tc>
          <w:tcPr>
            <w:tcW w:w="461"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0.8755 </w:t>
            </w:r>
          </w:p>
        </w:tc>
        <w:tc>
          <w:tcPr>
            <w:tcW w:w="461" w:type="pct"/>
            <w:noWrap/>
            <w:vAlign w:val="center"/>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sz w:val="18"/>
                <w:szCs w:val="18"/>
              </w:rPr>
              <w:t>0.0139</w:t>
            </w:r>
          </w:p>
        </w:tc>
        <w:tc>
          <w:tcPr>
            <w:tcW w:w="461" w:type="pct"/>
            <w:noWrap/>
            <w:vAlign w:val="center"/>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sz w:val="18"/>
                <w:szCs w:val="18"/>
              </w:rPr>
              <w:t>0.9089</w:t>
            </w:r>
          </w:p>
        </w:tc>
      </w:tr>
      <w:tr w:rsidR="00CD68B3" w:rsidRPr="003629E5" w:rsidTr="0006551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072" w:type="pct"/>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AR-GJR-GARCH</w:t>
            </w:r>
          </w:p>
        </w:tc>
        <w:tc>
          <w:tcPr>
            <w:tcW w:w="501"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18"/>
                <w:szCs w:val="18"/>
              </w:rPr>
            </w:pPr>
            <w:r w:rsidRPr="00D56697">
              <w:rPr>
                <w:rFonts w:eastAsia="DengXian"/>
                <w:color w:val="000000"/>
                <w:sz w:val="18"/>
                <w:szCs w:val="18"/>
              </w:rPr>
              <w:t xml:space="preserve">0.1935 </w:t>
            </w:r>
          </w:p>
        </w:tc>
        <w:tc>
          <w:tcPr>
            <w:tcW w:w="521"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9.2856 </w:t>
            </w:r>
          </w:p>
        </w:tc>
        <w:tc>
          <w:tcPr>
            <w:tcW w:w="532"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0.0241 </w:t>
            </w:r>
          </w:p>
        </w:tc>
        <w:tc>
          <w:tcPr>
            <w:tcW w:w="532"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0.8634 </w:t>
            </w:r>
          </w:p>
        </w:tc>
        <w:tc>
          <w:tcPr>
            <w:tcW w:w="461"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0.0199 </w:t>
            </w:r>
          </w:p>
        </w:tc>
        <w:tc>
          <w:tcPr>
            <w:tcW w:w="461"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0.8748 </w:t>
            </w:r>
          </w:p>
        </w:tc>
        <w:tc>
          <w:tcPr>
            <w:tcW w:w="461" w:type="pct"/>
            <w:noWrap/>
            <w:vAlign w:val="center"/>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sz w:val="18"/>
                <w:szCs w:val="18"/>
              </w:rPr>
              <w:t>0.0139</w:t>
            </w:r>
          </w:p>
        </w:tc>
        <w:tc>
          <w:tcPr>
            <w:tcW w:w="461" w:type="pct"/>
            <w:noWrap/>
            <w:vAlign w:val="center"/>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sz w:val="18"/>
                <w:szCs w:val="18"/>
              </w:rPr>
              <w:t>0.9089</w:t>
            </w:r>
          </w:p>
        </w:tc>
      </w:tr>
      <w:tr w:rsidR="00CD68B3" w:rsidRPr="003629E5" w:rsidTr="0006551A">
        <w:trPr>
          <w:trHeight w:val="278"/>
          <w:jc w:val="center"/>
        </w:trPr>
        <w:tc>
          <w:tcPr>
            <w:cnfStyle w:val="001000000000" w:firstRow="0" w:lastRow="0" w:firstColumn="1" w:lastColumn="0" w:oddVBand="0" w:evenVBand="0" w:oddHBand="0" w:evenHBand="0" w:firstRowFirstColumn="0" w:firstRowLastColumn="0" w:lastRowFirstColumn="0" w:lastRowLastColumn="0"/>
            <w:tcW w:w="1072" w:type="pct"/>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IGARCH</w:t>
            </w:r>
          </w:p>
        </w:tc>
        <w:tc>
          <w:tcPr>
            <w:tcW w:w="501"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rFonts w:eastAsia="DengXian"/>
                <w:color w:val="000000"/>
                <w:sz w:val="18"/>
                <w:szCs w:val="18"/>
              </w:rPr>
            </w:pPr>
            <w:r w:rsidRPr="00D56697">
              <w:rPr>
                <w:rFonts w:eastAsia="DengXian"/>
                <w:color w:val="000000"/>
                <w:sz w:val="18"/>
                <w:szCs w:val="18"/>
              </w:rPr>
              <w:t>NAN</w:t>
            </w:r>
          </w:p>
        </w:tc>
        <w:tc>
          <w:tcPr>
            <w:tcW w:w="521"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NAN</w:t>
            </w:r>
          </w:p>
        </w:tc>
        <w:tc>
          <w:tcPr>
            <w:tcW w:w="532"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0.0306 </w:t>
            </w:r>
          </w:p>
        </w:tc>
        <w:tc>
          <w:tcPr>
            <w:tcW w:w="532"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0.8736 </w:t>
            </w:r>
          </w:p>
        </w:tc>
        <w:tc>
          <w:tcPr>
            <w:tcW w:w="461"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0.0203 </w:t>
            </w:r>
          </w:p>
        </w:tc>
        <w:tc>
          <w:tcPr>
            <w:tcW w:w="461" w:type="pct"/>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0.8319 </w:t>
            </w:r>
          </w:p>
        </w:tc>
        <w:tc>
          <w:tcPr>
            <w:tcW w:w="461" w:type="pct"/>
            <w:noWrap/>
            <w:vAlign w:val="center"/>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sz w:val="18"/>
                <w:szCs w:val="18"/>
              </w:rPr>
              <w:t>0.0139</w:t>
            </w:r>
          </w:p>
        </w:tc>
        <w:tc>
          <w:tcPr>
            <w:tcW w:w="461" w:type="pct"/>
            <w:noWrap/>
            <w:vAlign w:val="center"/>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sz w:val="18"/>
                <w:szCs w:val="18"/>
              </w:rPr>
              <w:t>0.9089</w:t>
            </w:r>
          </w:p>
        </w:tc>
      </w:tr>
      <w:tr w:rsidR="00CD68B3" w:rsidRPr="003629E5" w:rsidTr="0006551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072" w:type="pct"/>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HS25</w:t>
            </w:r>
          </w:p>
        </w:tc>
        <w:tc>
          <w:tcPr>
            <w:tcW w:w="501"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b/>
                <w:color w:val="000000"/>
                <w:sz w:val="18"/>
                <w:szCs w:val="18"/>
              </w:rPr>
            </w:pPr>
            <w:r w:rsidRPr="00D56697">
              <w:rPr>
                <w:rFonts w:eastAsia="DengXian"/>
                <w:b/>
                <w:color w:val="000000"/>
                <w:sz w:val="18"/>
                <w:szCs w:val="18"/>
              </w:rPr>
              <w:t xml:space="preserve">-0.2078 </w:t>
            </w:r>
          </w:p>
        </w:tc>
        <w:tc>
          <w:tcPr>
            <w:tcW w:w="521"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14.5094 </w:t>
            </w:r>
          </w:p>
        </w:tc>
        <w:tc>
          <w:tcPr>
            <w:tcW w:w="532"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0.0224 </w:t>
            </w:r>
          </w:p>
        </w:tc>
        <w:tc>
          <w:tcPr>
            <w:tcW w:w="532"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0.8770 </w:t>
            </w:r>
          </w:p>
        </w:tc>
        <w:tc>
          <w:tcPr>
            <w:tcW w:w="461"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0.0194 </w:t>
            </w:r>
          </w:p>
        </w:tc>
        <w:tc>
          <w:tcPr>
            <w:tcW w:w="461" w:type="pct"/>
            <w:noWrap/>
            <w:vAlign w:val="bottom"/>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rFonts w:eastAsia="DengXian"/>
                <w:color w:val="000000"/>
                <w:sz w:val="18"/>
                <w:szCs w:val="18"/>
              </w:rPr>
              <w:t xml:space="preserve">0.8404 </w:t>
            </w:r>
          </w:p>
        </w:tc>
        <w:tc>
          <w:tcPr>
            <w:tcW w:w="461" w:type="pct"/>
            <w:noWrap/>
            <w:vAlign w:val="center"/>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sz w:val="18"/>
                <w:szCs w:val="18"/>
              </w:rPr>
              <w:t>0.0139</w:t>
            </w:r>
          </w:p>
        </w:tc>
        <w:tc>
          <w:tcPr>
            <w:tcW w:w="461" w:type="pct"/>
            <w:noWrap/>
            <w:vAlign w:val="center"/>
            <w:hideMark/>
          </w:tcPr>
          <w:p w:rsidR="00CD68B3" w:rsidRPr="00D56697" w:rsidRDefault="00CD68B3" w:rsidP="0006551A">
            <w:pPr>
              <w:jc w:val="center"/>
              <w:cnfStyle w:val="000000100000" w:firstRow="0" w:lastRow="0" w:firstColumn="0" w:lastColumn="0" w:oddVBand="0" w:evenVBand="0" w:oddHBand="1" w:evenHBand="0" w:firstRowFirstColumn="0" w:firstRowLastColumn="0" w:lastRowFirstColumn="0" w:lastRowLastColumn="0"/>
              <w:rPr>
                <w:sz w:val="18"/>
                <w:szCs w:val="18"/>
              </w:rPr>
            </w:pPr>
            <w:r w:rsidRPr="00D56697">
              <w:rPr>
                <w:sz w:val="18"/>
                <w:szCs w:val="18"/>
              </w:rPr>
              <w:t>0.9089</w:t>
            </w:r>
          </w:p>
        </w:tc>
      </w:tr>
      <w:tr w:rsidR="00CD68B3" w:rsidRPr="003629E5" w:rsidTr="0006551A">
        <w:trPr>
          <w:trHeight w:val="278"/>
          <w:jc w:val="center"/>
        </w:trPr>
        <w:tc>
          <w:tcPr>
            <w:cnfStyle w:val="001000000000" w:firstRow="0" w:lastRow="0" w:firstColumn="1" w:lastColumn="0" w:oddVBand="0" w:evenVBand="0" w:oddHBand="0" w:evenHBand="0" w:firstRowFirstColumn="0" w:firstRowLastColumn="0" w:lastRowFirstColumn="0" w:lastRowLastColumn="0"/>
            <w:tcW w:w="1072" w:type="pct"/>
            <w:tcBorders>
              <w:bottom w:val="double" w:sz="4" w:space="0" w:color="C9C9C9" w:themeColor="accent3" w:themeTint="99"/>
            </w:tcBorders>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HS5</w:t>
            </w:r>
          </w:p>
        </w:tc>
        <w:tc>
          <w:tcPr>
            <w:tcW w:w="501" w:type="pct"/>
            <w:tcBorders>
              <w:bottom w:val="double" w:sz="4" w:space="0" w:color="C9C9C9" w:themeColor="accent3" w:themeTint="99"/>
            </w:tcBorders>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rFonts w:eastAsia="DengXian"/>
                <w:b/>
                <w:color w:val="000000"/>
                <w:sz w:val="18"/>
                <w:szCs w:val="18"/>
              </w:rPr>
            </w:pPr>
            <w:r w:rsidRPr="00D56697">
              <w:rPr>
                <w:rFonts w:eastAsia="DengXian"/>
                <w:b/>
                <w:color w:val="000000"/>
                <w:sz w:val="18"/>
                <w:szCs w:val="18"/>
              </w:rPr>
              <w:t xml:space="preserve">0.2563 </w:t>
            </w:r>
          </w:p>
        </w:tc>
        <w:tc>
          <w:tcPr>
            <w:tcW w:w="521" w:type="pct"/>
            <w:tcBorders>
              <w:bottom w:val="double" w:sz="4" w:space="0" w:color="C9C9C9" w:themeColor="accent3" w:themeTint="99"/>
            </w:tcBorders>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13.6839 </w:t>
            </w:r>
          </w:p>
        </w:tc>
        <w:tc>
          <w:tcPr>
            <w:tcW w:w="532" w:type="pct"/>
            <w:tcBorders>
              <w:bottom w:val="double" w:sz="4" w:space="0" w:color="C9C9C9" w:themeColor="accent3" w:themeTint="99"/>
            </w:tcBorders>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0.0137 </w:t>
            </w:r>
          </w:p>
        </w:tc>
        <w:tc>
          <w:tcPr>
            <w:tcW w:w="532" w:type="pct"/>
            <w:tcBorders>
              <w:bottom w:val="double" w:sz="4" w:space="0" w:color="C9C9C9" w:themeColor="accent3" w:themeTint="99"/>
            </w:tcBorders>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0.9148 </w:t>
            </w:r>
          </w:p>
        </w:tc>
        <w:tc>
          <w:tcPr>
            <w:tcW w:w="461" w:type="pct"/>
            <w:tcBorders>
              <w:bottom w:val="double" w:sz="4" w:space="0" w:color="C9C9C9" w:themeColor="accent3" w:themeTint="99"/>
            </w:tcBorders>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0.0065 </w:t>
            </w:r>
          </w:p>
        </w:tc>
        <w:tc>
          <w:tcPr>
            <w:tcW w:w="461" w:type="pct"/>
            <w:tcBorders>
              <w:bottom w:val="double" w:sz="4" w:space="0" w:color="C9C9C9" w:themeColor="accent3" w:themeTint="99"/>
            </w:tcBorders>
            <w:noWrap/>
            <w:vAlign w:val="bottom"/>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rFonts w:eastAsia="DengXian"/>
                <w:color w:val="000000"/>
                <w:sz w:val="18"/>
                <w:szCs w:val="18"/>
              </w:rPr>
              <w:t xml:space="preserve">1.7449 </w:t>
            </w:r>
          </w:p>
        </w:tc>
        <w:tc>
          <w:tcPr>
            <w:tcW w:w="461" w:type="pct"/>
            <w:tcBorders>
              <w:bottom w:val="double" w:sz="4" w:space="0" w:color="C9C9C9" w:themeColor="accent3" w:themeTint="99"/>
            </w:tcBorders>
            <w:noWrap/>
            <w:vAlign w:val="center"/>
            <w:hideMark/>
          </w:tcPr>
          <w:p w:rsidR="00CD68B3" w:rsidRPr="00D56697" w:rsidRDefault="00CD68B3" w:rsidP="0006551A">
            <w:pPr>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sz w:val="18"/>
                <w:szCs w:val="18"/>
              </w:rPr>
              <w:t>0.0139</w:t>
            </w:r>
          </w:p>
        </w:tc>
        <w:tc>
          <w:tcPr>
            <w:tcW w:w="461" w:type="pct"/>
            <w:tcBorders>
              <w:bottom w:val="double" w:sz="4" w:space="0" w:color="C9C9C9" w:themeColor="accent3" w:themeTint="99"/>
            </w:tcBorders>
            <w:noWrap/>
            <w:vAlign w:val="center"/>
            <w:hideMark/>
          </w:tcPr>
          <w:p w:rsidR="00CD68B3" w:rsidRPr="00D56697" w:rsidRDefault="00CD68B3" w:rsidP="0006551A">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D56697">
              <w:rPr>
                <w:sz w:val="18"/>
                <w:szCs w:val="18"/>
              </w:rPr>
              <w:t>0.9089</w:t>
            </w:r>
          </w:p>
        </w:tc>
      </w:tr>
    </w:tbl>
    <w:p w:rsidR="00CD68B3" w:rsidRDefault="00CD68B3" w:rsidP="00CD68B3">
      <w:pPr>
        <w:pStyle w:val="ac"/>
        <w:jc w:val="center"/>
      </w:pPr>
      <w:bookmarkStart w:id="3" w:name="_Ref515877537"/>
      <w:r>
        <w:t xml:space="preserve">Table </w:t>
      </w:r>
      <w:r>
        <w:fldChar w:fldCharType="begin"/>
      </w:r>
      <w:r>
        <w:instrText xml:space="preserve"> SEQ Table \* ARABIC </w:instrText>
      </w:r>
      <w:r>
        <w:fldChar w:fldCharType="separate"/>
      </w:r>
      <w:r>
        <w:rPr>
          <w:noProof/>
        </w:rPr>
        <w:t>3</w:t>
      </w:r>
      <w:r>
        <w:fldChar w:fldCharType="end"/>
      </w:r>
      <w:bookmarkEnd w:id="3"/>
      <w:r w:rsidRPr="00EE62D8">
        <w:t xml:space="preserve"> Portfolio performance with 1-period dynamic adjustment</w:t>
      </w:r>
    </w:p>
    <w:p w:rsidR="00CD68B3" w:rsidRDefault="00CD68B3" w:rsidP="00CD68B3"/>
    <w:p w:rsidR="00CD68B3" w:rsidRDefault="00CD68B3" w:rsidP="00CD68B3">
      <w:r>
        <w:rPr>
          <w:rFonts w:hint="eastAsia"/>
        </w:rPr>
        <w:t>A</w:t>
      </w:r>
      <w:r>
        <w:t xml:space="preserve">s shown by </w:t>
      </w:r>
      <w:r>
        <w:fldChar w:fldCharType="begin"/>
      </w:r>
      <w:r>
        <w:instrText xml:space="preserve"> REF _Ref515864420 \h </w:instrText>
      </w:r>
      <w:r>
        <w:fldChar w:fldCharType="separate"/>
      </w:r>
      <w:r>
        <w:t xml:space="preserve">Table </w:t>
      </w:r>
      <w:r>
        <w:rPr>
          <w:noProof/>
        </w:rPr>
        <w:t>3</w:t>
      </w:r>
      <w:r>
        <w:fldChar w:fldCharType="end"/>
      </w:r>
      <w:r>
        <w:t>, for portfolios rebalanced every one period, the highest return is 0.2563% achieved by return strategy under HS5 model while the lowest (-0.2078%) comes from HS25. The second and third highest returns are also generated through return strategy. The reason might be that return strategy always tends to allocate high weight to stocks with high returns forecasted at rebalancing day, and assigning weights without having constraint may generate extreme position for the dominator of return strategy formula can be close to zero. Since IGARCH model cannot forecast returns, we have no valid portfolio weight generated by return strategy. As for volatility strategy, portfolio allocated through IGARCH model has the highest return: 0.0306% and the lowest is 0.0137% generated by HS5. Portfolios weighting by VaR forecasts from AR-GARCH and IGARCH model have the 1</w:t>
      </w:r>
      <w:r w:rsidRPr="00EA77BF">
        <w:rPr>
          <w:vertAlign w:val="superscript"/>
        </w:rPr>
        <w:t>st</w:t>
      </w:r>
      <w:r>
        <w:t xml:space="preserve"> and 2</w:t>
      </w:r>
      <w:r w:rsidRPr="00EA77BF">
        <w:rPr>
          <w:vertAlign w:val="superscript"/>
        </w:rPr>
        <w:t>nd</w:t>
      </w:r>
      <w:r>
        <w:t xml:space="preserve"> highest returns being 0.0224% and 0.0203% respectively. The lowest return is again yield by HS5 model. </w:t>
      </w:r>
    </w:p>
    <w:p w:rsidR="00CD68B3" w:rsidRDefault="00CD68B3" w:rsidP="00CD68B3"/>
    <w:p w:rsidR="00CD68B3" w:rsidRDefault="00CD68B3" w:rsidP="00CD68B3">
      <w:r>
        <w:t>The standard deviation calculated for portfolios can be seen as measure of risk. As expected, portfolios formed by return strategy suffer from high risk which is at least ten times as high as risk of portfolios formed by volatility or VaR strategy. Volatility-strategy-weighted and VaR-strategy-weighted 1-period dynamic portfolios have similar risk. Portfolios weighted by forecasts from AR-GJR-GARCH and IGARCH have the lowest risk (0.8634% and 0.8319%) when implementing volatility strategy and VaR strategy respectively. Weighting by volatility and VaR strategy, daily rebalanced portfolio constructed by HS5 has the highest risk: 0.9148% for volatility strategy and 1.7449% for VaR strategy.</w:t>
      </w:r>
    </w:p>
    <w:p w:rsidR="00CD68B3" w:rsidRDefault="00CD68B3" w:rsidP="00CD68B3"/>
    <w:p w:rsidR="00CD68B3" w:rsidRDefault="00CD68B3" w:rsidP="00CD68B3">
      <w:r>
        <w:rPr>
          <w:rFonts w:hint="eastAsia"/>
        </w:rPr>
        <w:t>O</w:t>
      </w:r>
      <w:r>
        <w:t>verall, most of daily rebalanced portfolios formed by the first three strategies outperform our benchmark which is equally weighted portfolio except for HS5, which has lower return and higher risk than benchmark portfolio under volatility and VaR strategy.</w:t>
      </w:r>
    </w:p>
    <w:p w:rsidR="00CD68B3" w:rsidRPr="00FD53AC" w:rsidRDefault="00CD68B3" w:rsidP="00CD68B3"/>
    <w:p w:rsidR="00CD68B3" w:rsidRPr="00F408F8" w:rsidRDefault="00CD68B3" w:rsidP="00CD68B3">
      <w:pPr>
        <w:pStyle w:val="a9"/>
        <w:widowControl w:val="0"/>
        <w:numPr>
          <w:ilvl w:val="0"/>
          <w:numId w:val="6"/>
        </w:numPr>
        <w:contextualSpacing w:val="0"/>
        <w:jc w:val="both"/>
      </w:pPr>
      <w:r>
        <w:rPr>
          <w:rFonts w:hint="eastAsia"/>
        </w:rPr>
        <w:t>P</w:t>
      </w:r>
      <w:r>
        <w:t>ortfolio rebalanced every ten periods</w:t>
      </w:r>
    </w:p>
    <w:tbl>
      <w:tblPr>
        <w:tblStyle w:val="2-3"/>
        <w:tblW w:w="5000" w:type="pct"/>
        <w:jc w:val="center"/>
        <w:tblLook w:val="04A0" w:firstRow="1" w:lastRow="0" w:firstColumn="1" w:lastColumn="0" w:noHBand="0" w:noVBand="1"/>
      </w:tblPr>
      <w:tblGrid>
        <w:gridCol w:w="1936"/>
        <w:gridCol w:w="943"/>
        <w:gridCol w:w="832"/>
        <w:gridCol w:w="1149"/>
        <w:gridCol w:w="832"/>
        <w:gridCol w:w="832"/>
        <w:gridCol w:w="832"/>
        <w:gridCol w:w="832"/>
        <w:gridCol w:w="832"/>
      </w:tblGrid>
      <w:tr w:rsidR="00CD68B3" w:rsidRPr="003629E5" w:rsidTr="0006551A">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073" w:type="pct"/>
            <w:tcBorders>
              <w:top w:val="double" w:sz="4" w:space="0" w:color="C9C9C9" w:themeColor="accent3" w:themeTint="99"/>
            </w:tcBorders>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1</w:t>
            </w:r>
            <w:r>
              <w:rPr>
                <w:rFonts w:eastAsia="DengXian"/>
                <w:color w:val="000000"/>
                <w:sz w:val="20"/>
                <w:szCs w:val="20"/>
              </w:rPr>
              <w:t>0</w:t>
            </w:r>
            <w:r w:rsidRPr="003629E5">
              <w:rPr>
                <w:rFonts w:eastAsia="DengXian"/>
                <w:color w:val="000000"/>
                <w:sz w:val="20"/>
                <w:szCs w:val="20"/>
              </w:rPr>
              <w:t>-period dynamic</w:t>
            </w:r>
          </w:p>
        </w:tc>
        <w:tc>
          <w:tcPr>
            <w:tcW w:w="984" w:type="pct"/>
            <w:gridSpan w:val="2"/>
            <w:tcBorders>
              <w:top w:val="double" w:sz="4" w:space="0" w:color="C9C9C9" w:themeColor="accent3" w:themeTint="99"/>
            </w:tcBorders>
            <w:noWrap/>
            <w:vAlign w:val="center"/>
            <w:hideMark/>
          </w:tcPr>
          <w:p w:rsidR="00CD68B3" w:rsidRPr="003629E5" w:rsidRDefault="00CD68B3" w:rsidP="0006551A">
            <w:pPr>
              <w:jc w:val="center"/>
              <w:cnfStyle w:val="100000000000" w:firstRow="1" w:lastRow="0" w:firstColumn="0" w:lastColumn="0" w:oddVBand="0" w:evenVBand="0" w:oddHBand="0"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Return Strategy</w:t>
            </w:r>
          </w:p>
        </w:tc>
        <w:tc>
          <w:tcPr>
            <w:tcW w:w="1098" w:type="pct"/>
            <w:gridSpan w:val="2"/>
            <w:tcBorders>
              <w:top w:val="double" w:sz="4" w:space="0" w:color="C9C9C9" w:themeColor="accent3" w:themeTint="99"/>
            </w:tcBorders>
            <w:noWrap/>
            <w:vAlign w:val="center"/>
            <w:hideMark/>
          </w:tcPr>
          <w:p w:rsidR="00CD68B3" w:rsidRPr="003629E5" w:rsidRDefault="00CD68B3" w:rsidP="0006551A">
            <w:pPr>
              <w:jc w:val="center"/>
              <w:cnfStyle w:val="100000000000" w:firstRow="1" w:lastRow="0" w:firstColumn="0" w:lastColumn="0" w:oddVBand="0" w:evenVBand="0" w:oddHBand="0"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Volatility Strategy</w:t>
            </w:r>
          </w:p>
        </w:tc>
        <w:tc>
          <w:tcPr>
            <w:tcW w:w="922" w:type="pct"/>
            <w:gridSpan w:val="2"/>
            <w:tcBorders>
              <w:top w:val="double" w:sz="4" w:space="0" w:color="C9C9C9" w:themeColor="accent3" w:themeTint="99"/>
            </w:tcBorders>
            <w:noWrap/>
            <w:vAlign w:val="center"/>
            <w:hideMark/>
          </w:tcPr>
          <w:p w:rsidR="00CD68B3" w:rsidRPr="003629E5" w:rsidRDefault="00CD68B3" w:rsidP="0006551A">
            <w:pPr>
              <w:jc w:val="center"/>
              <w:cnfStyle w:val="100000000000" w:firstRow="1" w:lastRow="0" w:firstColumn="0" w:lastColumn="0" w:oddVBand="0" w:evenVBand="0" w:oddHBand="0"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VaR Strategy</w:t>
            </w:r>
          </w:p>
        </w:tc>
        <w:tc>
          <w:tcPr>
            <w:tcW w:w="922" w:type="pct"/>
            <w:gridSpan w:val="2"/>
            <w:tcBorders>
              <w:top w:val="double" w:sz="4" w:space="0" w:color="C9C9C9" w:themeColor="accent3" w:themeTint="99"/>
            </w:tcBorders>
            <w:noWrap/>
            <w:vAlign w:val="center"/>
            <w:hideMark/>
          </w:tcPr>
          <w:p w:rsidR="00CD68B3" w:rsidRPr="003629E5" w:rsidRDefault="00CD68B3" w:rsidP="0006551A">
            <w:pPr>
              <w:jc w:val="center"/>
              <w:cnfStyle w:val="100000000000" w:firstRow="1" w:lastRow="0" w:firstColumn="0" w:lastColumn="0" w:oddVBand="0" w:evenVBand="0" w:oddHBand="0"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Equal Weight</w:t>
            </w:r>
          </w:p>
        </w:tc>
      </w:tr>
      <w:tr w:rsidR="00CD68B3" w:rsidRPr="003629E5" w:rsidTr="0006551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073" w:type="pct"/>
            <w:noWrap/>
            <w:vAlign w:val="center"/>
            <w:hideMark/>
          </w:tcPr>
          <w:p w:rsidR="00CD68B3" w:rsidRPr="003629E5" w:rsidRDefault="00CD68B3" w:rsidP="0006551A">
            <w:pPr>
              <w:jc w:val="center"/>
              <w:rPr>
                <w:rFonts w:eastAsia="DengXian"/>
                <w:color w:val="000000"/>
                <w:sz w:val="20"/>
                <w:szCs w:val="20"/>
              </w:rPr>
            </w:pPr>
            <w:r>
              <w:rPr>
                <w:rFonts w:eastAsia="DengXian" w:hint="eastAsia"/>
                <w:color w:val="000000"/>
                <w:sz w:val="20"/>
                <w:szCs w:val="20"/>
              </w:rPr>
              <w:t>(</w:t>
            </w:r>
            <w:r>
              <w:rPr>
                <w:rFonts w:eastAsia="DengXian"/>
                <w:color w:val="000000"/>
                <w:sz w:val="20"/>
                <w:szCs w:val="20"/>
              </w:rPr>
              <w:t>%)</w:t>
            </w:r>
          </w:p>
        </w:tc>
        <w:tc>
          <w:tcPr>
            <w:tcW w:w="523"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mean</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proofErr w:type="spellStart"/>
            <w:r w:rsidRPr="003629E5">
              <w:rPr>
                <w:rFonts w:eastAsia="DengXian"/>
                <w:color w:val="000000"/>
                <w:sz w:val="20"/>
                <w:szCs w:val="20"/>
              </w:rPr>
              <w:t>std</w:t>
            </w:r>
            <w:proofErr w:type="spellEnd"/>
          </w:p>
        </w:tc>
        <w:tc>
          <w:tcPr>
            <w:tcW w:w="637"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mean</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proofErr w:type="spellStart"/>
            <w:r w:rsidRPr="003629E5">
              <w:rPr>
                <w:rFonts w:eastAsia="DengXian"/>
                <w:color w:val="000000"/>
                <w:sz w:val="20"/>
                <w:szCs w:val="20"/>
              </w:rPr>
              <w:t>std</w:t>
            </w:r>
            <w:proofErr w:type="spellEnd"/>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mean</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proofErr w:type="spellStart"/>
            <w:r w:rsidRPr="003629E5">
              <w:rPr>
                <w:rFonts w:eastAsia="DengXian"/>
                <w:color w:val="000000"/>
                <w:sz w:val="20"/>
                <w:szCs w:val="20"/>
              </w:rPr>
              <w:t>std</w:t>
            </w:r>
            <w:proofErr w:type="spellEnd"/>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r w:rsidRPr="003629E5">
              <w:rPr>
                <w:rFonts w:eastAsia="DengXian"/>
                <w:color w:val="000000"/>
                <w:sz w:val="20"/>
                <w:szCs w:val="20"/>
              </w:rPr>
              <w:t>mean</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proofErr w:type="spellStart"/>
            <w:r w:rsidRPr="003629E5">
              <w:rPr>
                <w:rFonts w:eastAsia="DengXian"/>
                <w:color w:val="000000"/>
                <w:sz w:val="20"/>
                <w:szCs w:val="20"/>
              </w:rPr>
              <w:t>std</w:t>
            </w:r>
            <w:proofErr w:type="spellEnd"/>
          </w:p>
        </w:tc>
      </w:tr>
      <w:tr w:rsidR="00CD68B3" w:rsidRPr="003629E5" w:rsidTr="0006551A">
        <w:trPr>
          <w:trHeight w:val="278"/>
          <w:jc w:val="center"/>
        </w:trPr>
        <w:tc>
          <w:tcPr>
            <w:cnfStyle w:val="001000000000" w:firstRow="0" w:lastRow="0" w:firstColumn="1" w:lastColumn="0" w:oddVBand="0" w:evenVBand="0" w:oddHBand="0" w:evenHBand="0" w:firstRowFirstColumn="0" w:firstRowLastColumn="0" w:lastRowFirstColumn="0" w:lastRowLastColumn="0"/>
            <w:tcW w:w="1073" w:type="pct"/>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AR-GARCH</w:t>
            </w:r>
          </w:p>
        </w:tc>
        <w:tc>
          <w:tcPr>
            <w:tcW w:w="523"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rFonts w:eastAsia="DengXian"/>
                <w:color w:val="000000"/>
                <w:sz w:val="20"/>
                <w:szCs w:val="20"/>
              </w:rPr>
            </w:pPr>
            <w:r w:rsidRPr="000A7325">
              <w:rPr>
                <w:rFonts w:eastAsia="DengXian"/>
                <w:color w:val="000000"/>
                <w:sz w:val="20"/>
                <w:szCs w:val="20"/>
              </w:rPr>
              <w:t xml:space="preserve">0.0045 </w:t>
            </w:r>
          </w:p>
        </w:tc>
        <w:tc>
          <w:tcPr>
            <w:tcW w:w="461"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1.1571 </w:t>
            </w:r>
          </w:p>
        </w:tc>
        <w:tc>
          <w:tcPr>
            <w:tcW w:w="637"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0.0247 </w:t>
            </w:r>
          </w:p>
        </w:tc>
        <w:tc>
          <w:tcPr>
            <w:tcW w:w="461"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0.8595 </w:t>
            </w:r>
          </w:p>
        </w:tc>
        <w:tc>
          <w:tcPr>
            <w:tcW w:w="461"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0.0193 </w:t>
            </w:r>
          </w:p>
        </w:tc>
        <w:tc>
          <w:tcPr>
            <w:tcW w:w="461"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0.8780 </w:t>
            </w:r>
          </w:p>
        </w:tc>
        <w:tc>
          <w:tcPr>
            <w:tcW w:w="461" w:type="pct"/>
            <w:noWrap/>
            <w:vAlign w:val="center"/>
            <w:hideMark/>
          </w:tcPr>
          <w:p w:rsidR="00CD68B3" w:rsidRPr="003629E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629E5">
              <w:rPr>
                <w:sz w:val="20"/>
                <w:szCs w:val="20"/>
              </w:rPr>
              <w:t>0.0139</w:t>
            </w:r>
          </w:p>
        </w:tc>
        <w:tc>
          <w:tcPr>
            <w:tcW w:w="461" w:type="pct"/>
            <w:noWrap/>
            <w:vAlign w:val="center"/>
            <w:hideMark/>
          </w:tcPr>
          <w:p w:rsidR="00CD68B3" w:rsidRPr="003629E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629E5">
              <w:rPr>
                <w:sz w:val="20"/>
                <w:szCs w:val="20"/>
              </w:rPr>
              <w:t>0.9089</w:t>
            </w:r>
          </w:p>
        </w:tc>
      </w:tr>
      <w:tr w:rsidR="00CD68B3" w:rsidRPr="003629E5" w:rsidTr="0006551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073" w:type="pct"/>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AR-GJR-GARCH</w:t>
            </w:r>
          </w:p>
        </w:tc>
        <w:tc>
          <w:tcPr>
            <w:tcW w:w="523"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color w:val="000000"/>
                <w:sz w:val="20"/>
                <w:szCs w:val="20"/>
              </w:rPr>
            </w:pPr>
            <w:r w:rsidRPr="000A7325">
              <w:rPr>
                <w:rFonts w:eastAsia="DengXian"/>
                <w:color w:val="000000"/>
                <w:sz w:val="20"/>
                <w:szCs w:val="20"/>
              </w:rPr>
              <w:t xml:space="preserve">0.0089 </w:t>
            </w:r>
          </w:p>
        </w:tc>
        <w:tc>
          <w:tcPr>
            <w:tcW w:w="461"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1.0426 </w:t>
            </w:r>
          </w:p>
        </w:tc>
        <w:tc>
          <w:tcPr>
            <w:tcW w:w="637"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0.0253 </w:t>
            </w:r>
          </w:p>
        </w:tc>
        <w:tc>
          <w:tcPr>
            <w:tcW w:w="461"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0.8602 </w:t>
            </w:r>
          </w:p>
        </w:tc>
        <w:tc>
          <w:tcPr>
            <w:tcW w:w="461"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0.0200 </w:t>
            </w:r>
          </w:p>
        </w:tc>
        <w:tc>
          <w:tcPr>
            <w:tcW w:w="461"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0.8792 </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3629E5">
              <w:rPr>
                <w:sz w:val="20"/>
                <w:szCs w:val="20"/>
              </w:rPr>
              <w:t>0.0139</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3629E5">
              <w:rPr>
                <w:sz w:val="20"/>
                <w:szCs w:val="20"/>
              </w:rPr>
              <w:t>0.9089</w:t>
            </w:r>
          </w:p>
        </w:tc>
      </w:tr>
      <w:tr w:rsidR="00CD68B3" w:rsidRPr="003629E5" w:rsidTr="0006551A">
        <w:trPr>
          <w:trHeight w:val="278"/>
          <w:jc w:val="center"/>
        </w:trPr>
        <w:tc>
          <w:tcPr>
            <w:cnfStyle w:val="001000000000" w:firstRow="0" w:lastRow="0" w:firstColumn="1" w:lastColumn="0" w:oddVBand="0" w:evenVBand="0" w:oddHBand="0" w:evenHBand="0" w:firstRowFirstColumn="0" w:firstRowLastColumn="0" w:lastRowFirstColumn="0" w:lastRowLastColumn="0"/>
            <w:tcW w:w="1073" w:type="pct"/>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IGARCH</w:t>
            </w:r>
          </w:p>
        </w:tc>
        <w:tc>
          <w:tcPr>
            <w:tcW w:w="523"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rFonts w:eastAsia="DengXian"/>
                <w:color w:val="000000"/>
                <w:sz w:val="20"/>
                <w:szCs w:val="20"/>
              </w:rPr>
            </w:pPr>
            <w:r w:rsidRPr="000A7325">
              <w:rPr>
                <w:rFonts w:eastAsia="DengXian"/>
                <w:color w:val="000000"/>
                <w:sz w:val="20"/>
                <w:szCs w:val="20"/>
              </w:rPr>
              <w:t>NAN</w:t>
            </w:r>
          </w:p>
        </w:tc>
        <w:tc>
          <w:tcPr>
            <w:tcW w:w="461"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NAN</w:t>
            </w:r>
          </w:p>
        </w:tc>
        <w:tc>
          <w:tcPr>
            <w:tcW w:w="637"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0.0257 </w:t>
            </w:r>
          </w:p>
        </w:tc>
        <w:tc>
          <w:tcPr>
            <w:tcW w:w="461"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0.8726 </w:t>
            </w:r>
          </w:p>
        </w:tc>
        <w:tc>
          <w:tcPr>
            <w:tcW w:w="461"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0.0181 </w:t>
            </w:r>
          </w:p>
        </w:tc>
        <w:tc>
          <w:tcPr>
            <w:tcW w:w="461" w:type="pct"/>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0.8309 </w:t>
            </w:r>
          </w:p>
        </w:tc>
        <w:tc>
          <w:tcPr>
            <w:tcW w:w="461" w:type="pct"/>
            <w:noWrap/>
            <w:vAlign w:val="center"/>
            <w:hideMark/>
          </w:tcPr>
          <w:p w:rsidR="00CD68B3" w:rsidRPr="003629E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629E5">
              <w:rPr>
                <w:sz w:val="20"/>
                <w:szCs w:val="20"/>
              </w:rPr>
              <w:t>0.0139</w:t>
            </w:r>
          </w:p>
        </w:tc>
        <w:tc>
          <w:tcPr>
            <w:tcW w:w="461" w:type="pct"/>
            <w:noWrap/>
            <w:vAlign w:val="center"/>
            <w:hideMark/>
          </w:tcPr>
          <w:p w:rsidR="00CD68B3" w:rsidRPr="003629E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629E5">
              <w:rPr>
                <w:sz w:val="20"/>
                <w:szCs w:val="20"/>
              </w:rPr>
              <w:t>0.9089</w:t>
            </w:r>
          </w:p>
        </w:tc>
      </w:tr>
      <w:tr w:rsidR="00CD68B3" w:rsidRPr="003629E5" w:rsidTr="0006551A">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073" w:type="pct"/>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HS25</w:t>
            </w:r>
          </w:p>
        </w:tc>
        <w:tc>
          <w:tcPr>
            <w:tcW w:w="523" w:type="pct"/>
            <w:noWrap/>
            <w:vAlign w:val="bottom"/>
            <w:hideMark/>
          </w:tcPr>
          <w:p w:rsidR="00CD68B3" w:rsidRPr="00EE1FE7" w:rsidRDefault="00CD68B3" w:rsidP="0006551A">
            <w:pPr>
              <w:jc w:val="center"/>
              <w:cnfStyle w:val="000000100000" w:firstRow="0" w:lastRow="0" w:firstColumn="0" w:lastColumn="0" w:oddVBand="0" w:evenVBand="0" w:oddHBand="1" w:evenHBand="0" w:firstRowFirstColumn="0" w:firstRowLastColumn="0" w:lastRowFirstColumn="0" w:lastRowLastColumn="0"/>
              <w:rPr>
                <w:rFonts w:eastAsia="DengXian"/>
                <w:b/>
                <w:color w:val="000000"/>
                <w:sz w:val="20"/>
                <w:szCs w:val="20"/>
              </w:rPr>
            </w:pPr>
            <w:r w:rsidRPr="00EE1FE7">
              <w:rPr>
                <w:rFonts w:eastAsia="DengXian"/>
                <w:b/>
                <w:color w:val="000000"/>
                <w:sz w:val="20"/>
                <w:szCs w:val="20"/>
              </w:rPr>
              <w:t xml:space="preserve">-0.1373 </w:t>
            </w:r>
          </w:p>
        </w:tc>
        <w:tc>
          <w:tcPr>
            <w:tcW w:w="461"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5.6555 </w:t>
            </w:r>
          </w:p>
        </w:tc>
        <w:tc>
          <w:tcPr>
            <w:tcW w:w="637"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0.0208 </w:t>
            </w:r>
          </w:p>
        </w:tc>
        <w:tc>
          <w:tcPr>
            <w:tcW w:w="461"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0.8615 </w:t>
            </w:r>
          </w:p>
        </w:tc>
        <w:tc>
          <w:tcPr>
            <w:tcW w:w="461"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0.0219 </w:t>
            </w:r>
          </w:p>
        </w:tc>
        <w:tc>
          <w:tcPr>
            <w:tcW w:w="461" w:type="pct"/>
            <w:noWrap/>
            <w:vAlign w:val="bottom"/>
            <w:hideMark/>
          </w:tcPr>
          <w:p w:rsidR="00CD68B3" w:rsidRPr="000A732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0A7325">
              <w:rPr>
                <w:rFonts w:eastAsia="DengXian"/>
                <w:color w:val="000000"/>
                <w:sz w:val="20"/>
                <w:szCs w:val="20"/>
              </w:rPr>
              <w:t xml:space="preserve">0.8407 </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3629E5">
              <w:rPr>
                <w:sz w:val="20"/>
                <w:szCs w:val="20"/>
              </w:rPr>
              <w:t>0.0139</w:t>
            </w:r>
          </w:p>
        </w:tc>
        <w:tc>
          <w:tcPr>
            <w:tcW w:w="461" w:type="pct"/>
            <w:noWrap/>
            <w:vAlign w:val="center"/>
            <w:hideMark/>
          </w:tcPr>
          <w:p w:rsidR="00CD68B3" w:rsidRPr="003629E5" w:rsidRDefault="00CD68B3" w:rsidP="0006551A">
            <w:pPr>
              <w:jc w:val="center"/>
              <w:cnfStyle w:val="000000100000" w:firstRow="0" w:lastRow="0" w:firstColumn="0" w:lastColumn="0" w:oddVBand="0" w:evenVBand="0" w:oddHBand="1" w:evenHBand="0" w:firstRowFirstColumn="0" w:firstRowLastColumn="0" w:lastRowFirstColumn="0" w:lastRowLastColumn="0"/>
              <w:rPr>
                <w:sz w:val="20"/>
                <w:szCs w:val="20"/>
              </w:rPr>
            </w:pPr>
            <w:r w:rsidRPr="003629E5">
              <w:rPr>
                <w:sz w:val="20"/>
                <w:szCs w:val="20"/>
              </w:rPr>
              <w:t>0.9089</w:t>
            </w:r>
          </w:p>
        </w:tc>
      </w:tr>
      <w:tr w:rsidR="00CD68B3" w:rsidRPr="003629E5" w:rsidTr="0006551A">
        <w:trPr>
          <w:trHeight w:val="278"/>
          <w:jc w:val="center"/>
        </w:trPr>
        <w:tc>
          <w:tcPr>
            <w:cnfStyle w:val="001000000000" w:firstRow="0" w:lastRow="0" w:firstColumn="1" w:lastColumn="0" w:oddVBand="0" w:evenVBand="0" w:oddHBand="0" w:evenHBand="0" w:firstRowFirstColumn="0" w:firstRowLastColumn="0" w:lastRowFirstColumn="0" w:lastRowLastColumn="0"/>
            <w:tcW w:w="1073" w:type="pct"/>
            <w:tcBorders>
              <w:bottom w:val="double" w:sz="4" w:space="0" w:color="C9C9C9" w:themeColor="accent3" w:themeTint="99"/>
            </w:tcBorders>
            <w:noWrap/>
            <w:vAlign w:val="center"/>
            <w:hideMark/>
          </w:tcPr>
          <w:p w:rsidR="00CD68B3" w:rsidRPr="003629E5" w:rsidRDefault="00CD68B3" w:rsidP="0006551A">
            <w:pPr>
              <w:jc w:val="center"/>
              <w:rPr>
                <w:rFonts w:eastAsia="DengXian"/>
                <w:color w:val="000000"/>
                <w:sz w:val="20"/>
                <w:szCs w:val="20"/>
              </w:rPr>
            </w:pPr>
            <w:r w:rsidRPr="003629E5">
              <w:rPr>
                <w:rFonts w:eastAsia="DengXian"/>
                <w:color w:val="000000"/>
                <w:sz w:val="20"/>
                <w:szCs w:val="20"/>
              </w:rPr>
              <w:t>HS5</w:t>
            </w:r>
          </w:p>
        </w:tc>
        <w:tc>
          <w:tcPr>
            <w:tcW w:w="523" w:type="pct"/>
            <w:tcBorders>
              <w:bottom w:val="double" w:sz="4" w:space="0" w:color="C9C9C9" w:themeColor="accent3" w:themeTint="99"/>
            </w:tcBorders>
            <w:noWrap/>
            <w:vAlign w:val="bottom"/>
            <w:hideMark/>
          </w:tcPr>
          <w:p w:rsidR="00CD68B3" w:rsidRPr="00EE1FE7" w:rsidRDefault="00CD68B3" w:rsidP="0006551A">
            <w:pPr>
              <w:jc w:val="center"/>
              <w:cnfStyle w:val="000000000000" w:firstRow="0" w:lastRow="0" w:firstColumn="0" w:lastColumn="0" w:oddVBand="0" w:evenVBand="0" w:oddHBand="0" w:evenHBand="0" w:firstRowFirstColumn="0" w:firstRowLastColumn="0" w:lastRowFirstColumn="0" w:lastRowLastColumn="0"/>
              <w:rPr>
                <w:rFonts w:eastAsia="DengXian"/>
                <w:b/>
                <w:color w:val="000000"/>
                <w:sz w:val="20"/>
                <w:szCs w:val="20"/>
              </w:rPr>
            </w:pPr>
            <w:r w:rsidRPr="00EE1FE7">
              <w:rPr>
                <w:rFonts w:eastAsia="DengXian"/>
                <w:b/>
                <w:color w:val="000000"/>
                <w:sz w:val="20"/>
                <w:szCs w:val="20"/>
              </w:rPr>
              <w:t xml:space="preserve">0.2025 </w:t>
            </w:r>
          </w:p>
        </w:tc>
        <w:tc>
          <w:tcPr>
            <w:tcW w:w="461" w:type="pct"/>
            <w:tcBorders>
              <w:bottom w:val="double" w:sz="4" w:space="0" w:color="C9C9C9" w:themeColor="accent3" w:themeTint="99"/>
            </w:tcBorders>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3.1194 </w:t>
            </w:r>
          </w:p>
        </w:tc>
        <w:tc>
          <w:tcPr>
            <w:tcW w:w="637" w:type="pct"/>
            <w:tcBorders>
              <w:bottom w:val="double" w:sz="4" w:space="0" w:color="C9C9C9" w:themeColor="accent3" w:themeTint="99"/>
            </w:tcBorders>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0.0276 </w:t>
            </w:r>
          </w:p>
        </w:tc>
        <w:tc>
          <w:tcPr>
            <w:tcW w:w="461" w:type="pct"/>
            <w:tcBorders>
              <w:bottom w:val="double" w:sz="4" w:space="0" w:color="C9C9C9" w:themeColor="accent3" w:themeTint="99"/>
            </w:tcBorders>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0.8076 </w:t>
            </w:r>
          </w:p>
        </w:tc>
        <w:tc>
          <w:tcPr>
            <w:tcW w:w="461" w:type="pct"/>
            <w:tcBorders>
              <w:bottom w:val="double" w:sz="4" w:space="0" w:color="C9C9C9" w:themeColor="accent3" w:themeTint="99"/>
            </w:tcBorders>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0.0089 </w:t>
            </w:r>
          </w:p>
        </w:tc>
        <w:tc>
          <w:tcPr>
            <w:tcW w:w="461" w:type="pct"/>
            <w:tcBorders>
              <w:bottom w:val="double" w:sz="4" w:space="0" w:color="C9C9C9" w:themeColor="accent3" w:themeTint="99"/>
            </w:tcBorders>
            <w:noWrap/>
            <w:vAlign w:val="bottom"/>
            <w:hideMark/>
          </w:tcPr>
          <w:p w:rsidR="00CD68B3" w:rsidRPr="000A732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0A7325">
              <w:rPr>
                <w:rFonts w:eastAsia="DengXian"/>
                <w:color w:val="000000"/>
                <w:sz w:val="20"/>
                <w:szCs w:val="20"/>
              </w:rPr>
              <w:t xml:space="preserve">1.0379 </w:t>
            </w:r>
          </w:p>
        </w:tc>
        <w:tc>
          <w:tcPr>
            <w:tcW w:w="461" w:type="pct"/>
            <w:tcBorders>
              <w:bottom w:val="double" w:sz="4" w:space="0" w:color="C9C9C9" w:themeColor="accent3" w:themeTint="99"/>
            </w:tcBorders>
            <w:noWrap/>
            <w:vAlign w:val="center"/>
            <w:hideMark/>
          </w:tcPr>
          <w:p w:rsidR="00CD68B3" w:rsidRPr="003629E5" w:rsidRDefault="00CD68B3" w:rsidP="0006551A">
            <w:pPr>
              <w:jc w:val="center"/>
              <w:cnfStyle w:val="000000000000" w:firstRow="0" w:lastRow="0" w:firstColumn="0" w:lastColumn="0" w:oddVBand="0" w:evenVBand="0" w:oddHBand="0" w:evenHBand="0" w:firstRowFirstColumn="0" w:firstRowLastColumn="0" w:lastRowFirstColumn="0" w:lastRowLastColumn="0"/>
              <w:rPr>
                <w:sz w:val="20"/>
                <w:szCs w:val="20"/>
              </w:rPr>
            </w:pPr>
            <w:r w:rsidRPr="003629E5">
              <w:rPr>
                <w:sz w:val="20"/>
                <w:szCs w:val="20"/>
              </w:rPr>
              <w:t>0.0139</w:t>
            </w:r>
          </w:p>
        </w:tc>
        <w:tc>
          <w:tcPr>
            <w:tcW w:w="461" w:type="pct"/>
            <w:tcBorders>
              <w:bottom w:val="double" w:sz="4" w:space="0" w:color="C9C9C9" w:themeColor="accent3" w:themeTint="99"/>
            </w:tcBorders>
            <w:noWrap/>
            <w:vAlign w:val="center"/>
            <w:hideMark/>
          </w:tcPr>
          <w:p w:rsidR="00CD68B3" w:rsidRPr="003629E5" w:rsidRDefault="00CD68B3" w:rsidP="0006551A">
            <w:pPr>
              <w:keepNext/>
              <w:jc w:val="center"/>
              <w:cnfStyle w:val="000000000000" w:firstRow="0" w:lastRow="0" w:firstColumn="0" w:lastColumn="0" w:oddVBand="0" w:evenVBand="0" w:oddHBand="0" w:evenHBand="0" w:firstRowFirstColumn="0" w:firstRowLastColumn="0" w:lastRowFirstColumn="0" w:lastRowLastColumn="0"/>
              <w:rPr>
                <w:sz w:val="20"/>
                <w:szCs w:val="20"/>
              </w:rPr>
            </w:pPr>
            <w:r w:rsidRPr="003629E5">
              <w:rPr>
                <w:sz w:val="20"/>
                <w:szCs w:val="20"/>
              </w:rPr>
              <w:t>0.9089</w:t>
            </w:r>
          </w:p>
        </w:tc>
      </w:tr>
    </w:tbl>
    <w:p w:rsidR="00CD68B3" w:rsidRDefault="00CD68B3" w:rsidP="00CD68B3">
      <w:pPr>
        <w:pStyle w:val="ac"/>
        <w:jc w:val="center"/>
      </w:pPr>
      <w:bookmarkStart w:id="4" w:name="_Ref515877541"/>
      <w:r>
        <w:t xml:space="preserve">Table </w:t>
      </w:r>
      <w:r>
        <w:fldChar w:fldCharType="begin"/>
      </w:r>
      <w:r>
        <w:instrText xml:space="preserve"> SEQ Table \* ARABIC </w:instrText>
      </w:r>
      <w:r>
        <w:fldChar w:fldCharType="separate"/>
      </w:r>
      <w:r>
        <w:rPr>
          <w:noProof/>
        </w:rPr>
        <w:t>4</w:t>
      </w:r>
      <w:r>
        <w:fldChar w:fldCharType="end"/>
      </w:r>
      <w:bookmarkEnd w:id="4"/>
      <w:r>
        <w:t xml:space="preserve"> Portfolio performance with 10-period dynamic adjustment</w:t>
      </w:r>
    </w:p>
    <w:p w:rsidR="00CD68B3" w:rsidRPr="00227F27" w:rsidRDefault="00CD68B3" w:rsidP="00CD68B3"/>
    <w:p w:rsidR="00CD68B3" w:rsidRDefault="00CD68B3" w:rsidP="00CD68B3">
      <w:r>
        <w:rPr>
          <w:rFonts w:hint="eastAsia"/>
        </w:rPr>
        <w:t>R</w:t>
      </w:r>
      <w:r>
        <w:t xml:space="preserve">e-allocating portfolio weights by return method every ten periods yields the highest return 0.2025% under HS5 and then lowest return -0.1373% under HS25. However, unlike 1-day dynamic adjustment, for AR-GARCH and AR-GJR-GARCH, using return strategy generates lower returns than using other strategies. By implementing volatility strategy, HS5 is the one that generates the highest return 0.0276%, followed by IGARCH (0.0257%), AR-GJR-GARCH(0.0253%) and AR-GARCH (0.0247%), while the HS25 has the lowest return 0.0208%. As for VaR strategy, portfolio with weights assigned by HS25 forecasts has the highest return 0.0219%. AR-GJR-GARCH and AR-GARCH having 0.02% and 0.0193% returns respectively rank in the second and third place. The lowest return is yielded by HS5 this time. </w:t>
      </w:r>
    </w:p>
    <w:p w:rsidR="00CD68B3" w:rsidRPr="00EE1FE7" w:rsidRDefault="00CD68B3" w:rsidP="00CD68B3"/>
    <w:p w:rsidR="00CD68B3" w:rsidRDefault="00CD68B3" w:rsidP="00CD68B3">
      <w:r>
        <w:rPr>
          <w:rFonts w:hint="eastAsia"/>
        </w:rPr>
        <w:t>A</w:t>
      </w:r>
      <w:r>
        <w:t xml:space="preserve">s discussed in one-day adjustment, in 10-day adjustment, return strategy again has higher risk than other strategies and portfolio based on HS25 has the overall largest standard deviation (5.6555%) under return method. In volatility and VaR strategies, portfolios allocated every ten days according to HS5 and IGARCH has the lowest standard deviation 0.8076% and 0.8309% respectively. </w:t>
      </w:r>
    </w:p>
    <w:p w:rsidR="00CD68B3" w:rsidRDefault="00CD68B3" w:rsidP="00CD68B3"/>
    <w:p w:rsidR="00CD68B3" w:rsidRDefault="00CD68B3" w:rsidP="00CD68B3">
      <w:r>
        <w:rPr>
          <w:rFonts w:hint="eastAsia"/>
        </w:rPr>
        <w:t>T</w:t>
      </w:r>
      <w:r>
        <w:t>he portfolio performance of equal weighting strategy is beaten by volatility and VaR strategies. However, the return strategy is not as good as equal weighting when re-allocating portfolios every ten period since return-strategy-weighted portfolios have lower return and higher risk than equal weighting. Although return-strategy-weighted portfolio under HS5 has return which is much higher than equal weighting portfolio, it is too risky to be held.</w:t>
      </w:r>
    </w:p>
    <w:p w:rsidR="00CD68B3" w:rsidRDefault="00CD68B3" w:rsidP="00CD68B3"/>
    <w:p w:rsidR="00CD68B3" w:rsidRDefault="00CD68B3" w:rsidP="00CD68B3">
      <w:pPr>
        <w:pStyle w:val="a9"/>
        <w:widowControl w:val="0"/>
        <w:numPr>
          <w:ilvl w:val="0"/>
          <w:numId w:val="6"/>
        </w:numPr>
        <w:contextualSpacing w:val="0"/>
        <w:jc w:val="both"/>
      </w:pPr>
      <w:r>
        <w:rPr>
          <w:rFonts w:hint="eastAsia"/>
        </w:rPr>
        <w:t>C</w:t>
      </w:r>
      <w:r>
        <w:t>omparison between different rebalancing frequency and weighting strategy</w:t>
      </w:r>
    </w:p>
    <w:p w:rsidR="00CD68B3" w:rsidRDefault="00CD68B3" w:rsidP="00CD68B3">
      <w:pPr>
        <w:pStyle w:val="a9"/>
        <w:ind w:left="420"/>
      </w:pPr>
      <w:r>
        <w:rPr>
          <w:rFonts w:hint="eastAsia"/>
        </w:rPr>
        <w:t>A</w:t>
      </w:r>
      <w:r>
        <w:t xml:space="preserve">s shown in </w:t>
      </w:r>
      <w:r>
        <w:fldChar w:fldCharType="begin"/>
      </w:r>
      <w:r>
        <w:instrText xml:space="preserve"> REF _Ref515877537 \h </w:instrText>
      </w:r>
      <w:r>
        <w:fldChar w:fldCharType="separate"/>
      </w:r>
      <w:r>
        <w:t xml:space="preserve">Table </w:t>
      </w:r>
      <w:r>
        <w:rPr>
          <w:noProof/>
        </w:rPr>
        <w:t>3</w:t>
      </w:r>
      <w:r>
        <w:fldChar w:fldCharType="end"/>
      </w:r>
      <w:r>
        <w:t xml:space="preserve"> and </w:t>
      </w:r>
      <w:r>
        <w:fldChar w:fldCharType="begin"/>
      </w:r>
      <w:r>
        <w:instrText xml:space="preserve"> REF _Ref515877541 \h </w:instrText>
      </w:r>
      <w:r>
        <w:fldChar w:fldCharType="separate"/>
      </w:r>
      <w:r>
        <w:t xml:space="preserve">Table </w:t>
      </w:r>
      <w:r>
        <w:rPr>
          <w:noProof/>
        </w:rPr>
        <w:t>4</w:t>
      </w:r>
      <w:r>
        <w:fldChar w:fldCharType="end"/>
      </w:r>
      <w:r>
        <w:t xml:space="preserve">, one-period dynamic adjustment does not result in a great difference with ten-period dynamic adjustment. For different adjustment frequencies, return strategy generates relatively extreme values in both return and standard deviation. Volatility and VaR strategies which use risk measurements as weighting criteria have similar results: returns are all around 0.02% to 0.03% and standard deviations are all around 0.85% to 1%. Return-strategy-weighted portfolio using HS5 forecasts even has higher risk with daily adjustment. By combining analysis of portfolio performance and adjustment costs, 10-period dynamic adjustment is preferred in our case. </w:t>
      </w:r>
    </w:p>
    <w:p w:rsidR="00CD68B3" w:rsidRDefault="00CD68B3" w:rsidP="00CD68B3">
      <w:pPr>
        <w:pStyle w:val="a9"/>
        <w:ind w:left="420"/>
      </w:pPr>
    </w:p>
    <w:p w:rsidR="00CD68B3" w:rsidRDefault="00CD68B3" w:rsidP="00CD68B3">
      <w:pPr>
        <w:pStyle w:val="a9"/>
        <w:ind w:left="420"/>
      </w:pPr>
      <w:r>
        <w:rPr>
          <w:rFonts w:hint="eastAsia"/>
        </w:rPr>
        <w:t>A</w:t>
      </w:r>
      <w:r>
        <w:t>s for strategy selection, returns, standard deviation and shortcomings of strategies are considered as criteria. Obviously, the return strategy generating returns with high uncertainty is not preferred since majority of investors are risk-averse and they usually use portfolios to diversify risks. As discussed above, both volatility and VaR strategies yield relatively low return accompanied by low risk. However, volatility method is still considered better than VaR method for two reasons. First of all, volatility method generally generates higher returns than VaR method while having roughly the same or even lower standard deviations. In addition, there is a very small but positive probability for VaR strategy having 0 in the denominator of its weighting formula, but this is not true for volatility strategy because the existence of systematic risk makes it impossible to diversify all risks out by combining individual stocks. Therefore, volatility strategy is the optimal choice.</w:t>
      </w:r>
    </w:p>
    <w:p w:rsidR="00CD68B3" w:rsidRDefault="00CD68B3" w:rsidP="00CD68B3">
      <w:pPr>
        <w:pStyle w:val="a9"/>
        <w:ind w:left="420"/>
      </w:pPr>
    </w:p>
    <w:p w:rsidR="00CD68B3" w:rsidRPr="004A5A17" w:rsidRDefault="00CD68B3" w:rsidP="00CD68B3">
      <w:pPr>
        <w:pStyle w:val="a9"/>
        <w:ind w:left="420"/>
      </w:pPr>
      <w:r>
        <w:rPr>
          <w:rFonts w:hint="eastAsia"/>
        </w:rPr>
        <w:t>I</w:t>
      </w:r>
      <w:r>
        <w:t>n conclusion, we suggest to use volatility method to assign weights to MSFT, JNJ, KO, PTR and MMM stocks with 10-day adjustment frequency when doing portfolio construction.</w:t>
      </w:r>
    </w:p>
    <w:p w:rsidR="00CD68B3" w:rsidRPr="00CD68B3" w:rsidRDefault="00CD68B3" w:rsidP="00CD68B3"/>
    <w:p w:rsidR="00FC35B9" w:rsidRDefault="00FC35B9" w:rsidP="00FC35B9">
      <w:pPr>
        <w:pStyle w:val="1"/>
        <w:numPr>
          <w:ilvl w:val="0"/>
          <w:numId w:val="1"/>
        </w:numPr>
        <w:rPr>
          <w:lang w:val="en-US"/>
        </w:rPr>
      </w:pPr>
      <w:r>
        <w:rPr>
          <w:lang w:val="en-US"/>
        </w:rPr>
        <w:t>Conclusions</w:t>
      </w:r>
    </w:p>
    <w:p w:rsidR="00CD68B3" w:rsidRDefault="00CD68B3" w:rsidP="008B1CD9">
      <w:r>
        <w:t>Overall, the AR-GARCH models outperform the AR-GJR-GARCH model in capturing the mean and volatility processes in the five assets. In terms of the forecast accuracy for return, two non-parametric methods, HS-25 and HS-5, generally perform better than parametric methods in short-term forecast while parametric methods perform better during multi period return estimations. We conclude that HS methods should be employed for short-term return forecast and parametric methods is suitable for forecast long-term return. Hence, it is meaningful in doing multi-period-ahead return forecast. As for the forecast accuracy for volatility, HS-25 outperforms in one-step ahead volatility forecast, closely followed by IGARCH models, and AR-GARCH type models rank at the middle with HS-5 ranking at the bottom. Thus, HS-25 and IGARCH are more accurate and easy forecast methods for near-future volatility forecast. While for multi-step-ahead volatility forecast, it is difficult to compare which model performs better with GJR-GARCH model ranks at the lowest part and HS methods rank at the top most of the time. Since volatility varies a lot day by day, we conclude that it is not suitable for forecasting long-run volatility by using models selected in this report because their capability in volatility forecasting horizon are all quite short.</w:t>
      </w:r>
    </w:p>
    <w:p w:rsidR="00353F9E" w:rsidRDefault="00353F9E" w:rsidP="008B1CD9"/>
    <w:p w:rsidR="00353F9E" w:rsidRDefault="00353F9E" w:rsidP="00353F9E">
      <w:pPr>
        <w:rPr>
          <w:lang w:val="en-SG"/>
        </w:rPr>
      </w:pPr>
      <w:r>
        <w:rPr>
          <w:lang w:val="en-SG"/>
        </w:rPr>
        <w:t>From the forecast and accuracy assessment, we can draw our conclusion regarding forecast accuracy from four parts, one step ahead return forecast, multi-step returns ahead forecast, one step ahead volatility forecast and multi-step ahead volatility forecast.</w:t>
      </w:r>
    </w:p>
    <w:p w:rsidR="00353F9E" w:rsidRPr="00A76C55" w:rsidRDefault="00353F9E" w:rsidP="00353F9E">
      <w:pPr>
        <w:pStyle w:val="a9"/>
        <w:numPr>
          <w:ilvl w:val="0"/>
          <w:numId w:val="4"/>
        </w:numPr>
        <w:spacing w:after="160" w:line="259" w:lineRule="auto"/>
        <w:rPr>
          <w:lang w:val="en-SG"/>
        </w:rPr>
      </w:pPr>
      <w:r w:rsidRPr="00A76C55">
        <w:rPr>
          <w:u w:val="single"/>
          <w:lang w:val="en-SG"/>
        </w:rPr>
        <w:t>One Step Ahead Return Forecast</w:t>
      </w:r>
      <w:r w:rsidRPr="00A76C55">
        <w:rPr>
          <w:lang w:val="en-SG"/>
        </w:rPr>
        <w:t xml:space="preserve">: </w:t>
      </w:r>
      <w:r>
        <w:rPr>
          <w:lang w:val="en-SG"/>
        </w:rPr>
        <w:t>s</w:t>
      </w:r>
      <w:r w:rsidRPr="00A76C55">
        <w:rPr>
          <w:lang w:val="en-SG"/>
        </w:rPr>
        <w:t>ince nonparametric methods, including HS-25 and HS-5, generally perform better than parametric methods in short-term forecast and it’s easier to handle historical moving average, we should employ HS methods during short term return forecast.</w:t>
      </w:r>
    </w:p>
    <w:p w:rsidR="00353F9E" w:rsidRPr="009D69E3" w:rsidRDefault="00353F9E" w:rsidP="00353F9E">
      <w:pPr>
        <w:pStyle w:val="a9"/>
        <w:numPr>
          <w:ilvl w:val="0"/>
          <w:numId w:val="4"/>
        </w:numPr>
        <w:spacing w:after="160" w:line="259" w:lineRule="auto"/>
        <w:rPr>
          <w:lang w:val="en-SG"/>
        </w:rPr>
      </w:pPr>
      <w:r>
        <w:rPr>
          <w:u w:val="single"/>
          <w:lang w:val="en-SG"/>
        </w:rPr>
        <w:t>M</w:t>
      </w:r>
      <w:r w:rsidRPr="00A76C55">
        <w:rPr>
          <w:u w:val="single"/>
          <w:lang w:val="en-SG"/>
        </w:rPr>
        <w:t>ulti-Step Return Ahead Forecast</w:t>
      </w:r>
      <w:r>
        <w:rPr>
          <w:lang w:val="en-SG"/>
        </w:rPr>
        <w:t>: p</w:t>
      </w:r>
      <w:r w:rsidRPr="00A76C55">
        <w:rPr>
          <w:lang w:val="en-SG"/>
        </w:rPr>
        <w:t xml:space="preserve">arametric methods perform better during multi period return estimations. And the RMSE and MAD in multi-period ahead forecast just slightly higher than one-step ahead forecast. Thus, it is meaningful in doing multi-period ahead return forecast and parametric methods is suitable for forecast long-term return. </w:t>
      </w:r>
    </w:p>
    <w:p w:rsidR="00353F9E" w:rsidRPr="009D69E3" w:rsidRDefault="00353F9E" w:rsidP="00353F9E">
      <w:pPr>
        <w:pStyle w:val="a9"/>
        <w:numPr>
          <w:ilvl w:val="0"/>
          <w:numId w:val="4"/>
        </w:numPr>
        <w:spacing w:after="160" w:line="259" w:lineRule="auto"/>
        <w:rPr>
          <w:lang w:val="en-SG"/>
        </w:rPr>
      </w:pPr>
      <w:r w:rsidRPr="009D69E3">
        <w:rPr>
          <w:u w:val="single"/>
          <w:lang w:val="en-SG"/>
        </w:rPr>
        <w:t>One Step Ahead Volatility Forecast</w:t>
      </w:r>
      <w:r>
        <w:rPr>
          <w:lang w:val="en-SG"/>
        </w:rPr>
        <w:t xml:space="preserve">: </w:t>
      </w:r>
      <w:r w:rsidRPr="00A76C55">
        <w:rPr>
          <w:lang w:val="en-SG"/>
        </w:rPr>
        <w:t>HS-25 outperforms in one-step ahead volatility forecast, well followed by IGARCH models, and AR-GARCH type models rank at the middle, however, HS-5 ranks at the bottom. Thus, HS-25 and IGARCH are more accurate and easy forecast methods for near-future volatility forecast.</w:t>
      </w:r>
    </w:p>
    <w:p w:rsidR="00353F9E" w:rsidRPr="00A76C55" w:rsidRDefault="00353F9E" w:rsidP="00353F9E">
      <w:pPr>
        <w:pStyle w:val="a9"/>
        <w:numPr>
          <w:ilvl w:val="0"/>
          <w:numId w:val="4"/>
        </w:numPr>
        <w:spacing w:after="160" w:line="259" w:lineRule="auto"/>
        <w:rPr>
          <w:lang w:val="en-SG"/>
        </w:rPr>
      </w:pPr>
      <w:r w:rsidRPr="009D69E3">
        <w:rPr>
          <w:u w:val="single"/>
          <w:lang w:val="en-SG"/>
        </w:rPr>
        <w:t>Multi-Step Ahead Volatility Forecast</w:t>
      </w:r>
      <w:r>
        <w:rPr>
          <w:lang w:val="en-SG"/>
        </w:rPr>
        <w:t xml:space="preserve">: </w:t>
      </w:r>
      <w:r w:rsidRPr="00A76C55">
        <w:rPr>
          <w:lang w:val="en-SG"/>
        </w:rPr>
        <w:t>Results scatter quite large, with GJR-GARCH model ranks at the lowest part and HS methods rank at the top most of the time. And RMSE and MAD in multi-period ahead volatility forecast is significantly higher than those in one-period ahead forecast. Since volatility varies a lot day by day, it is not suitable for forecasting long-run volatility by using models selected in this report because their capability in volatility forecasting horizon are all quite short.</w:t>
      </w:r>
    </w:p>
    <w:p w:rsidR="00CD68B3" w:rsidRDefault="00CD68B3" w:rsidP="008B1CD9">
      <w:pPr>
        <w:rPr>
          <w:lang w:val="en-US"/>
        </w:rPr>
      </w:pPr>
    </w:p>
    <w:p w:rsidR="008B1CD9" w:rsidRDefault="008B1CD9" w:rsidP="008B1CD9">
      <w:pPr>
        <w:rPr>
          <w:lang w:val="en-US"/>
        </w:rPr>
      </w:pPr>
      <w:r>
        <w:rPr>
          <w:lang w:val="en-US"/>
        </w:rPr>
        <w:t>From the performance of forecasting VaR, the advanced quantitative GARCH models did a good job in terms of forecasting accuracy, GARCH type models yield much smaller number of forecasts that are proved to be violated. Regarding to the ability to track dynamic risks and be able to generate closer forecasts to true VaR, GARCH type models outperformed the HS models when forecasting one-step ahead VaR, however, it disappointed us when forecasting 10-step ahead as it was underperformed by HS 25 model.</w:t>
      </w:r>
    </w:p>
    <w:p w:rsidR="00353F9E" w:rsidRPr="008B1CD9" w:rsidRDefault="00353F9E" w:rsidP="008B1CD9">
      <w:pPr>
        <w:rPr>
          <w:lang w:val="en-US"/>
        </w:rPr>
      </w:pPr>
    </w:p>
    <w:p w:rsidR="00FC35B9" w:rsidRDefault="00FC35B9" w:rsidP="00FC35B9">
      <w:pPr>
        <w:pStyle w:val="1"/>
        <w:numPr>
          <w:ilvl w:val="0"/>
          <w:numId w:val="1"/>
        </w:numPr>
        <w:rPr>
          <w:lang w:val="en-US"/>
        </w:rPr>
      </w:pPr>
      <w:r w:rsidRPr="00FC35B9">
        <w:rPr>
          <w:lang w:val="en-US"/>
        </w:rPr>
        <w:t>Reference</w:t>
      </w:r>
      <w:r>
        <w:rPr>
          <w:lang w:val="en-US"/>
        </w:rPr>
        <w:t>s</w:t>
      </w:r>
    </w:p>
    <w:p w:rsidR="00CD3C36" w:rsidRPr="00FC35B9" w:rsidRDefault="00365EC5" w:rsidP="00CD3C36">
      <w:pPr>
        <w:rPr>
          <w:lang w:val="en-US"/>
        </w:rPr>
      </w:pPr>
      <w:proofErr w:type="spellStart"/>
      <w:r w:rsidRPr="00365EC5">
        <w:rPr>
          <w:rFonts w:asciiTheme="minorHAnsi" w:eastAsiaTheme="minorEastAsia" w:hAnsiTheme="minorHAnsi" w:cstheme="minorBidi"/>
          <w:lang w:val="en-US"/>
        </w:rPr>
        <w:t>Tsay</w:t>
      </w:r>
      <w:proofErr w:type="spellEnd"/>
      <w:r w:rsidRPr="00365EC5">
        <w:rPr>
          <w:rFonts w:asciiTheme="minorHAnsi" w:eastAsiaTheme="minorEastAsia" w:hAnsiTheme="minorHAnsi" w:cstheme="minorBidi"/>
          <w:lang w:val="en-US"/>
        </w:rPr>
        <w:t>, R</w:t>
      </w:r>
      <w:r>
        <w:rPr>
          <w:lang w:val="en-US"/>
        </w:rPr>
        <w:t>., (2010).</w:t>
      </w:r>
      <w:r w:rsidRPr="00365EC5">
        <w:rPr>
          <w:rFonts w:asciiTheme="minorHAnsi" w:eastAsiaTheme="minorEastAsia" w:hAnsiTheme="minorHAnsi" w:cstheme="minorBidi"/>
          <w:lang w:val="en-US"/>
        </w:rPr>
        <w:t xml:space="preserve"> An</w:t>
      </w:r>
      <w:r>
        <w:rPr>
          <w:lang w:val="en-US"/>
        </w:rPr>
        <w:t>alysis of Financial Time Series</w:t>
      </w:r>
      <w:r w:rsidR="00CD3C36">
        <w:rPr>
          <w:lang w:val="en-US"/>
        </w:rPr>
        <w:t xml:space="preserve"> (3rd ed.)</w:t>
      </w:r>
      <w:r>
        <w:rPr>
          <w:lang w:val="en-US"/>
        </w:rPr>
        <w:t>. New York, NY:</w:t>
      </w:r>
      <w:r w:rsidRPr="00365EC5">
        <w:rPr>
          <w:rFonts w:asciiTheme="minorHAnsi" w:eastAsiaTheme="minorEastAsia" w:hAnsiTheme="minorHAnsi" w:cstheme="minorBidi"/>
          <w:lang w:val="en-US"/>
        </w:rPr>
        <w:t xml:space="preserve"> Wiley</w:t>
      </w:r>
      <w:r w:rsidR="00CD3C36">
        <w:rPr>
          <w:lang w:val="en-US"/>
        </w:rPr>
        <w:t>.</w:t>
      </w:r>
    </w:p>
    <w:p w:rsidR="00FC35B9" w:rsidRPr="00FC35B9" w:rsidRDefault="00FC35B9" w:rsidP="00CD68B3">
      <w:pPr>
        <w:pStyle w:val="1"/>
        <w:rPr>
          <w:lang w:val="en-US"/>
        </w:rPr>
      </w:pPr>
    </w:p>
    <w:sectPr w:rsidR="00FC35B9" w:rsidRPr="00FC35B9" w:rsidSect="00353351">
      <w:headerReference w:type="default" r:id="rId46"/>
      <w:footerReference w:type="even" r:id="rId47"/>
      <w:footerReference w:type="default" r:id="rId48"/>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50C2" w:rsidRDefault="006050C2" w:rsidP="00353351">
      <w:r>
        <w:separator/>
      </w:r>
    </w:p>
  </w:endnote>
  <w:endnote w:type="continuationSeparator" w:id="0">
    <w:p w:rsidR="006050C2" w:rsidRDefault="006050C2" w:rsidP="003533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5"/>
      </w:rPr>
      <w:id w:val="-177195350"/>
      <w:docPartObj>
        <w:docPartGallery w:val="Page Numbers (Bottom of Page)"/>
        <w:docPartUnique/>
      </w:docPartObj>
    </w:sdtPr>
    <w:sdtEndPr>
      <w:rPr>
        <w:rStyle w:val="a5"/>
      </w:rPr>
    </w:sdtEndPr>
    <w:sdtContent>
      <w:p w:rsidR="00F8021F" w:rsidRDefault="00F8021F" w:rsidP="00353351">
        <w:pPr>
          <w:pStyle w:val="a3"/>
          <w:framePr w:wrap="none" w:vAnchor="text" w:hAnchor="margin" w:xAlign="right" w:y="1"/>
          <w:rPr>
            <w:rStyle w:val="a5"/>
          </w:rPr>
        </w:pPr>
        <w:r>
          <w:rPr>
            <w:rStyle w:val="a5"/>
          </w:rPr>
          <w:fldChar w:fldCharType="begin"/>
        </w:r>
        <w:r>
          <w:rPr>
            <w:rStyle w:val="a5"/>
          </w:rPr>
          <w:instrText xml:space="preserve"> PAGE </w:instrText>
        </w:r>
        <w:r>
          <w:rPr>
            <w:rStyle w:val="a5"/>
          </w:rPr>
          <w:fldChar w:fldCharType="end"/>
        </w:r>
      </w:p>
    </w:sdtContent>
  </w:sdt>
  <w:p w:rsidR="00F8021F" w:rsidRDefault="00F8021F" w:rsidP="00353351">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5"/>
      </w:rPr>
      <w:id w:val="1935315369"/>
      <w:docPartObj>
        <w:docPartGallery w:val="Page Numbers (Bottom of Page)"/>
        <w:docPartUnique/>
      </w:docPartObj>
    </w:sdtPr>
    <w:sdtEndPr>
      <w:rPr>
        <w:rStyle w:val="a5"/>
      </w:rPr>
    </w:sdtEndPr>
    <w:sdtContent>
      <w:p w:rsidR="00F8021F" w:rsidRDefault="00F8021F" w:rsidP="00353351">
        <w:pPr>
          <w:pStyle w:val="a3"/>
          <w:framePr w:wrap="none" w:vAnchor="text" w:hAnchor="margin" w:xAlign="right" w:y="1"/>
          <w:rPr>
            <w:rStyle w:val="a5"/>
          </w:rPr>
        </w:pPr>
        <w:r>
          <w:rPr>
            <w:rStyle w:val="a5"/>
          </w:rPr>
          <w:fldChar w:fldCharType="begin"/>
        </w:r>
        <w:r>
          <w:rPr>
            <w:rStyle w:val="a5"/>
          </w:rPr>
          <w:instrText xml:space="preserve"> PAGE </w:instrText>
        </w:r>
        <w:r>
          <w:rPr>
            <w:rStyle w:val="a5"/>
          </w:rPr>
          <w:fldChar w:fldCharType="separate"/>
        </w:r>
        <w:r>
          <w:rPr>
            <w:rStyle w:val="a5"/>
            <w:noProof/>
          </w:rPr>
          <w:t>3</w:t>
        </w:r>
        <w:r>
          <w:rPr>
            <w:rStyle w:val="a5"/>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50C2" w:rsidRDefault="006050C2" w:rsidP="00353351">
      <w:r>
        <w:separator/>
      </w:r>
    </w:p>
  </w:footnote>
  <w:footnote w:type="continuationSeparator" w:id="0">
    <w:p w:rsidR="006050C2" w:rsidRDefault="006050C2" w:rsidP="003533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021F" w:rsidRDefault="00F8021F">
    <w:pPr>
      <w:pStyle w:val="a6"/>
    </w:pPr>
    <w:r>
      <w:t>Project Group 025</w:t>
    </w:r>
  </w:p>
  <w:p w:rsidR="00F8021F" w:rsidRDefault="00F8021F">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61C38"/>
    <w:multiLevelType w:val="hybridMultilevel"/>
    <w:tmpl w:val="74485C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48F4816"/>
    <w:multiLevelType w:val="multilevel"/>
    <w:tmpl w:val="9E6C2A6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39A10CD4"/>
    <w:multiLevelType w:val="hybridMultilevel"/>
    <w:tmpl w:val="C8D424BC"/>
    <w:lvl w:ilvl="0" w:tplc="D63094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26170EB"/>
    <w:multiLevelType w:val="hybridMultilevel"/>
    <w:tmpl w:val="AC00075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72D7FDD"/>
    <w:multiLevelType w:val="hybridMultilevel"/>
    <w:tmpl w:val="1B782B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756F6CDC"/>
    <w:multiLevelType w:val="hybridMultilevel"/>
    <w:tmpl w:val="C87279C4"/>
    <w:lvl w:ilvl="0" w:tplc="FB42B0A0">
      <w:start w:val="1"/>
      <w:numFmt w:val="bullet"/>
      <w:lvlText w:val=""/>
      <w:lvlJc w:val="left"/>
      <w:pPr>
        <w:ind w:left="420" w:hanging="420"/>
      </w:pPr>
      <w:rPr>
        <w:rFonts w:ascii="Symbol" w:hAnsi="Symbol"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ADA"/>
    <w:rsid w:val="00032D77"/>
    <w:rsid w:val="000678FF"/>
    <w:rsid w:val="0007799B"/>
    <w:rsid w:val="00086F9B"/>
    <w:rsid w:val="00091B85"/>
    <w:rsid w:val="000B2241"/>
    <w:rsid w:val="000B7F70"/>
    <w:rsid w:val="000C060A"/>
    <w:rsid w:val="000C39FE"/>
    <w:rsid w:val="000C6803"/>
    <w:rsid w:val="000D0C5C"/>
    <w:rsid w:val="000F2460"/>
    <w:rsid w:val="001402A8"/>
    <w:rsid w:val="00153059"/>
    <w:rsid w:val="001A5FD8"/>
    <w:rsid w:val="001B0B6A"/>
    <w:rsid w:val="001C53E2"/>
    <w:rsid w:val="001D0F08"/>
    <w:rsid w:val="001E5496"/>
    <w:rsid w:val="00212E60"/>
    <w:rsid w:val="002277F5"/>
    <w:rsid w:val="00242823"/>
    <w:rsid w:val="0024416E"/>
    <w:rsid w:val="0025164F"/>
    <w:rsid w:val="00260FF9"/>
    <w:rsid w:val="00270170"/>
    <w:rsid w:val="002713D2"/>
    <w:rsid w:val="00275A01"/>
    <w:rsid w:val="00277D31"/>
    <w:rsid w:val="00280EA1"/>
    <w:rsid w:val="00296C05"/>
    <w:rsid w:val="002B2F90"/>
    <w:rsid w:val="002C3F45"/>
    <w:rsid w:val="002D5950"/>
    <w:rsid w:val="002D75E9"/>
    <w:rsid w:val="002F2E35"/>
    <w:rsid w:val="00305292"/>
    <w:rsid w:val="00332ADA"/>
    <w:rsid w:val="00336F64"/>
    <w:rsid w:val="00341456"/>
    <w:rsid w:val="00345AAE"/>
    <w:rsid w:val="00346F73"/>
    <w:rsid w:val="00353351"/>
    <w:rsid w:val="00353F9E"/>
    <w:rsid w:val="00353FAE"/>
    <w:rsid w:val="00365EC5"/>
    <w:rsid w:val="0037296B"/>
    <w:rsid w:val="0038109B"/>
    <w:rsid w:val="00383DDF"/>
    <w:rsid w:val="003868D0"/>
    <w:rsid w:val="003A34AB"/>
    <w:rsid w:val="003B44EA"/>
    <w:rsid w:val="003D1608"/>
    <w:rsid w:val="003E44E7"/>
    <w:rsid w:val="003F5AFA"/>
    <w:rsid w:val="00402595"/>
    <w:rsid w:val="0040657D"/>
    <w:rsid w:val="00423840"/>
    <w:rsid w:val="00430A61"/>
    <w:rsid w:val="00466D90"/>
    <w:rsid w:val="00483BC6"/>
    <w:rsid w:val="00483EC1"/>
    <w:rsid w:val="004855F3"/>
    <w:rsid w:val="00486563"/>
    <w:rsid w:val="004A4D0B"/>
    <w:rsid w:val="004B7DEC"/>
    <w:rsid w:val="004D42B1"/>
    <w:rsid w:val="004E0284"/>
    <w:rsid w:val="004E6830"/>
    <w:rsid w:val="00502D01"/>
    <w:rsid w:val="00515451"/>
    <w:rsid w:val="0052132A"/>
    <w:rsid w:val="005275CE"/>
    <w:rsid w:val="00555CAD"/>
    <w:rsid w:val="005808DC"/>
    <w:rsid w:val="005B7959"/>
    <w:rsid w:val="005D4134"/>
    <w:rsid w:val="005F3429"/>
    <w:rsid w:val="005F38A5"/>
    <w:rsid w:val="005F75D8"/>
    <w:rsid w:val="006050C2"/>
    <w:rsid w:val="00611819"/>
    <w:rsid w:val="00616A03"/>
    <w:rsid w:val="00620C70"/>
    <w:rsid w:val="00624008"/>
    <w:rsid w:val="00664168"/>
    <w:rsid w:val="006676B0"/>
    <w:rsid w:val="00683703"/>
    <w:rsid w:val="006A54E1"/>
    <w:rsid w:val="006E0283"/>
    <w:rsid w:val="006E02B5"/>
    <w:rsid w:val="006F0F12"/>
    <w:rsid w:val="006F1182"/>
    <w:rsid w:val="007006B3"/>
    <w:rsid w:val="007036E1"/>
    <w:rsid w:val="00710267"/>
    <w:rsid w:val="007226B2"/>
    <w:rsid w:val="0073114B"/>
    <w:rsid w:val="007324CE"/>
    <w:rsid w:val="00733F48"/>
    <w:rsid w:val="00763462"/>
    <w:rsid w:val="0078200A"/>
    <w:rsid w:val="00784374"/>
    <w:rsid w:val="00787C66"/>
    <w:rsid w:val="007A5C77"/>
    <w:rsid w:val="007E3A6F"/>
    <w:rsid w:val="00850567"/>
    <w:rsid w:val="00856616"/>
    <w:rsid w:val="008741DE"/>
    <w:rsid w:val="008B1CD9"/>
    <w:rsid w:val="008C2AFE"/>
    <w:rsid w:val="008F44C3"/>
    <w:rsid w:val="009056E0"/>
    <w:rsid w:val="009103F1"/>
    <w:rsid w:val="00930E3F"/>
    <w:rsid w:val="0095129F"/>
    <w:rsid w:val="00975D51"/>
    <w:rsid w:val="00981A63"/>
    <w:rsid w:val="009B0CE2"/>
    <w:rsid w:val="009F2454"/>
    <w:rsid w:val="009F37B6"/>
    <w:rsid w:val="00A118AC"/>
    <w:rsid w:val="00A25F4D"/>
    <w:rsid w:val="00A45001"/>
    <w:rsid w:val="00A836E3"/>
    <w:rsid w:val="00A9621D"/>
    <w:rsid w:val="00A96A06"/>
    <w:rsid w:val="00AA439D"/>
    <w:rsid w:val="00AA788D"/>
    <w:rsid w:val="00AB6F6D"/>
    <w:rsid w:val="00AC1944"/>
    <w:rsid w:val="00AD650B"/>
    <w:rsid w:val="00AF19EF"/>
    <w:rsid w:val="00AF56A4"/>
    <w:rsid w:val="00B02FA8"/>
    <w:rsid w:val="00B233E6"/>
    <w:rsid w:val="00B318EF"/>
    <w:rsid w:val="00B4240E"/>
    <w:rsid w:val="00B52F33"/>
    <w:rsid w:val="00B61A8E"/>
    <w:rsid w:val="00B661A9"/>
    <w:rsid w:val="00B87B9F"/>
    <w:rsid w:val="00B93151"/>
    <w:rsid w:val="00BD0DC7"/>
    <w:rsid w:val="00BD5359"/>
    <w:rsid w:val="00BD6230"/>
    <w:rsid w:val="00BE11C0"/>
    <w:rsid w:val="00C00DDE"/>
    <w:rsid w:val="00C533EF"/>
    <w:rsid w:val="00C62939"/>
    <w:rsid w:val="00C918A5"/>
    <w:rsid w:val="00C92650"/>
    <w:rsid w:val="00C97581"/>
    <w:rsid w:val="00CC30F2"/>
    <w:rsid w:val="00CC75D7"/>
    <w:rsid w:val="00CD3C36"/>
    <w:rsid w:val="00CD3C3A"/>
    <w:rsid w:val="00CD68B3"/>
    <w:rsid w:val="00CF45E1"/>
    <w:rsid w:val="00D15D16"/>
    <w:rsid w:val="00D16B39"/>
    <w:rsid w:val="00D23DC4"/>
    <w:rsid w:val="00D3535C"/>
    <w:rsid w:val="00D505D6"/>
    <w:rsid w:val="00D6382F"/>
    <w:rsid w:val="00D667DB"/>
    <w:rsid w:val="00D87D88"/>
    <w:rsid w:val="00DC0A63"/>
    <w:rsid w:val="00DE1D96"/>
    <w:rsid w:val="00DF48E1"/>
    <w:rsid w:val="00E13676"/>
    <w:rsid w:val="00E16885"/>
    <w:rsid w:val="00E638C9"/>
    <w:rsid w:val="00E678A2"/>
    <w:rsid w:val="00E96087"/>
    <w:rsid w:val="00EB2A79"/>
    <w:rsid w:val="00EC7FCC"/>
    <w:rsid w:val="00ED7D07"/>
    <w:rsid w:val="00F1374B"/>
    <w:rsid w:val="00F203C0"/>
    <w:rsid w:val="00F31000"/>
    <w:rsid w:val="00F367E8"/>
    <w:rsid w:val="00F60999"/>
    <w:rsid w:val="00F8021F"/>
    <w:rsid w:val="00FA009F"/>
    <w:rsid w:val="00FA679D"/>
    <w:rsid w:val="00FC35B9"/>
    <w:rsid w:val="00FE35F4"/>
    <w:rsid w:val="00FE4E03"/>
    <w:rsid w:val="00FF2F6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3FCB22"/>
  <w15:chartTrackingRefBased/>
  <w15:docId w15:val="{0435A13D-9754-0B4C-B557-C660556AA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118AC"/>
    <w:rPr>
      <w:rFonts w:ascii="Times New Roman" w:eastAsia="Times New Roman" w:hAnsi="Times New Roman" w:cs="Times New Roman"/>
    </w:rPr>
  </w:style>
  <w:style w:type="paragraph" w:styleId="1">
    <w:name w:val="heading 1"/>
    <w:basedOn w:val="a"/>
    <w:next w:val="a"/>
    <w:link w:val="10"/>
    <w:uiPriority w:val="9"/>
    <w:qFormat/>
    <w:rsid w:val="005154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C35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C35B9"/>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F8021F"/>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paragraph" w:styleId="5">
    <w:name w:val="heading 5"/>
    <w:basedOn w:val="a"/>
    <w:next w:val="a"/>
    <w:link w:val="50"/>
    <w:uiPriority w:val="9"/>
    <w:unhideWhenUsed/>
    <w:qFormat/>
    <w:rsid w:val="00F8021F"/>
    <w:pPr>
      <w:keepNext/>
      <w:keepLines/>
      <w:spacing w:before="40" w:line="259" w:lineRule="auto"/>
      <w:outlineLvl w:val="4"/>
    </w:pPr>
    <w:rPr>
      <w:rFonts w:asciiTheme="majorHAnsi" w:eastAsiaTheme="majorEastAsia" w:hAnsiTheme="majorHAnsi" w:cstheme="majorBidi"/>
      <w:color w:val="2F5496" w:themeColor="accent1" w:themeShade="BF"/>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15451"/>
    <w:rPr>
      <w:rFonts w:asciiTheme="majorHAnsi" w:eastAsiaTheme="majorEastAsia" w:hAnsiTheme="majorHAnsi" w:cstheme="majorBidi"/>
      <w:color w:val="2F5496" w:themeColor="accent1" w:themeShade="BF"/>
      <w:sz w:val="32"/>
      <w:szCs w:val="32"/>
    </w:rPr>
  </w:style>
  <w:style w:type="paragraph" w:styleId="a3">
    <w:name w:val="footer"/>
    <w:basedOn w:val="a"/>
    <w:link w:val="a4"/>
    <w:uiPriority w:val="99"/>
    <w:unhideWhenUsed/>
    <w:rsid w:val="00353351"/>
    <w:pPr>
      <w:tabs>
        <w:tab w:val="center" w:pos="4513"/>
        <w:tab w:val="right" w:pos="9026"/>
      </w:tabs>
    </w:pPr>
  </w:style>
  <w:style w:type="character" w:customStyle="1" w:styleId="a4">
    <w:name w:val="页脚 字符"/>
    <w:basedOn w:val="a0"/>
    <w:link w:val="a3"/>
    <w:uiPriority w:val="99"/>
    <w:rsid w:val="00353351"/>
  </w:style>
  <w:style w:type="character" w:styleId="a5">
    <w:name w:val="page number"/>
    <w:basedOn w:val="a0"/>
    <w:uiPriority w:val="99"/>
    <w:semiHidden/>
    <w:unhideWhenUsed/>
    <w:rsid w:val="00353351"/>
  </w:style>
  <w:style w:type="paragraph" w:styleId="a6">
    <w:name w:val="header"/>
    <w:basedOn w:val="a"/>
    <w:link w:val="a7"/>
    <w:uiPriority w:val="99"/>
    <w:unhideWhenUsed/>
    <w:rsid w:val="00353351"/>
    <w:pPr>
      <w:tabs>
        <w:tab w:val="center" w:pos="4513"/>
        <w:tab w:val="right" w:pos="9026"/>
      </w:tabs>
    </w:pPr>
  </w:style>
  <w:style w:type="character" w:customStyle="1" w:styleId="a7">
    <w:name w:val="页眉 字符"/>
    <w:basedOn w:val="a0"/>
    <w:link w:val="a6"/>
    <w:uiPriority w:val="99"/>
    <w:rsid w:val="00353351"/>
  </w:style>
  <w:style w:type="paragraph" w:styleId="TOC">
    <w:name w:val="TOC Heading"/>
    <w:basedOn w:val="1"/>
    <w:next w:val="a"/>
    <w:uiPriority w:val="39"/>
    <w:unhideWhenUsed/>
    <w:qFormat/>
    <w:rsid w:val="000F2460"/>
    <w:pPr>
      <w:spacing w:before="480" w:line="276" w:lineRule="auto"/>
      <w:outlineLvl w:val="9"/>
    </w:pPr>
    <w:rPr>
      <w:b/>
      <w:bCs/>
      <w:sz w:val="28"/>
      <w:szCs w:val="28"/>
      <w:lang w:val="en-US" w:eastAsia="en-US"/>
    </w:rPr>
  </w:style>
  <w:style w:type="paragraph" w:styleId="11">
    <w:name w:val="toc 1"/>
    <w:basedOn w:val="a"/>
    <w:next w:val="a"/>
    <w:autoRedefine/>
    <w:uiPriority w:val="39"/>
    <w:unhideWhenUsed/>
    <w:rsid w:val="000F2460"/>
    <w:pPr>
      <w:spacing w:before="120"/>
    </w:pPr>
    <w:rPr>
      <w:rFonts w:cstheme="minorHAnsi"/>
      <w:b/>
      <w:bCs/>
      <w:i/>
      <w:iCs/>
    </w:rPr>
  </w:style>
  <w:style w:type="character" w:styleId="a8">
    <w:name w:val="Hyperlink"/>
    <w:basedOn w:val="a0"/>
    <w:uiPriority w:val="99"/>
    <w:unhideWhenUsed/>
    <w:rsid w:val="000F2460"/>
    <w:rPr>
      <w:color w:val="0563C1" w:themeColor="hyperlink"/>
      <w:u w:val="single"/>
    </w:rPr>
  </w:style>
  <w:style w:type="paragraph" w:styleId="21">
    <w:name w:val="toc 2"/>
    <w:basedOn w:val="a"/>
    <w:next w:val="a"/>
    <w:autoRedefine/>
    <w:uiPriority w:val="39"/>
    <w:unhideWhenUsed/>
    <w:rsid w:val="000F2460"/>
    <w:pPr>
      <w:spacing w:before="120"/>
      <w:ind w:left="240"/>
    </w:pPr>
    <w:rPr>
      <w:rFonts w:cstheme="minorHAnsi"/>
      <w:b/>
      <w:bCs/>
      <w:sz w:val="22"/>
      <w:szCs w:val="22"/>
    </w:rPr>
  </w:style>
  <w:style w:type="paragraph" w:styleId="31">
    <w:name w:val="toc 3"/>
    <w:basedOn w:val="a"/>
    <w:next w:val="a"/>
    <w:autoRedefine/>
    <w:uiPriority w:val="39"/>
    <w:unhideWhenUsed/>
    <w:rsid w:val="000F2460"/>
    <w:pPr>
      <w:ind w:left="480"/>
    </w:pPr>
    <w:rPr>
      <w:rFonts w:cstheme="minorHAnsi"/>
      <w:sz w:val="20"/>
      <w:szCs w:val="20"/>
    </w:rPr>
  </w:style>
  <w:style w:type="paragraph" w:styleId="41">
    <w:name w:val="toc 4"/>
    <w:basedOn w:val="a"/>
    <w:next w:val="a"/>
    <w:autoRedefine/>
    <w:uiPriority w:val="39"/>
    <w:semiHidden/>
    <w:unhideWhenUsed/>
    <w:rsid w:val="000F2460"/>
    <w:pPr>
      <w:ind w:left="720"/>
    </w:pPr>
    <w:rPr>
      <w:rFonts w:cstheme="minorHAnsi"/>
      <w:sz w:val="20"/>
      <w:szCs w:val="20"/>
    </w:rPr>
  </w:style>
  <w:style w:type="paragraph" w:styleId="51">
    <w:name w:val="toc 5"/>
    <w:basedOn w:val="a"/>
    <w:next w:val="a"/>
    <w:autoRedefine/>
    <w:uiPriority w:val="39"/>
    <w:semiHidden/>
    <w:unhideWhenUsed/>
    <w:rsid w:val="000F2460"/>
    <w:pPr>
      <w:ind w:left="960"/>
    </w:pPr>
    <w:rPr>
      <w:rFonts w:cstheme="minorHAnsi"/>
      <w:sz w:val="20"/>
      <w:szCs w:val="20"/>
    </w:rPr>
  </w:style>
  <w:style w:type="paragraph" w:styleId="6">
    <w:name w:val="toc 6"/>
    <w:basedOn w:val="a"/>
    <w:next w:val="a"/>
    <w:autoRedefine/>
    <w:uiPriority w:val="39"/>
    <w:semiHidden/>
    <w:unhideWhenUsed/>
    <w:rsid w:val="000F2460"/>
    <w:pPr>
      <w:ind w:left="1200"/>
    </w:pPr>
    <w:rPr>
      <w:rFonts w:cstheme="minorHAnsi"/>
      <w:sz w:val="20"/>
      <w:szCs w:val="20"/>
    </w:rPr>
  </w:style>
  <w:style w:type="paragraph" w:styleId="7">
    <w:name w:val="toc 7"/>
    <w:basedOn w:val="a"/>
    <w:next w:val="a"/>
    <w:autoRedefine/>
    <w:uiPriority w:val="39"/>
    <w:semiHidden/>
    <w:unhideWhenUsed/>
    <w:rsid w:val="000F2460"/>
    <w:pPr>
      <w:ind w:left="1440"/>
    </w:pPr>
    <w:rPr>
      <w:rFonts w:cstheme="minorHAnsi"/>
      <w:sz w:val="20"/>
      <w:szCs w:val="20"/>
    </w:rPr>
  </w:style>
  <w:style w:type="paragraph" w:styleId="8">
    <w:name w:val="toc 8"/>
    <w:basedOn w:val="a"/>
    <w:next w:val="a"/>
    <w:autoRedefine/>
    <w:uiPriority w:val="39"/>
    <w:semiHidden/>
    <w:unhideWhenUsed/>
    <w:rsid w:val="000F2460"/>
    <w:pPr>
      <w:ind w:left="1680"/>
    </w:pPr>
    <w:rPr>
      <w:rFonts w:cstheme="minorHAnsi"/>
      <w:sz w:val="20"/>
      <w:szCs w:val="20"/>
    </w:rPr>
  </w:style>
  <w:style w:type="paragraph" w:styleId="9">
    <w:name w:val="toc 9"/>
    <w:basedOn w:val="a"/>
    <w:next w:val="a"/>
    <w:autoRedefine/>
    <w:uiPriority w:val="39"/>
    <w:semiHidden/>
    <w:unhideWhenUsed/>
    <w:rsid w:val="000F2460"/>
    <w:pPr>
      <w:ind w:left="1920"/>
    </w:pPr>
    <w:rPr>
      <w:rFonts w:cstheme="minorHAnsi"/>
      <w:sz w:val="20"/>
      <w:szCs w:val="20"/>
    </w:rPr>
  </w:style>
  <w:style w:type="paragraph" w:styleId="a9">
    <w:name w:val="List Paragraph"/>
    <w:basedOn w:val="a"/>
    <w:uiPriority w:val="34"/>
    <w:qFormat/>
    <w:rsid w:val="00FC35B9"/>
    <w:pPr>
      <w:ind w:left="720"/>
      <w:contextualSpacing/>
    </w:pPr>
  </w:style>
  <w:style w:type="character" w:customStyle="1" w:styleId="20">
    <w:name w:val="标题 2 字符"/>
    <w:basedOn w:val="a0"/>
    <w:link w:val="2"/>
    <w:uiPriority w:val="9"/>
    <w:rsid w:val="00FC35B9"/>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C35B9"/>
    <w:rPr>
      <w:rFonts w:asciiTheme="majorHAnsi" w:eastAsiaTheme="majorEastAsia" w:hAnsiTheme="majorHAnsi" w:cstheme="majorBidi"/>
      <w:color w:val="1F3763" w:themeColor="accent1" w:themeShade="7F"/>
    </w:rPr>
  </w:style>
  <w:style w:type="table" w:styleId="aa">
    <w:name w:val="Table Grid"/>
    <w:basedOn w:val="a1"/>
    <w:uiPriority w:val="39"/>
    <w:rsid w:val="00280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2">
    <w:name w:val="Plain Table 5"/>
    <w:basedOn w:val="a1"/>
    <w:uiPriority w:val="45"/>
    <w:rsid w:val="007324CE"/>
    <w:rPr>
      <w:kern w:val="2"/>
      <w:sz w:val="21"/>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ab">
    <w:name w:val="Placeholder Text"/>
    <w:basedOn w:val="a0"/>
    <w:uiPriority w:val="99"/>
    <w:semiHidden/>
    <w:rsid w:val="00FA009F"/>
    <w:rPr>
      <w:color w:val="808080"/>
    </w:rPr>
  </w:style>
  <w:style w:type="table" w:styleId="32">
    <w:name w:val="Plain Table 3"/>
    <w:basedOn w:val="a1"/>
    <w:uiPriority w:val="43"/>
    <w:rsid w:val="004855F3"/>
    <w:rPr>
      <w:kern w:val="2"/>
      <w:sz w:val="21"/>
      <w:szCs w:val="22"/>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c">
    <w:name w:val="caption"/>
    <w:basedOn w:val="a"/>
    <w:next w:val="a"/>
    <w:uiPriority w:val="35"/>
    <w:unhideWhenUsed/>
    <w:qFormat/>
    <w:rsid w:val="0038109B"/>
    <w:pPr>
      <w:widowControl w:val="0"/>
      <w:spacing w:after="200"/>
      <w:jc w:val="both"/>
    </w:pPr>
    <w:rPr>
      <w:rFonts w:ascii="Calibri" w:eastAsiaTheme="minorEastAsia" w:hAnsi="Calibri" w:cstheme="minorBidi"/>
      <w:i/>
      <w:iCs/>
      <w:color w:val="44546A" w:themeColor="text2"/>
      <w:sz w:val="18"/>
      <w:szCs w:val="18"/>
      <w:lang w:val="en-US"/>
    </w:rPr>
  </w:style>
  <w:style w:type="character" w:customStyle="1" w:styleId="40">
    <w:name w:val="标题 4 字符"/>
    <w:basedOn w:val="a0"/>
    <w:link w:val="4"/>
    <w:uiPriority w:val="9"/>
    <w:rsid w:val="00F8021F"/>
    <w:rPr>
      <w:rFonts w:asciiTheme="majorHAnsi" w:eastAsiaTheme="majorEastAsia" w:hAnsiTheme="majorHAnsi" w:cstheme="majorBidi"/>
      <w:i/>
      <w:iCs/>
      <w:color w:val="2F5496" w:themeColor="accent1" w:themeShade="BF"/>
      <w:sz w:val="22"/>
      <w:szCs w:val="22"/>
    </w:rPr>
  </w:style>
  <w:style w:type="character" w:customStyle="1" w:styleId="50">
    <w:name w:val="标题 5 字符"/>
    <w:basedOn w:val="a0"/>
    <w:link w:val="5"/>
    <w:uiPriority w:val="9"/>
    <w:rsid w:val="00F8021F"/>
    <w:rPr>
      <w:rFonts w:asciiTheme="majorHAnsi" w:eastAsiaTheme="majorEastAsia" w:hAnsiTheme="majorHAnsi" w:cstheme="majorBidi"/>
      <w:color w:val="2F5496" w:themeColor="accent1" w:themeShade="BF"/>
      <w:sz w:val="22"/>
      <w:szCs w:val="22"/>
    </w:rPr>
  </w:style>
  <w:style w:type="table" w:styleId="2-3">
    <w:name w:val="Grid Table 2 Accent 3"/>
    <w:basedOn w:val="a1"/>
    <w:uiPriority w:val="47"/>
    <w:rsid w:val="00CD68B3"/>
    <w:rPr>
      <w:kern w:val="2"/>
      <w:sz w:val="21"/>
      <w:szCs w:val="22"/>
      <w:lang w:val="en-US"/>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031877">
      <w:bodyDiv w:val="1"/>
      <w:marLeft w:val="0"/>
      <w:marRight w:val="0"/>
      <w:marTop w:val="0"/>
      <w:marBottom w:val="0"/>
      <w:divBdr>
        <w:top w:val="none" w:sz="0" w:space="0" w:color="auto"/>
        <w:left w:val="none" w:sz="0" w:space="0" w:color="auto"/>
        <w:bottom w:val="none" w:sz="0" w:space="0" w:color="auto"/>
        <w:right w:val="none" w:sz="0" w:space="0" w:color="auto"/>
      </w:divBdr>
      <w:divsChild>
        <w:div w:id="752363686">
          <w:marLeft w:val="0"/>
          <w:marRight w:val="0"/>
          <w:marTop w:val="0"/>
          <w:marBottom w:val="0"/>
          <w:divBdr>
            <w:top w:val="none" w:sz="0" w:space="0" w:color="auto"/>
            <w:left w:val="none" w:sz="0" w:space="0" w:color="auto"/>
            <w:bottom w:val="none" w:sz="0" w:space="0" w:color="auto"/>
            <w:right w:val="none" w:sz="0" w:space="0" w:color="auto"/>
          </w:divBdr>
          <w:divsChild>
            <w:div w:id="247546585">
              <w:marLeft w:val="0"/>
              <w:marRight w:val="0"/>
              <w:marTop w:val="0"/>
              <w:marBottom w:val="0"/>
              <w:divBdr>
                <w:top w:val="none" w:sz="0" w:space="0" w:color="auto"/>
                <w:left w:val="none" w:sz="0" w:space="0" w:color="auto"/>
                <w:bottom w:val="none" w:sz="0" w:space="0" w:color="auto"/>
                <w:right w:val="none" w:sz="0" w:space="0" w:color="auto"/>
              </w:divBdr>
              <w:divsChild>
                <w:div w:id="100258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719558">
      <w:bodyDiv w:val="1"/>
      <w:marLeft w:val="0"/>
      <w:marRight w:val="0"/>
      <w:marTop w:val="0"/>
      <w:marBottom w:val="0"/>
      <w:divBdr>
        <w:top w:val="none" w:sz="0" w:space="0" w:color="auto"/>
        <w:left w:val="none" w:sz="0" w:space="0" w:color="auto"/>
        <w:bottom w:val="none" w:sz="0" w:space="0" w:color="auto"/>
        <w:right w:val="none" w:sz="0" w:space="0" w:color="auto"/>
      </w:divBdr>
    </w:div>
    <w:div w:id="542718371">
      <w:bodyDiv w:val="1"/>
      <w:marLeft w:val="0"/>
      <w:marRight w:val="0"/>
      <w:marTop w:val="0"/>
      <w:marBottom w:val="0"/>
      <w:divBdr>
        <w:top w:val="none" w:sz="0" w:space="0" w:color="auto"/>
        <w:left w:val="none" w:sz="0" w:space="0" w:color="auto"/>
        <w:bottom w:val="none" w:sz="0" w:space="0" w:color="auto"/>
        <w:right w:val="none" w:sz="0" w:space="0" w:color="auto"/>
      </w:divBdr>
    </w:div>
    <w:div w:id="570699128">
      <w:bodyDiv w:val="1"/>
      <w:marLeft w:val="0"/>
      <w:marRight w:val="0"/>
      <w:marTop w:val="0"/>
      <w:marBottom w:val="0"/>
      <w:divBdr>
        <w:top w:val="none" w:sz="0" w:space="0" w:color="auto"/>
        <w:left w:val="none" w:sz="0" w:space="0" w:color="auto"/>
        <w:bottom w:val="none" w:sz="0" w:space="0" w:color="auto"/>
        <w:right w:val="none" w:sz="0" w:space="0" w:color="auto"/>
      </w:divBdr>
    </w:div>
    <w:div w:id="715856829">
      <w:bodyDiv w:val="1"/>
      <w:marLeft w:val="0"/>
      <w:marRight w:val="0"/>
      <w:marTop w:val="0"/>
      <w:marBottom w:val="0"/>
      <w:divBdr>
        <w:top w:val="none" w:sz="0" w:space="0" w:color="auto"/>
        <w:left w:val="none" w:sz="0" w:space="0" w:color="auto"/>
        <w:bottom w:val="none" w:sz="0" w:space="0" w:color="auto"/>
        <w:right w:val="none" w:sz="0" w:space="0" w:color="auto"/>
      </w:divBdr>
    </w:div>
    <w:div w:id="798492811">
      <w:bodyDiv w:val="1"/>
      <w:marLeft w:val="0"/>
      <w:marRight w:val="0"/>
      <w:marTop w:val="0"/>
      <w:marBottom w:val="0"/>
      <w:divBdr>
        <w:top w:val="none" w:sz="0" w:space="0" w:color="auto"/>
        <w:left w:val="none" w:sz="0" w:space="0" w:color="auto"/>
        <w:bottom w:val="none" w:sz="0" w:space="0" w:color="auto"/>
        <w:right w:val="none" w:sz="0" w:space="0" w:color="auto"/>
      </w:divBdr>
    </w:div>
    <w:div w:id="910313620">
      <w:bodyDiv w:val="1"/>
      <w:marLeft w:val="0"/>
      <w:marRight w:val="0"/>
      <w:marTop w:val="0"/>
      <w:marBottom w:val="0"/>
      <w:divBdr>
        <w:top w:val="none" w:sz="0" w:space="0" w:color="auto"/>
        <w:left w:val="none" w:sz="0" w:space="0" w:color="auto"/>
        <w:bottom w:val="none" w:sz="0" w:space="0" w:color="auto"/>
        <w:right w:val="none" w:sz="0" w:space="0" w:color="auto"/>
      </w:divBdr>
    </w:div>
    <w:div w:id="967051441">
      <w:bodyDiv w:val="1"/>
      <w:marLeft w:val="0"/>
      <w:marRight w:val="0"/>
      <w:marTop w:val="0"/>
      <w:marBottom w:val="0"/>
      <w:divBdr>
        <w:top w:val="none" w:sz="0" w:space="0" w:color="auto"/>
        <w:left w:val="none" w:sz="0" w:space="0" w:color="auto"/>
        <w:bottom w:val="none" w:sz="0" w:space="0" w:color="auto"/>
        <w:right w:val="none" w:sz="0" w:space="0" w:color="auto"/>
      </w:divBdr>
    </w:div>
    <w:div w:id="1019501254">
      <w:bodyDiv w:val="1"/>
      <w:marLeft w:val="0"/>
      <w:marRight w:val="0"/>
      <w:marTop w:val="0"/>
      <w:marBottom w:val="0"/>
      <w:divBdr>
        <w:top w:val="none" w:sz="0" w:space="0" w:color="auto"/>
        <w:left w:val="none" w:sz="0" w:space="0" w:color="auto"/>
        <w:bottom w:val="none" w:sz="0" w:space="0" w:color="auto"/>
        <w:right w:val="none" w:sz="0" w:space="0" w:color="auto"/>
      </w:divBdr>
    </w:div>
    <w:div w:id="1077365162">
      <w:bodyDiv w:val="1"/>
      <w:marLeft w:val="0"/>
      <w:marRight w:val="0"/>
      <w:marTop w:val="0"/>
      <w:marBottom w:val="0"/>
      <w:divBdr>
        <w:top w:val="none" w:sz="0" w:space="0" w:color="auto"/>
        <w:left w:val="none" w:sz="0" w:space="0" w:color="auto"/>
        <w:bottom w:val="none" w:sz="0" w:space="0" w:color="auto"/>
        <w:right w:val="none" w:sz="0" w:space="0" w:color="auto"/>
      </w:divBdr>
    </w:div>
    <w:div w:id="1086925848">
      <w:bodyDiv w:val="1"/>
      <w:marLeft w:val="0"/>
      <w:marRight w:val="0"/>
      <w:marTop w:val="0"/>
      <w:marBottom w:val="0"/>
      <w:divBdr>
        <w:top w:val="none" w:sz="0" w:space="0" w:color="auto"/>
        <w:left w:val="none" w:sz="0" w:space="0" w:color="auto"/>
        <w:bottom w:val="none" w:sz="0" w:space="0" w:color="auto"/>
        <w:right w:val="none" w:sz="0" w:space="0" w:color="auto"/>
      </w:divBdr>
    </w:div>
    <w:div w:id="1372026926">
      <w:bodyDiv w:val="1"/>
      <w:marLeft w:val="0"/>
      <w:marRight w:val="0"/>
      <w:marTop w:val="0"/>
      <w:marBottom w:val="0"/>
      <w:divBdr>
        <w:top w:val="none" w:sz="0" w:space="0" w:color="auto"/>
        <w:left w:val="none" w:sz="0" w:space="0" w:color="auto"/>
        <w:bottom w:val="none" w:sz="0" w:space="0" w:color="auto"/>
        <w:right w:val="none" w:sz="0" w:space="0" w:color="auto"/>
      </w:divBdr>
    </w:div>
    <w:div w:id="1449279207">
      <w:bodyDiv w:val="1"/>
      <w:marLeft w:val="0"/>
      <w:marRight w:val="0"/>
      <w:marTop w:val="0"/>
      <w:marBottom w:val="0"/>
      <w:divBdr>
        <w:top w:val="none" w:sz="0" w:space="0" w:color="auto"/>
        <w:left w:val="none" w:sz="0" w:space="0" w:color="auto"/>
        <w:bottom w:val="none" w:sz="0" w:space="0" w:color="auto"/>
        <w:right w:val="none" w:sz="0" w:space="0" w:color="auto"/>
      </w:divBdr>
    </w:div>
    <w:div w:id="1810049156">
      <w:bodyDiv w:val="1"/>
      <w:marLeft w:val="0"/>
      <w:marRight w:val="0"/>
      <w:marTop w:val="0"/>
      <w:marBottom w:val="0"/>
      <w:divBdr>
        <w:top w:val="none" w:sz="0" w:space="0" w:color="auto"/>
        <w:left w:val="none" w:sz="0" w:space="0" w:color="auto"/>
        <w:bottom w:val="none" w:sz="0" w:space="0" w:color="auto"/>
        <w:right w:val="none" w:sz="0" w:space="0" w:color="auto"/>
      </w:divBdr>
    </w:div>
    <w:div w:id="1859806672">
      <w:bodyDiv w:val="1"/>
      <w:marLeft w:val="0"/>
      <w:marRight w:val="0"/>
      <w:marTop w:val="0"/>
      <w:marBottom w:val="0"/>
      <w:divBdr>
        <w:top w:val="none" w:sz="0" w:space="0" w:color="auto"/>
        <w:left w:val="none" w:sz="0" w:space="0" w:color="auto"/>
        <w:bottom w:val="none" w:sz="0" w:space="0" w:color="auto"/>
        <w:right w:val="none" w:sz="0" w:space="0" w:color="auto"/>
      </w:divBdr>
    </w:div>
    <w:div w:id="1869483125">
      <w:bodyDiv w:val="1"/>
      <w:marLeft w:val="0"/>
      <w:marRight w:val="0"/>
      <w:marTop w:val="0"/>
      <w:marBottom w:val="0"/>
      <w:divBdr>
        <w:top w:val="none" w:sz="0" w:space="0" w:color="auto"/>
        <w:left w:val="none" w:sz="0" w:space="0" w:color="auto"/>
        <w:bottom w:val="none" w:sz="0" w:space="0" w:color="auto"/>
        <w:right w:val="none" w:sz="0" w:space="0" w:color="auto"/>
      </w:divBdr>
    </w:div>
    <w:div w:id="1908880626">
      <w:bodyDiv w:val="1"/>
      <w:marLeft w:val="0"/>
      <w:marRight w:val="0"/>
      <w:marTop w:val="0"/>
      <w:marBottom w:val="0"/>
      <w:divBdr>
        <w:top w:val="none" w:sz="0" w:space="0" w:color="auto"/>
        <w:left w:val="none" w:sz="0" w:space="0" w:color="auto"/>
        <w:bottom w:val="none" w:sz="0" w:space="0" w:color="auto"/>
        <w:right w:val="none" w:sz="0" w:space="0" w:color="auto"/>
      </w:divBdr>
    </w:div>
    <w:div w:id="1909225162">
      <w:bodyDiv w:val="1"/>
      <w:marLeft w:val="0"/>
      <w:marRight w:val="0"/>
      <w:marTop w:val="0"/>
      <w:marBottom w:val="0"/>
      <w:divBdr>
        <w:top w:val="none" w:sz="0" w:space="0" w:color="auto"/>
        <w:left w:val="none" w:sz="0" w:space="0" w:color="auto"/>
        <w:bottom w:val="none" w:sz="0" w:space="0" w:color="auto"/>
        <w:right w:val="none" w:sz="0" w:space="0" w:color="auto"/>
      </w:divBdr>
    </w:div>
    <w:div w:id="1922327028">
      <w:bodyDiv w:val="1"/>
      <w:marLeft w:val="0"/>
      <w:marRight w:val="0"/>
      <w:marTop w:val="0"/>
      <w:marBottom w:val="0"/>
      <w:divBdr>
        <w:top w:val="none" w:sz="0" w:space="0" w:color="auto"/>
        <w:left w:val="none" w:sz="0" w:space="0" w:color="auto"/>
        <w:bottom w:val="none" w:sz="0" w:space="0" w:color="auto"/>
        <w:right w:val="none" w:sz="0" w:space="0" w:color="auto"/>
      </w:divBdr>
    </w:div>
    <w:div w:id="1924803876">
      <w:bodyDiv w:val="1"/>
      <w:marLeft w:val="0"/>
      <w:marRight w:val="0"/>
      <w:marTop w:val="0"/>
      <w:marBottom w:val="0"/>
      <w:divBdr>
        <w:top w:val="none" w:sz="0" w:space="0" w:color="auto"/>
        <w:left w:val="none" w:sz="0" w:space="0" w:color="auto"/>
        <w:bottom w:val="none" w:sz="0" w:space="0" w:color="auto"/>
        <w:right w:val="none" w:sz="0" w:space="0" w:color="auto"/>
      </w:divBdr>
    </w:div>
    <w:div w:id="1949435235">
      <w:bodyDiv w:val="1"/>
      <w:marLeft w:val="0"/>
      <w:marRight w:val="0"/>
      <w:marTop w:val="0"/>
      <w:marBottom w:val="0"/>
      <w:divBdr>
        <w:top w:val="none" w:sz="0" w:space="0" w:color="auto"/>
        <w:left w:val="none" w:sz="0" w:space="0" w:color="auto"/>
        <w:bottom w:val="none" w:sz="0" w:space="0" w:color="auto"/>
        <w:right w:val="none" w:sz="0" w:space="0" w:color="auto"/>
      </w:divBdr>
    </w:div>
    <w:div w:id="2017688827">
      <w:bodyDiv w:val="1"/>
      <w:marLeft w:val="0"/>
      <w:marRight w:val="0"/>
      <w:marTop w:val="0"/>
      <w:marBottom w:val="0"/>
      <w:divBdr>
        <w:top w:val="none" w:sz="0" w:space="0" w:color="auto"/>
        <w:left w:val="none" w:sz="0" w:space="0" w:color="auto"/>
        <w:bottom w:val="none" w:sz="0" w:space="0" w:color="auto"/>
        <w:right w:val="none" w:sz="0" w:space="0" w:color="auto"/>
      </w:divBdr>
    </w:div>
    <w:div w:id="2018195288">
      <w:bodyDiv w:val="1"/>
      <w:marLeft w:val="0"/>
      <w:marRight w:val="0"/>
      <w:marTop w:val="0"/>
      <w:marBottom w:val="0"/>
      <w:divBdr>
        <w:top w:val="none" w:sz="0" w:space="0" w:color="auto"/>
        <w:left w:val="none" w:sz="0" w:space="0" w:color="auto"/>
        <w:bottom w:val="none" w:sz="0" w:space="0" w:color="auto"/>
        <w:right w:val="none" w:sz="0" w:space="0" w:color="auto"/>
      </w:divBdr>
    </w:div>
    <w:div w:id="2047094891">
      <w:bodyDiv w:val="1"/>
      <w:marLeft w:val="0"/>
      <w:marRight w:val="0"/>
      <w:marTop w:val="0"/>
      <w:marBottom w:val="0"/>
      <w:divBdr>
        <w:top w:val="none" w:sz="0" w:space="0" w:color="auto"/>
        <w:left w:val="none" w:sz="0" w:space="0" w:color="auto"/>
        <w:bottom w:val="none" w:sz="0" w:space="0" w:color="auto"/>
        <w:right w:val="none" w:sz="0" w:space="0" w:color="auto"/>
      </w:divBdr>
    </w:div>
    <w:div w:id="2047606944">
      <w:bodyDiv w:val="1"/>
      <w:marLeft w:val="0"/>
      <w:marRight w:val="0"/>
      <w:marTop w:val="0"/>
      <w:marBottom w:val="0"/>
      <w:divBdr>
        <w:top w:val="none" w:sz="0" w:space="0" w:color="auto"/>
        <w:left w:val="none" w:sz="0" w:space="0" w:color="auto"/>
        <w:bottom w:val="none" w:sz="0" w:space="0" w:color="auto"/>
        <w:right w:val="none" w:sz="0" w:space="0" w:color="auto"/>
      </w:divBdr>
    </w:div>
    <w:div w:id="2073113036">
      <w:bodyDiv w:val="1"/>
      <w:marLeft w:val="0"/>
      <w:marRight w:val="0"/>
      <w:marTop w:val="0"/>
      <w:marBottom w:val="0"/>
      <w:divBdr>
        <w:top w:val="none" w:sz="0" w:space="0" w:color="auto"/>
        <w:left w:val="none" w:sz="0" w:space="0" w:color="auto"/>
        <w:bottom w:val="none" w:sz="0" w:space="0" w:color="auto"/>
        <w:right w:val="none" w:sz="0" w:space="0" w:color="auto"/>
      </w:divBdr>
    </w:div>
    <w:div w:id="208529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F0263-2149-4FCC-9888-8F769E06F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11673</Words>
  <Characters>66542</Characters>
  <Application>Microsoft Office Word</Application>
  <DocSecurity>0</DocSecurity>
  <Lines>554</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Flute Xu</cp:lastModifiedBy>
  <cp:revision>2</cp:revision>
  <dcterms:created xsi:type="dcterms:W3CDTF">2019-01-18T11:08:00Z</dcterms:created>
  <dcterms:modified xsi:type="dcterms:W3CDTF">2019-01-18T11:08:00Z</dcterms:modified>
</cp:coreProperties>
</file>