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EF1242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center"/>
        <w:outlineLvl w:val="0"/>
        <w:rPr>
          <w:rFonts w:ascii="Proxima Nova Lt" w:eastAsia="Times New Roman" w:hAnsi="Proxima Nova Lt" w:cs="Segoe UI"/>
          <w:b/>
          <w:bCs/>
          <w:color w:val="1F2328"/>
          <w:kern w:val="36"/>
          <w:sz w:val="28"/>
          <w:szCs w:val="28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kern w:val="36"/>
          <w:sz w:val="28"/>
          <w:szCs w:val="28"/>
          <w:bdr w:val="none" w:sz="0" w:space="0" w:color="auto"/>
          <w:lang w:eastAsia="en-US"/>
        </w:rPr>
        <w:t>Техническое задание № ___</w:t>
      </w:r>
    </w:p>
    <w:p w14:paraId="19D807E1" w14:textId="7D1E9441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center"/>
        <w:outlineLvl w:val="1"/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  <w:t>на создание интеллектуального объекта:</w:t>
      </w:r>
    </w:p>
    <w:p w14:paraId="4A9C2799" w14:textId="7B201BD1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center"/>
        <w:outlineLvl w:val="1"/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  <w:t xml:space="preserve">Модуль учета коммутационного ресурса </w:t>
      </w:r>
      <w:r w:rsidRPr="000740EC"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val="en-US" w:eastAsia="en-US"/>
        </w:rPr>
        <w:t>LCT</w:t>
      </w:r>
      <w:r w:rsidRPr="000740EC">
        <w:rPr>
          <w:rFonts w:ascii="Proxima Nova Lt" w:eastAsia="Times New Roman" w:hAnsi="Proxima Nova Lt" w:cs="Segoe UI"/>
          <w:b/>
          <w:bCs/>
          <w:color w:val="1F2328"/>
          <w:sz w:val="28"/>
          <w:szCs w:val="28"/>
          <w:bdr w:val="none" w:sz="0" w:space="0" w:color="auto"/>
          <w:lang w:eastAsia="en-US"/>
        </w:rPr>
        <w:t>1114</w:t>
      </w:r>
    </w:p>
    <w:p w14:paraId="63A7E635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Дата подписания: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 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«___» ____________ 2025 года</w:t>
      </w:r>
    </w:p>
    <w:p w14:paraId="77A9948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Заказчик: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 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ООО «ЛЕВИН Фотоникс»</w:t>
      </w:r>
    </w:p>
    <w:p w14:paraId="3B375FFD" w14:textId="7F3A38FF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Исполнитель: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 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ИП Морозова А.</w:t>
      </w:r>
    </w:p>
    <w:p w14:paraId="566A337E" w14:textId="43550D6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01C1991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434646A9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1. Описание создаваемого Объекта</w:t>
      </w:r>
    </w:p>
    <w:p w14:paraId="7A118BB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 xml:space="preserve">Модуль учета коммутационного ресурса </w:t>
      </w: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LCT</w:t>
      </w: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1114.</w:t>
      </w:r>
    </w:p>
    <w:p w14:paraId="6B8E2C38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Разрабатываемый модуль учета коммутационного ресурса LCT1114 должен представлять собой специализированный модуль линейки Lorentz, предназначенный для мониторинга параметров работы высоковольтных выключателей и учета их механического и коммутационного ресурса.</w:t>
      </w:r>
    </w:p>
    <w:p w14:paraId="48434559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должен быть выполнен в общем форм-факторе модулей линейки Lorentz, в пластиковом корпусе для установки на DIN-рейку, с подключением к системе через внутреннюю шину X2X.</w:t>
      </w:r>
    </w:p>
    <w:p w14:paraId="57C83B7A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должен обеспечивать работу в составе системы Lorentz совместно с процессорным модулем IGAS LCP / LCP2116. Передача измеренных, расчетных, диагностических и осциллографических данных должна выполняться в объеме, предусмотренном аппаратной ревизией, встроенным программным обеспечением и эксплуатационной документацией.</w:t>
      </w:r>
    </w:p>
    <w:p w14:paraId="379E907C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должен обеспечивать обмен данными по Modbus RTU в объеме, предусмотренном встроенным программным обеспечением и картой регистров. Возможность обмена по Modbus TCP / Ethernet допускается только при наличии соответствующей аппаратной и программной реализации и должна определяться эксплуатационной документацией конкретного исполнения.</w:t>
      </w:r>
    </w:p>
    <w:p w14:paraId="5919C4BB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lastRenderedPageBreak/>
        <w:t>Питание, обмен данными, сохранение расчетных данных и управление модулем должны осуществляться через интерфейсы и средства, предусмотренные конструкторской и эксплуатационной документацией.</w:t>
      </w:r>
    </w:p>
    <w:p w14:paraId="4C9D120C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должен быть адресным устройством в сети и должен обеспечивать возможность назначения уникального адреса в составе системы.</w:t>
      </w:r>
    </w:p>
    <w:p w14:paraId="40CA4794" w14:textId="192A747B" w:rsidR="0081149D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В составе модуля должны быть предусмотрены измерительные входы и интерфейсы, необходимые для контроля высоковольтного выключателя, включая входы контроля фазных токов, входы контроля конечных положений, входы контроля токов электромагнитов включения и отключения и вход датчика температуры.</w:t>
      </w:r>
    </w:p>
    <w:p w14:paraId="0CC357B2" w14:textId="77777777" w:rsidR="000740EC" w:rsidRPr="000740EC" w:rsidRDefault="000740E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</w:p>
    <w:p w14:paraId="1EA3BFBA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2. Практическое назначение Объекта</w:t>
      </w:r>
    </w:p>
    <w:p w14:paraId="157E9DA3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LCT1114 предназначен для применения в составе систем мониторинга, диагностики и автоматизации высоковольтных выключателей.</w:t>
      </w:r>
    </w:p>
    <w:p w14:paraId="35722F29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должен обеспечивать получение, обработку и передачу следующих данных:</w:t>
      </w:r>
    </w:p>
    <w:p w14:paraId="78881387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контроль операций включения и отключения;</w:t>
      </w:r>
    </w:p>
    <w:p w14:paraId="176227DE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контроль конечных положений выключателя;</w:t>
      </w:r>
    </w:p>
    <w:p w14:paraId="2BA03303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контроль токов электромагнитов включения и отключения с определением расчетного / максимального значения тока в момент коммутации;</w:t>
      </w:r>
    </w:p>
    <w:p w14:paraId="3BD1B8E1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измерение фазных токов при коммутациях;</w:t>
      </w:r>
    </w:p>
    <w:p w14:paraId="77AE71D1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формирование данных осциллограмм фазных токов и их передачу в головной модуль LCP или систему верхнего уровня;</w:t>
      </w:r>
    </w:p>
    <w:p w14:paraId="7A515635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хранение осциллограмм фазных токов в кольцевом буфере 3 коммутаций;</w:t>
      </w:r>
    </w:p>
    <w:p w14:paraId="1D65360D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расчет времени операций включения и отключения;</w:t>
      </w:r>
    </w:p>
    <w:p w14:paraId="4ED761DF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расчет времени горения дуги при отключении;</w:t>
      </w:r>
    </w:p>
    <w:p w14:paraId="37D276FD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учет механического ресурса;</w:t>
      </w:r>
    </w:p>
    <w:p w14:paraId="202B8C9F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учет коммутационного и электрического ресурса;</w:t>
      </w:r>
    </w:p>
    <w:p w14:paraId="41BE78E4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диагностику неполнофазных / незавершенных операций в объеме, предусмотренном встроенным программным обеспечением;</w:t>
      </w:r>
    </w:p>
    <w:p w14:paraId="4330A775" w14:textId="77777777" w:rsidR="0081149D" w:rsidRPr="000740EC" w:rsidRDefault="0081149D" w:rsidP="000740EC">
      <w:pPr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передачу диагностических данных в головной модуль и верхний уровень системы.</w:t>
      </w:r>
    </w:p>
    <w:p w14:paraId="3C950B2C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Осциллограммы токов электромагнитов включения и отключения в текущей версии модуля не сохраняются. По каналам электромагнитов сохраняются и передаются максимальные / расчетные значения токов в момент коммутации.</w:t>
      </w:r>
    </w:p>
    <w:p w14:paraId="3CDA5E64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lastRenderedPageBreak/>
        <w:t>Модуль должен применяться для расширения функциональности системы Lorentz в части контроля технического состояния высоковольтных выключателей и планирования технического обслуживания.</w:t>
      </w:r>
    </w:p>
    <w:p w14:paraId="0CD72A4D" w14:textId="6B76F368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357E7CE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3. Требования к изделию</w:t>
      </w:r>
    </w:p>
    <w:p w14:paraId="508A8059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3.1. Общие данные</w:t>
      </w:r>
    </w:p>
    <w:p w14:paraId="3FA144C5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Конструкция модуля должна обеспечивать устойчивость к воздействию климатических и механических факторов в пределах условий эксплуатации, указанных в настоящем ТЗ и эксплуатационной документации.</w:t>
      </w:r>
    </w:p>
    <w:p w14:paraId="28D8173A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Монтаж модуля должен осуществляться на стандартную DIN-рейку. Установка модуля должна выполняться в шкафах управления и мониторинга.</w:t>
      </w:r>
    </w:p>
    <w:p w14:paraId="04FFE7DD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Конструкция модуля должна предусматривать возможность демонтажа и замены без применения специального инструмента.</w:t>
      </w:r>
    </w:p>
    <w:p w14:paraId="686EA9F4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должен иметь съемные или технологически удобные разъемы / клеммники для подключения внешних цепей в объеме, предусмотренном конструкторской документацией.</w:t>
      </w:r>
    </w:p>
    <w:p w14:paraId="787AD6F8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должен быть ремонтопригодным в условиях предприятия-изготовителя.</w:t>
      </w:r>
    </w:p>
    <w:p w14:paraId="1B95E66D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Питание модуля должно быть защищено от неправильного подключения и аварийных режимов в объеме, предусмотренном схемотехническим решением.</w:t>
      </w:r>
    </w:p>
    <w:p w14:paraId="60B5A0AA" w14:textId="77777777" w:rsidR="0081149D" w:rsidRPr="000740EC" w:rsidRDefault="0081149D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</w:pPr>
      <w:r w:rsidRPr="000740EC">
        <w:rPr>
          <w:rFonts w:ascii="Proxima Nova Lt" w:eastAsia="Times New Roman" w:hAnsi="Proxima Nova Lt" w:cs="Times New Roman"/>
          <w:color w:val="auto"/>
          <w:szCs w:val="24"/>
          <w:bdr w:val="none" w:sz="0" w:space="0" w:color="auto"/>
        </w:rPr>
        <w:t>Модуль должен иметь светодиодную индикацию состояния питания, связи с головным модулем, обработки данных и исправности модуля в объеме, предусмотренном аппаратной реализацией.</w:t>
      </w:r>
    </w:p>
    <w:p w14:paraId="2089F105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51CA501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3.2. Основные технические характеристики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5558"/>
      </w:tblGrid>
      <w:tr w:rsidR="00FA51A3" w:rsidRPr="000740EC" w14:paraId="7E277CF4" w14:textId="77777777" w:rsidTr="00FA51A3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F75A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Наименование характеристики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20FDE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Значение</w:t>
            </w:r>
          </w:p>
        </w:tc>
      </w:tr>
      <w:tr w:rsidR="00FA51A3" w:rsidRPr="000740EC" w14:paraId="74F5E37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19D84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Наименование изделия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4BAF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LCT1114</w:t>
            </w:r>
          </w:p>
        </w:tc>
      </w:tr>
      <w:tr w:rsidR="00FA51A3" w:rsidRPr="000740EC" w14:paraId="19A4030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4DDA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lastRenderedPageBreak/>
              <w:t>Назначение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7D570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модуль учета коммутационного ресурса высоковольтного выключателя</w:t>
            </w:r>
          </w:p>
        </w:tc>
      </w:tr>
      <w:tr w:rsidR="00FA51A3" w:rsidRPr="000740EC" w14:paraId="1E5193D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4049F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Линейка изделий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217A2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Lorentz</w:t>
            </w:r>
          </w:p>
        </w:tc>
      </w:tr>
      <w:tr w:rsidR="00FA51A3" w:rsidRPr="000740EC" w14:paraId="7B46CF58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09D55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Монтаж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088A4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 DIN-рейку</w:t>
            </w:r>
          </w:p>
        </w:tc>
      </w:tr>
      <w:tr w:rsidR="00FA51A3" w:rsidRPr="000740EC" w14:paraId="75597E2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D6604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Корпус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F9BD1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пластиковый, для установки в шкаф управления</w:t>
            </w:r>
          </w:p>
        </w:tc>
      </w:tr>
      <w:tr w:rsidR="00FA51A3" w:rsidRPr="000740EC" w14:paraId="7CCEBA6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48DD0F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Степень защиты корпуса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541E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IP20</w:t>
            </w:r>
          </w:p>
        </w:tc>
      </w:tr>
      <w:tr w:rsidR="00FA51A3" w:rsidRPr="000740EC" w14:paraId="766CC393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2AA3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Электрическое питание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89F87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24 В постоянного тока</w:t>
            </w:r>
          </w:p>
        </w:tc>
      </w:tr>
      <w:tr w:rsidR="00FA51A3" w:rsidRPr="000740EC" w14:paraId="3875FBF0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7CDD2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Ток потребления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FCF0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не более 100 мА</w:t>
            </w:r>
          </w:p>
        </w:tc>
      </w:tr>
      <w:tr w:rsidR="00FA51A3" w:rsidRPr="000740EC" w14:paraId="27EF2AD4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EE91A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Интерфейс связи с головным модулем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145C9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X2X</w:t>
            </w:r>
          </w:p>
        </w:tc>
      </w:tr>
      <w:tr w:rsidR="00FA51A3" w:rsidRPr="000740EC" w14:paraId="6750900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AD5C5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Самостоятельный режим обмена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7965F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Modbus RTU / Modbus TCP</w:t>
            </w:r>
          </w:p>
        </w:tc>
      </w:tr>
      <w:tr w:rsidR="00FA51A3" w:rsidRPr="000740EC" w14:paraId="0D8A459A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159DF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Интерфейс RS-485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17BE1" w14:textId="6B25EA32" w:rsidR="00FA51A3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Х2Х</w:t>
            </w:r>
          </w:p>
        </w:tc>
      </w:tr>
      <w:tr w:rsidR="00FA51A3" w:rsidRPr="000740EC" w14:paraId="23491C14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CD6C7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Интерфейс Ethernet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83BC0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RJ45, предусмотрен</w:t>
            </w:r>
          </w:p>
        </w:tc>
      </w:tr>
      <w:tr w:rsidR="00FA51A3" w:rsidRPr="000740EC" w14:paraId="74644AEF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6F153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Назначение Ethernet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4D09F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обмен с верхним уровнем и доступ к расчетным, диагностическим и сервисным данным в объеме, предусмотренном ПО и документацией</w:t>
            </w:r>
          </w:p>
        </w:tc>
      </w:tr>
      <w:tr w:rsidR="00FA51A3" w:rsidRPr="000740EC" w14:paraId="354083B4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BB799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Расстояние до процессорного модуля 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LCP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2116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F3D53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до 100 м при соблюдении требований к линии связи, монтажу и эксплуатационной документации</w:t>
            </w:r>
          </w:p>
        </w:tc>
      </w:tr>
      <w:tr w:rsidR="00FA51A3" w:rsidRPr="000740EC" w14:paraId="4919C7C7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94F1C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Количество входов трансформаторов тока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C99ED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3</w:t>
            </w:r>
          </w:p>
        </w:tc>
      </w:tr>
      <w:tr w:rsidR="00FA51A3" w:rsidRPr="000740EC" w14:paraId="1996059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1FD59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Максимальный измеряемый ток по входам трансформаторов тока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13A4A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до 60 А</w:t>
            </w:r>
          </w:p>
        </w:tc>
      </w:tr>
      <w:tr w:rsidR="00FA51A3" w:rsidRPr="000740EC" w14:paraId="700AB8EA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07FF7" w14:textId="0C110190" w:rsidR="00FA51A3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lastRenderedPageBreak/>
              <w:t>Дискретность</w:t>
            </w:r>
            <w:r w:rsidR="00FA51A3"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 xml:space="preserve"> замера тока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9FCF9" w14:textId="27E1EA66" w:rsidR="00FA51A3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hAnsi="Proxima Nova Lt"/>
              </w:rPr>
              <w:t>в соответствии с программной документацией и настройками встроенного ПО</w:t>
            </w:r>
          </w:p>
        </w:tc>
      </w:tr>
      <w:tr w:rsidR="00FA51A3" w:rsidRPr="000740EC" w14:paraId="28E4020E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4EEC1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Количество дискретных входов контроля конечных положений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844C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6</w:t>
            </w:r>
          </w:p>
        </w:tc>
      </w:tr>
      <w:tr w:rsidR="00FA51A3" w:rsidRPr="000740EC" w14:paraId="70EFB27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928D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Уровни дискретных входов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5FF4C" w14:textId="0375979B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220 В DC</w:t>
            </w:r>
            <w:r w:rsidR="0081149D"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 </w:t>
            </w:r>
          </w:p>
        </w:tc>
      </w:tr>
      <w:tr w:rsidR="00FA51A3" w:rsidRPr="000740EC" w14:paraId="6BF71958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D7CD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Количество входов для выносных датчиков контроля тока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BB54C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9</w:t>
            </w:r>
          </w:p>
        </w:tc>
      </w:tr>
      <w:tr w:rsidR="00FA51A3" w:rsidRPr="000740EC" w14:paraId="259A6483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4450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Разрешение входов выносных датчиков контроля тока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8BAFE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12 бит</w:t>
            </w:r>
          </w:p>
        </w:tc>
      </w:tr>
      <w:tr w:rsidR="00FA51A3" w:rsidRPr="000740EC" w14:paraId="7B611E82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ECA73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Частота опроса входов выносных датчиков контроля тока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9593B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до 5 кГц</w:t>
            </w:r>
          </w:p>
        </w:tc>
      </w:tr>
      <w:tr w:rsidR="0081149D" w:rsidRPr="000740EC" w14:paraId="4B0DBA3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217EF9" w14:textId="1D85957C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hAnsi="Proxima Nova Lt"/>
              </w:rPr>
              <w:t>Передаваемые значения токов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0E428" w14:textId="1992263F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hAnsi="Proxima Nova Lt"/>
              </w:rPr>
              <w:t>расчетные / максимальные значения по каналам включения и отключения</w:t>
            </w:r>
          </w:p>
        </w:tc>
      </w:tr>
      <w:tr w:rsidR="0081149D" w:rsidRPr="000740EC" w14:paraId="06B28B35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697F71" w14:textId="602E9957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hAnsi="Proxima Nova Lt"/>
              </w:rPr>
            </w:pPr>
            <w:r w:rsidRPr="000740EC">
              <w:rPr>
                <w:rFonts w:ascii="Proxima Nova Lt" w:hAnsi="Proxima Nova Lt"/>
              </w:rPr>
              <w:t>Осциллограммы токов электромагнитов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4AF554" w14:textId="7F93B367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hAnsi="Proxima Nova Lt"/>
              </w:rPr>
            </w:pPr>
            <w:r w:rsidRPr="000740EC">
              <w:rPr>
                <w:rFonts w:ascii="Proxima Nova Lt" w:hAnsi="Proxima Nova Lt"/>
              </w:rPr>
              <w:t>не сохраняются</w:t>
            </w:r>
          </w:p>
        </w:tc>
      </w:tr>
      <w:tr w:rsidR="00FA51A3" w:rsidRPr="000740EC" w14:paraId="21BD9983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C634D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Вход датчика температуры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A676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1 вход</w:t>
            </w:r>
          </w:p>
        </w:tc>
      </w:tr>
      <w:tr w:rsidR="00FA51A3" w:rsidRPr="000740EC" w14:paraId="44AF788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6E7D2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Тип подключаемого датчика температуры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823BA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PT100</w:t>
            </w:r>
          </w:p>
        </w:tc>
      </w:tr>
      <w:tr w:rsidR="0081149D" w:rsidRPr="000740EC" w14:paraId="496AB7D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5F12AC" w14:textId="2801E8AC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hAnsi="Proxima Nova Lt"/>
              </w:rPr>
              <w:t>Хранение расчетных данных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149D" w:rsidRPr="000740EC" w14:paraId="5BCC816E" w14:textId="77777777" w:rsidTr="008114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7AB89" w14:textId="77777777" w:rsidR="0081149D" w:rsidRPr="000740EC" w:rsidRDefault="0081149D" w:rsidP="000740E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after="0"/>
                    <w:ind w:left="0"/>
                    <w:jc w:val="both"/>
                    <w:rPr>
                      <w:rFonts w:ascii="Proxima Nova Lt" w:eastAsia="Times New Roman" w:hAnsi="Proxima Nova Lt" w:cs="Times New Roman"/>
                      <w:color w:val="auto"/>
                      <w:szCs w:val="20"/>
                      <w:bdr w:val="none" w:sz="0" w:space="0" w:color="auto"/>
                    </w:rPr>
                  </w:pPr>
                </w:p>
              </w:tc>
            </w:tr>
          </w:tbl>
          <w:p w14:paraId="4F8E50EC" w14:textId="77777777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left="0"/>
              <w:jc w:val="both"/>
              <w:rPr>
                <w:rFonts w:ascii="Proxima Nova Lt" w:eastAsia="Times New Roman" w:hAnsi="Proxima Nova Lt" w:cs="Times New Roman"/>
                <w:vanish/>
                <w:color w:val="auto"/>
                <w:szCs w:val="24"/>
                <w:bdr w:val="none" w:sz="0" w:space="0" w:color="aut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68"/>
            </w:tblGrid>
            <w:tr w:rsidR="0081149D" w:rsidRPr="000740EC" w14:paraId="5A8110E0" w14:textId="77777777" w:rsidTr="0081149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34028" w14:textId="77777777" w:rsidR="0081149D" w:rsidRPr="000740EC" w:rsidRDefault="0081149D" w:rsidP="000740EC"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after="0"/>
                    <w:ind w:left="0"/>
                    <w:jc w:val="both"/>
                    <w:rPr>
                      <w:rFonts w:ascii="Proxima Nova Lt" w:eastAsia="Times New Roman" w:hAnsi="Proxima Nova Lt" w:cs="Times New Roman"/>
                      <w:color w:val="auto"/>
                      <w:szCs w:val="24"/>
                      <w:bdr w:val="none" w:sz="0" w:space="0" w:color="auto"/>
                      <w:lang w:eastAsia="en-US"/>
                    </w:rPr>
                  </w:pPr>
                  <w:r w:rsidRPr="000740EC">
                    <w:rPr>
                      <w:rFonts w:ascii="Proxima Nova Lt" w:eastAsia="Times New Roman" w:hAnsi="Proxima Nova Lt" w:cs="Times New Roman"/>
                      <w:color w:val="auto"/>
                      <w:szCs w:val="24"/>
                      <w:bdr w:val="none" w:sz="0" w:space="0" w:color="auto"/>
                      <w:lang w:eastAsia="en-US"/>
                    </w:rPr>
                    <w:t>в энергонезависимой памяти модуля в объеме, предусмотренном программной документацией</w:t>
                  </w:r>
                </w:p>
              </w:tc>
            </w:tr>
          </w:tbl>
          <w:p w14:paraId="385C5662" w14:textId="77777777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</w:p>
        </w:tc>
      </w:tr>
      <w:tr w:rsidR="0081149D" w:rsidRPr="000740EC" w14:paraId="662E0CCA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CFD5B" w14:textId="67FB3948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hAnsi="Proxima Nova Lt"/>
              </w:rPr>
            </w:pPr>
            <w:r w:rsidRPr="000740EC">
              <w:rPr>
                <w:rFonts w:ascii="Proxima Nova Lt" w:hAnsi="Proxima Nova Lt"/>
              </w:rPr>
              <w:t>Хранение осциллограмм фазных токов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0489A" w14:textId="7FBB0E45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0"/>
                <w:bdr w:val="none" w:sz="0" w:space="0" w:color="auto"/>
                <w:lang w:val="en-US"/>
              </w:rPr>
            </w:pPr>
            <w:r w:rsidRPr="000740EC">
              <w:rPr>
                <w:rFonts w:ascii="Proxima Nova Lt" w:hAnsi="Proxima Nova Lt"/>
              </w:rPr>
              <w:t xml:space="preserve">кольцевой буфер 3 коммутаций </w:t>
            </w:r>
            <w:r w:rsidRPr="000740EC">
              <w:rPr>
                <w:rFonts w:ascii="Proxima Nova Lt" w:hAnsi="Proxima Nova Lt"/>
                <w:lang w:val="de-DE"/>
              </w:rPr>
              <w:t>FRAM</w:t>
            </w:r>
          </w:p>
        </w:tc>
      </w:tr>
      <w:tr w:rsidR="0081149D" w:rsidRPr="000740EC" w14:paraId="729A47FB" w14:textId="77777777" w:rsidTr="0081149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EC6DB" w14:textId="7393CEFE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lastRenderedPageBreak/>
              <w:t xml:space="preserve"> 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Погрешность измерения тока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0F78CE" w14:textId="0964F0FE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в соответствии с эксплуатационной документацией</w:t>
            </w:r>
          </w:p>
        </w:tc>
      </w:tr>
      <w:tr w:rsidR="0081149D" w:rsidRPr="000740EC" w14:paraId="3E3A9F75" w14:textId="77777777" w:rsidTr="0081149D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C85D86" w14:textId="7A61A567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Габаритные размеры, В×Ш×Г, мм, не более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8A263" w14:textId="74381F03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118×45×126</w:t>
            </w:r>
          </w:p>
        </w:tc>
      </w:tr>
      <w:tr w:rsidR="0081149D" w:rsidRPr="000740EC" w14:paraId="3EEB6739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43021" w14:textId="3C879DDC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Средняя наработка на отказ, не менее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76005" w14:textId="10915881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24 000 ч</w:t>
            </w:r>
          </w:p>
        </w:tc>
      </w:tr>
      <w:tr w:rsidR="0081149D" w:rsidRPr="000740EC" w14:paraId="01F4CA01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3D384" w14:textId="32CB8FB2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Срок службы, не менее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658AE" w14:textId="308CC9A2" w:rsidR="0081149D" w:rsidRPr="000740EC" w:rsidRDefault="0081149D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 w:hanging="16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10 лет</w:t>
            </w:r>
          </w:p>
        </w:tc>
      </w:tr>
    </w:tbl>
    <w:p w14:paraId="77E6B27A" w14:textId="77777777" w:rsidR="000740EC" w:rsidRDefault="000740E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hAnsi="Proxima Nova Lt"/>
        </w:rPr>
      </w:pPr>
    </w:p>
    <w:p w14:paraId="3248CD11" w14:textId="3D08064E" w:rsidR="00FA51A3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hAnsi="Proxima Nova Lt"/>
        </w:rPr>
      </w:pPr>
      <w:r w:rsidRPr="000740EC">
        <w:rPr>
          <w:rFonts w:ascii="Proxima Nova Lt" w:hAnsi="Proxima Nova Lt"/>
        </w:rPr>
        <w:t>Технические характеристики, зависящие от аппаратной версии модуля, должны определяться документацией соответствующей версии. Для текущей версии модуля реализовано хранение осциллограмм фазных токов в кольцевом буфере 3 коммутаций. Данные осциллограмм должны передаваться в головной модуль LCP, систему верхнего уровня или внешнее программное обеспечение в объеме, предусмотренном программной документацией.</w:t>
      </w:r>
    </w:p>
    <w:p w14:paraId="7D491868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33EEAD0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3.3. Условия эксплуатации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7"/>
        <w:gridCol w:w="4643"/>
      </w:tblGrid>
      <w:tr w:rsidR="00FA51A3" w:rsidRPr="000740EC" w14:paraId="29E79FD3" w14:textId="77777777" w:rsidTr="00FA51A3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15F0D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Наименование параметра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870AF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b/>
                <w:bCs/>
                <w:color w:val="auto"/>
                <w:szCs w:val="24"/>
                <w:bdr w:val="none" w:sz="0" w:space="0" w:color="auto"/>
                <w:lang w:val="en-US" w:eastAsia="en-US"/>
              </w:rPr>
              <w:t>Значение</w:t>
            </w:r>
          </w:p>
        </w:tc>
      </w:tr>
      <w:tr w:rsidR="00FA51A3" w:rsidRPr="000740EC" w14:paraId="22240C5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B289C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Рабочее положение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1C30A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горизонтальное или вертикальное</w:t>
            </w:r>
          </w:p>
        </w:tc>
      </w:tr>
      <w:tr w:rsidR="00FA51A3" w:rsidRPr="000740EC" w14:paraId="30CCB43B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AE1F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Температура окружающей среды при эксплуатации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B9194" w14:textId="44F570DE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от -25 °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 до +50 °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, без конденсации</w:t>
            </w:r>
          </w:p>
        </w:tc>
      </w:tr>
      <w:tr w:rsidR="00FA51A3" w:rsidRPr="000740EC" w14:paraId="4689499D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B10A1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Температура хранения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9B81E" w14:textId="23C90195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от -40 °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 xml:space="preserve"> до +85 °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, без конденсации</w:t>
            </w:r>
          </w:p>
        </w:tc>
      </w:tr>
      <w:tr w:rsidR="00FA51A3" w:rsidRPr="000740EC" w14:paraId="33ADDA9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9E966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Относительная влажность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BADF9" w14:textId="510EAF6D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до 98 % при температуре +25 °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C</w:t>
            </w: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eastAsia="en-US"/>
              </w:rPr>
              <w:t>, без конденсации</w:t>
            </w:r>
          </w:p>
        </w:tc>
      </w:tr>
      <w:tr w:rsidR="00FA51A3" w:rsidRPr="000740EC" w14:paraId="13EC8DFC" w14:textId="77777777" w:rsidTr="00FA51A3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87282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Атмосферное давление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DA4EA" w14:textId="77777777" w:rsidR="00FA51A3" w:rsidRPr="000740EC" w:rsidRDefault="00FA51A3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</w:pPr>
            <w:r w:rsidRPr="000740EC">
              <w:rPr>
                <w:rFonts w:ascii="Proxima Nova Lt" w:eastAsia="Times New Roman" w:hAnsi="Proxima Nova Lt" w:cs="Times New Roman"/>
                <w:color w:val="auto"/>
                <w:szCs w:val="24"/>
                <w:bdr w:val="none" w:sz="0" w:space="0" w:color="auto"/>
                <w:lang w:val="en-US" w:eastAsia="en-US"/>
              </w:rPr>
              <w:t>от 90,6 до 107 кПа</w:t>
            </w:r>
          </w:p>
        </w:tc>
      </w:tr>
    </w:tbl>
    <w:p w14:paraId="07A9F6FF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</w:p>
    <w:p w14:paraId="750FC274" w14:textId="4EDCCCCF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3.4. Требования к устойчивости при транспортировании</w:t>
      </w:r>
    </w:p>
    <w:p w14:paraId="78A3C809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Модуль 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LCT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1114 в транспортной таре должен быть устойчив к воздействию:</w:t>
      </w:r>
    </w:p>
    <w:p w14:paraId="3E3DF0B0" w14:textId="77777777" w:rsidR="00FA51A3" w:rsidRPr="000740EC" w:rsidRDefault="00FA51A3" w:rsidP="000740EC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температуры окружающей среды в диапазоне от минус 20 °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C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до плюс 40 °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C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;</w:t>
      </w:r>
    </w:p>
    <w:p w14:paraId="69476DAC" w14:textId="77777777" w:rsidR="00FA51A3" w:rsidRPr="000740EC" w:rsidRDefault="00FA51A3" w:rsidP="000740EC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относительной влажности воздуха до 98 % при температуре 25 °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C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без конденсации влаги;</w:t>
      </w:r>
    </w:p>
    <w:p w14:paraId="7447423D" w14:textId="77777777" w:rsidR="00FA51A3" w:rsidRPr="000740EC" w:rsidRDefault="00FA51A3" w:rsidP="000740EC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транспортной вибрации и тряски с ускорением до 30 м/с² при частоте ударов от 80 до 120 в минуту.</w:t>
      </w:r>
    </w:p>
    <w:p w14:paraId="6CC5076F" w14:textId="1E75474A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5DBB0F1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 Функциональные требования</w:t>
      </w:r>
    </w:p>
    <w:p w14:paraId="6C3F5A4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4.1. Контроль фазных токов и коммутационного процесса</w:t>
      </w:r>
    </w:p>
    <w:p w14:paraId="3557B503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подключение трех входов контроля фазных токов выключателя.</w:t>
      </w:r>
    </w:p>
    <w:p w14:paraId="00C80ED5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регистрацию формы фазных токов во время операций выключателя в объеме, предусмотренном встроенным программным обеспечением.</w:t>
      </w:r>
    </w:p>
    <w:p w14:paraId="15EDB395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хранение осциллограмм фазных токов в кольцевом буфере 3 коммутаций.</w:t>
      </w:r>
    </w:p>
    <w:p w14:paraId="5B0F296E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определение времени горения дуги при отключении полюсов выключателя в пределах, предусмотренных алгоритмами встроенного программного обеспечения.</w:t>
      </w:r>
    </w:p>
    <w:p w14:paraId="6FB53F2E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коммутационного износа контактов и учет израсходованного коммутационного ресурса на основании измеренных токов и временных параметров коммутации.</w:t>
      </w:r>
    </w:p>
    <w:p w14:paraId="1745C48B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Данные осциллограмм фазных токов должны передаваться в головной модуль LCP, систему верхнего уровня или внешнее программное обеспечение для хранения, последующей выгрузки и обработки в объеме, предусмотренном программным обеспечением и эксплуатационной документацией.</w:t>
      </w:r>
    </w:p>
    <w:p w14:paraId="77C407D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201013D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4.2. Контроль конечных положений выключателя</w:t>
      </w:r>
    </w:p>
    <w:p w14:paraId="29E53C01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подключение дискретных сигналов контроля конечных положений выключателя.</w:t>
      </w:r>
    </w:p>
    <w:p w14:paraId="5A3BB725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определение состояния выключателя по сигналам конечных положений.</w:t>
      </w:r>
    </w:p>
    <w:p w14:paraId="3FEDFCE7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контроль корректности сигналов конечных положений в объеме, предусмотренном встроенным программным обеспечением, включая выявление ошибок фаз, неполнофазного переключения и конфликтных состояний входов.</w:t>
      </w:r>
    </w:p>
    <w:p w14:paraId="0EBDDF10" w14:textId="6859F1D9" w:rsidR="00FA51A3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программное подавление дребезга входных сигналов в пределах, задаваемых параметрами настройки.</w:t>
      </w:r>
    </w:p>
    <w:p w14:paraId="48F27A17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2523126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4.3. Контроль токов электромагнитов включения и отключения</w:t>
      </w:r>
    </w:p>
    <w:p w14:paraId="0F1E31FA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подключение выносных датчиков токов электромагнитов включения и отключения в объеме, предусмотренном аппаратной конфигурацией.</w:t>
      </w:r>
    </w:p>
    <w:p w14:paraId="146FFBF2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измерение токов электромагнитов включения и отключения в момент коммутации в объеме, предусмотренном аппаратной ревизией, встроенным программным обеспечением и эксплуатационной документацией.</w:t>
      </w:r>
    </w:p>
    <w:p w14:paraId="27212844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определение максимального / расчетного значения тока по каналам электромагнитов включения и отключения в момент коммутации, сохранение рассчитанных значений в памяти модуля и передачу этих значений в головной модуль или систему верхнего уровня.</w:t>
      </w:r>
    </w:p>
    <w:p w14:paraId="3E1278C4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Осциллограммы формы токов электромагнитов включения и отключения в текущей версии модуля не сохраняются и не передаются.</w:t>
      </w:r>
    </w:p>
    <w:p w14:paraId="65AFDCA7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Состав сохраняемых и передаваемых расчетных данных по каналам электромагнитов включения и отключения должен определяться программной документацией, эксплуатационной документацией и Приложением № 1 к настоящему ТЗ.</w:t>
      </w:r>
    </w:p>
    <w:p w14:paraId="2DF1FC5C" w14:textId="5D9FF1AA" w:rsidR="00A7614B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5C06ECCF" w14:textId="77777777" w:rsidR="000740EC" w:rsidRPr="000740EC" w:rsidRDefault="000740E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3734FDDD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4.4. Контроль температуры</w:t>
      </w:r>
    </w:p>
    <w:p w14:paraId="74EAD702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подключение термосопротивления PT100 для контроля температуры окружающей среды или зоны установки выключателя.</w:t>
      </w:r>
    </w:p>
    <w:p w14:paraId="7047605C" w14:textId="10B7AA2D" w:rsidR="00BB39B7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Измеренная температура должна использоваться для отображения и передачи в головной модуль в объеме, предусмотренном программной документацией.</w:t>
      </w:r>
    </w:p>
    <w:p w14:paraId="7108462E" w14:textId="77777777" w:rsidR="000740EC" w:rsidRPr="000740EC" w:rsidRDefault="000740E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24D181A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4.5. Контроль времени операции</w:t>
      </w:r>
    </w:p>
    <w:p w14:paraId="190ADDF3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измерение времени операций включения и отключения выключателя.</w:t>
      </w:r>
    </w:p>
    <w:p w14:paraId="50F1748A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Начало операции должно определяться по событию, формируемому по каналу включения / отключения или по устойчивому изменению соответствующего сигнала конечного положения, в соответствии с настройками и программной документацией.</w:t>
      </w:r>
    </w:p>
    <w:p w14:paraId="5A10B3FD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времени достижения целевого конечного положения.</w:t>
      </w:r>
    </w:p>
    <w:p w14:paraId="4DD5D34A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Для исполнений с пофазным контролем модуль должен обеспечивать расчет времени достижения целевого положения по фазам.</w:t>
      </w:r>
    </w:p>
    <w:p w14:paraId="1F17AAAE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сравнение рассчитанных временных параметров с уставками и формирование статусов:</w:t>
      </w:r>
    </w:p>
    <w:p w14:paraId="69FBA528" w14:textId="77777777" w:rsidR="00BB39B7" w:rsidRPr="000740EC" w:rsidRDefault="00BB39B7" w:rsidP="000740EC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норма;</w:t>
      </w:r>
    </w:p>
    <w:p w14:paraId="75FBE876" w14:textId="77777777" w:rsidR="00BB39B7" w:rsidRPr="000740EC" w:rsidRDefault="00BB39B7" w:rsidP="000740EC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предупреждение;</w:t>
      </w:r>
    </w:p>
    <w:p w14:paraId="5C11FD83" w14:textId="77777777" w:rsidR="00BB39B7" w:rsidRPr="000740EC" w:rsidRDefault="00BB39B7" w:rsidP="000740EC">
      <w:pPr>
        <w:numPr>
          <w:ilvl w:val="0"/>
          <w:numId w:val="1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авария.</w:t>
      </w:r>
    </w:p>
    <w:p w14:paraId="25011A86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</w:p>
    <w:p w14:paraId="21CBAC7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val="en-US" w:eastAsia="en-US"/>
        </w:rPr>
        <w:t>4.6. Контроль разновременности фаз</w:t>
      </w:r>
    </w:p>
    <w:p w14:paraId="541EE93E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Для трехфазного исполнения модуль должен обеспечивать передачу временных параметров операций по фазам.</w:t>
      </w:r>
    </w:p>
    <w:p w14:paraId="72A7D0DB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Разновременность фаз должна определяться как разница между максимальным и минимальным временем достижения целевого положения по фазам.</w:t>
      </w:r>
    </w:p>
    <w:p w14:paraId="5948A75C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5E56C91A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4.7. Диагностика незавершенных операций и механических аномалий</w:t>
      </w:r>
    </w:p>
    <w:p w14:paraId="42856192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выявление следующих состояний в объеме, предусмотренном алгоритмами встроенного программного обеспечения:</w:t>
      </w:r>
    </w:p>
    <w:p w14:paraId="2DAAA7D9" w14:textId="77777777" w:rsidR="00BB39B7" w:rsidRPr="000740EC" w:rsidRDefault="00BB39B7" w:rsidP="000740EC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недостижение целевого конечного положения;</w:t>
      </w:r>
    </w:p>
    <w:p w14:paraId="06F5F37F" w14:textId="77777777" w:rsidR="00BB39B7" w:rsidRPr="000740EC" w:rsidRDefault="00BB39B7" w:rsidP="000740EC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незавершенная операция;</w:t>
      </w:r>
    </w:p>
    <w:p w14:paraId="248B0370" w14:textId="77777777" w:rsidR="00BB39B7" w:rsidRPr="000740EC" w:rsidRDefault="00BB39B7" w:rsidP="000740EC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неполнофазное переключение;</w:t>
      </w:r>
    </w:p>
    <w:p w14:paraId="69110FF0" w14:textId="77777777" w:rsidR="00BB39B7" w:rsidRPr="000740EC" w:rsidRDefault="00BB39B7" w:rsidP="000740EC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нестабильность или дребезг сигналов конечных положений.</w:t>
      </w:r>
    </w:p>
    <w:p w14:paraId="3D5DB3C0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185F86E0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4.8. Расчет механического ресурса</w:t>
      </w:r>
    </w:p>
    <w:p w14:paraId="2D892F84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учет количества операций включения и отключения выключателя.</w:t>
      </w:r>
    </w:p>
    <w:p w14:paraId="02F09F24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израсходованного механического ресурса на основании накопленного количества операций и заданного паспортного ресурса выключателя.</w:t>
      </w:r>
    </w:p>
    <w:p w14:paraId="6415E6CB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Для исполнений с пофазным контролем учет операций и расчет ресурса должны выполняться по фазам или агрегированно в соответствии с настройками и программной документацией.</w:t>
      </w:r>
    </w:p>
    <w:p w14:paraId="3743D4DD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Счетчики ресурса должны сохраняться в энергонезависимой памяти в объеме, предусмотренном программной документацией.</w:t>
      </w:r>
    </w:p>
    <w:p w14:paraId="0DAC1684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6E244ADF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4.9. Учет электрического и коммутационного ресурса</w:t>
      </w:r>
    </w:p>
    <w:p w14:paraId="69F53489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регистрацию данных, необходимых для учета электрического и коммутационного ресурса выключателя.</w:t>
      </w:r>
    </w:p>
    <w:p w14:paraId="7EED56FD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учет израсходованного электрического и коммутационного ресурса в объеме, предусмотренном встроенным программным обеспечением, настройками и эксплуатационной документацией.</w:t>
      </w:r>
    </w:p>
    <w:p w14:paraId="722F2556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расчет электрического ресурса последнего отключения по фазам и общего накопленного электрического ресурса по фазам.</w:t>
      </w:r>
    </w:p>
    <w:p w14:paraId="15B85725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Модуль должен обеспечивать формирование предупредительных и аварийных статусов при достижении заданных порогов израсходованного ресурса, если такие пороги предусмотрены настройками и программным обеспечением.</w:t>
      </w:r>
    </w:p>
    <w:p w14:paraId="5BF3E681" w14:textId="77777777" w:rsidR="00BB39B7" w:rsidRPr="000740EC" w:rsidRDefault="00BB39B7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Данные, необходимые для последующей обработки переходных процессов, должны передаваться в головной модуль или систему верхнего уровня в объеме, предусмотренном программным обеспечением и эксплуатационной документацией.</w:t>
      </w:r>
    </w:p>
    <w:p w14:paraId="7BF73213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3FB5999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4.10. Передача данных и взаимодействие с системой</w:t>
      </w:r>
    </w:p>
    <w:p w14:paraId="7B359091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передачу измеренных, расчетных и диагностических данных в головной модуль системы Lorentz через X2X.</w:t>
      </w:r>
    </w:p>
    <w:p w14:paraId="50F7F825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обмен по Modbus RTU в объеме, предусмотренном аппаратной ревизией, встроенным программным обеспечением и эксплуатационной документацией.</w:t>
      </w:r>
    </w:p>
    <w:p w14:paraId="53F78BD1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Обмен по Modbus TCP / Ethernet допускается только при наличии соответствующей аппаратной и программной реализации и должен определяться эксплуатационной документацией конкретной версии.</w:t>
      </w:r>
    </w:p>
    <w:p w14:paraId="5ABBABBD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Состав передаваемых параметров, адресация, форматы данных, параметры обмена и состав диагностических флагов должны определяться описанием протокола обмена, встроенным программным обеспечением и эксплуатационной документацией.</w:t>
      </w:r>
    </w:p>
    <w:p w14:paraId="6CB85131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Описание обмена по Modbus RTU и, при наличии реализации, Modbus TCP должно входить в комплект передаваемой документации, указанный в Приложении № 1 к настоящему ТЗ.</w:t>
      </w:r>
    </w:p>
    <w:p w14:paraId="760FB557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формирование данных осциллограмм фазных токов и передачу этих данных в головной модуль LCP по мере появления и готовности данных.</w:t>
      </w:r>
    </w:p>
    <w:p w14:paraId="53ACC437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В модуле реализован кольцевой буфер осциллограмм фазных токов на 3 коммутации.</w:t>
      </w:r>
    </w:p>
    <w:p w14:paraId="25F04454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Формат передачи осциллографических данных от модуля LCT1114 в головной модуль LCP должен определяться программной документацией и описанием протокола обмена.</w:t>
      </w:r>
    </w:p>
    <w:p w14:paraId="0D7A15E6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Хранение осциллограмм и формирование файлов обменного формата должны выполняться головным модулем LCP, системой верхнего уровня или внешним программным обеспечением в объеме, предусмотренном Приложением № 1 к настоящему ТЗ.</w:t>
      </w:r>
    </w:p>
    <w:p w14:paraId="6E67A4C6" w14:textId="657937A3" w:rsidR="00A7614B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При формировании и передаче осциллографических данных допускается увеличение времени ответа модуля на запрос в пределах, предусмотренных эксплуатационной документацией.</w:t>
      </w:r>
    </w:p>
    <w:p w14:paraId="5EED05C1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4CD863EC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4.11. Индикация и диагностика состояния модуля</w:t>
      </w:r>
    </w:p>
    <w:p w14:paraId="24F2FFF6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иметь светодиодную индикацию:</w:t>
      </w:r>
    </w:p>
    <w:p w14:paraId="19523771" w14:textId="77777777" w:rsidR="00997F0C" w:rsidRPr="000740EC" w:rsidRDefault="00997F0C" w:rsidP="000740EC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питания;</w:t>
      </w:r>
    </w:p>
    <w:p w14:paraId="0225B0F0" w14:textId="77777777" w:rsidR="00997F0C" w:rsidRPr="000740EC" w:rsidRDefault="00997F0C" w:rsidP="000740EC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состояния связи с головным модулем;</w:t>
      </w:r>
    </w:p>
    <w:p w14:paraId="7B019437" w14:textId="77777777" w:rsidR="00997F0C" w:rsidRPr="000740EC" w:rsidRDefault="00997F0C" w:rsidP="000740EC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процесса обработки данных;</w:t>
      </w:r>
    </w:p>
    <w:p w14:paraId="06A0088F" w14:textId="77777777" w:rsidR="00997F0C" w:rsidRPr="000740EC" w:rsidRDefault="00997F0C" w:rsidP="000740EC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исправности модуля.</w:t>
      </w:r>
    </w:p>
    <w:p w14:paraId="447502D5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36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Модуль должен обеспечивать диагностику собственного состояния, состояния связи с головным модулем и состояния обмена с верхним уровнем в объеме, предусмотренном программным обеспечением и эксплуатационной документацией.</w:t>
      </w:r>
    </w:p>
    <w:p w14:paraId="143160DF" w14:textId="4602A7F6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455DF964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5. Выбор технологий реализации</w:t>
      </w:r>
    </w:p>
    <w:p w14:paraId="523472E3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Технологии программирования и алгоритмы работы при создании Объекта определяются и указываются в Приложении № 1 к настоящему ТЗ.</w:t>
      </w:r>
    </w:p>
    <w:p w14:paraId="412859EA" w14:textId="302BAD8A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Алгоритмы расчета временных параметров, ресурса, диагностических флагов, статусов, параметров осциллографирования, хранения расчетных данных, форматов передачи осциллограмм и состава передаваемых данных должны определяться программной документацией, эксплуатационной документацией и описанием протокола обмена.</w:t>
      </w:r>
    </w:p>
    <w:p w14:paraId="440E2B9E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Обработка осциллограмм, долговременное хранение, формирование файлов обменного формата и расширенная математическая обработка данных должны выполняться головным модулем LCP, системой верхнего уровня или внешним программным обеспечением в объеме, предусмотренном Приложением № 1 к настоящему ТЗ.</w:t>
      </w:r>
    </w:p>
    <w:p w14:paraId="6EAC1C6B" w14:textId="77777777" w:rsidR="00997F0C" w:rsidRPr="000740EC" w:rsidRDefault="00997F0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Подробные формулы, перечень внутренних переменных, уставок, диагностических флагов, тест-кейсов и сценариев проверки не включаются в основной текст настоящего ТЗ и должны быть приведены в программной документации, сервисной документации или Приложении № 1 в объеме, согласованном сторонами.</w:t>
      </w:r>
    </w:p>
    <w:p w14:paraId="16DC28A9" w14:textId="6EF262F4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1710951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 Описание этапов разработки</w:t>
      </w:r>
    </w:p>
    <w:p w14:paraId="01EFEC66" w14:textId="36C7B845" w:rsidR="00A7614B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Описание этапов разработки устанавливается и определяется в следующем порядке.</w:t>
      </w:r>
    </w:p>
    <w:p w14:paraId="26F50A68" w14:textId="77777777" w:rsidR="000740EC" w:rsidRPr="000740EC" w:rsidRDefault="000740E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5F84B1E3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6.1. Анализ требований и концептуальное проектирование</w:t>
      </w:r>
    </w:p>
    <w:p w14:paraId="00A93ECA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Сбор и анализ требований к модулю, включая состав входов, интерфейсов, диагностических функций и алгоритмов учета ресурса.</w:t>
      </w:r>
    </w:p>
    <w:p w14:paraId="77DA7F61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Формирование концептуального описания модуля, включая функциональную схему, варианты подключения к выключателю и варианты применения в составе системы 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Lorentz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.</w:t>
      </w:r>
    </w:p>
    <w:p w14:paraId="1455AEB1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Согласование требований с Заказчиком.</w:t>
      </w:r>
    </w:p>
    <w:p w14:paraId="2DE8678D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</w:p>
    <w:p w14:paraId="361B844F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6.2. Эскизное проектирование</w:t>
      </w:r>
    </w:p>
    <w:p w14:paraId="58AF9387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Разработка структурной и принципиальной электрической схемы модуля.</w:t>
      </w:r>
    </w:p>
    <w:p w14:paraId="62BB9129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Предварительный выбор измерительных, интерфейсных и защитных компонентов.</w:t>
      </w:r>
    </w:p>
    <w:p w14:paraId="50BCBA0B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Создание предварительных чертежей и 3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D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-моделей корпуса, печатной платы и сборочных единиц.</w:t>
      </w:r>
    </w:p>
    <w:p w14:paraId="733A2444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Согласование эскизного проекта и 3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D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-моделей с Заказчиком.</w:t>
      </w:r>
    </w:p>
    <w:p w14:paraId="75FA35D9" w14:textId="219CFB5E" w:rsidR="00A7614B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1E6418D9" w14:textId="77777777" w:rsidR="000740EC" w:rsidRPr="000740EC" w:rsidRDefault="000740EC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188E309A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6.3. Разработка рабочего проекта</w:t>
      </w:r>
    </w:p>
    <w:p w14:paraId="21EB4D01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Детализация принципиальной схемы.</w:t>
      </w:r>
    </w:p>
    <w:p w14:paraId="5AF5D6A9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Разработка печатной платы.</w:t>
      </w:r>
    </w:p>
    <w:p w14:paraId="2438ED2F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Подготовка и выпуск сборочных чертежей и конструкторской документации.</w:t>
      </w:r>
    </w:p>
    <w:p w14:paraId="36EFEB1B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Создание спецификации покупных и изготавливаемых компонентов.</w:t>
      </w:r>
    </w:p>
    <w:p w14:paraId="2D1B4C24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Разработка встроенного программного обеспечения модуля.</w:t>
      </w:r>
    </w:p>
    <w:p w14:paraId="0B44D90C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Разработка документации ОТК для сборки и контроля.</w:t>
      </w:r>
    </w:p>
    <w:p w14:paraId="6B475E46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Подготовка документа по настройке и тестированию модуля.</w:t>
      </w:r>
    </w:p>
    <w:p w14:paraId="3FEEA062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60" w:after="100" w:afterAutospacing="1" w:line="276" w:lineRule="auto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</w:p>
    <w:p w14:paraId="2BF8971F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6.4. Изготовление и испытания опытного образца</w:t>
      </w:r>
    </w:p>
    <w:p w14:paraId="7ACA451E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Сборка прототипа модуля.</w:t>
      </w:r>
    </w:p>
    <w:p w14:paraId="3CCA8D54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Первичное тестирование и отладка по документам ОТК.</w:t>
      </w:r>
    </w:p>
    <w:p w14:paraId="419CABE7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Проведение электрических и функциональных испытаний.</w:t>
      </w:r>
    </w:p>
    <w:p w14:paraId="327B9556" w14:textId="77777777" w:rsidR="00FA51A3" w:rsidRPr="000740EC" w:rsidRDefault="00FA51A3" w:rsidP="000740EC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num" w:pos="720"/>
        </w:tabs>
        <w:spacing w:before="60" w:after="100" w:afterAutospacing="1" w:line="276" w:lineRule="auto"/>
        <w:ind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Подготовка отчетов по результатам испытаний.</w:t>
      </w:r>
    </w:p>
    <w:p w14:paraId="4A1CC49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2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6.5. Подготовка и передача документации и комплекта на изделие</w:t>
      </w:r>
    </w:p>
    <w:p w14:paraId="4CAF4945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Вся передаваемая документация должна соответствовать перечню и форматам, указанным в Приложении № 1 к настоящему ТЗ.</w:t>
      </w:r>
    </w:p>
    <w:p w14:paraId="7B9AC989" w14:textId="47D0732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7C327511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7. Консультации, инструктаж и обучение</w:t>
      </w:r>
    </w:p>
    <w:p w14:paraId="36C20762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Исполнитель предоставляет Заказчику до 10 консультационных часов.</w:t>
      </w:r>
    </w:p>
    <w:p w14:paraId="4CA21E55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Все консультации, инструктаж и обучение осуществляются исключительно в пределах этих часов.</w:t>
      </w:r>
    </w:p>
    <w:p w14:paraId="027273A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Превышение лимита оплачивается отдельно.</w:t>
      </w:r>
    </w:p>
    <w:p w14:paraId="7BCBA029" w14:textId="22DE709E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4DCC4493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8. Порядок использования объекта</w:t>
      </w:r>
    </w:p>
    <w:p w14:paraId="306F999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Порядок использования объекта определяется в следующем порядке: Объект используется в производстве Заказчика в полном объеме.</w:t>
      </w:r>
    </w:p>
    <w:p w14:paraId="4463F5B2" w14:textId="4A9321E2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49D57E3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9. Условия использования Объекта</w:t>
      </w:r>
    </w:p>
    <w:p w14:paraId="1E57C193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Объект после передачи по Акту приема-передачи Заказчик использует полностью в своих коммерческих интересах.</w:t>
      </w:r>
    </w:p>
    <w:p w14:paraId="27A9E3B8" w14:textId="0987B5B2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3B91CFFA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10. Ограничения по использованию Объекта</w:t>
      </w:r>
    </w:p>
    <w:p w14:paraId="63E48442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Исполнитель не имеет права применять и реализовывать Объект на коммерческих условиях без письменного согласия Заказчика, а также упоминать его в рекламных целях.</w:t>
      </w:r>
    </w:p>
    <w:p w14:paraId="50B2BB08" w14:textId="365211EE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73BE00B0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11. Исключительное право</w:t>
      </w:r>
    </w:p>
    <w:p w14:paraId="5B2D578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Исключительное право на Объект возникает у Заказчика.</w:t>
      </w:r>
    </w:p>
    <w:p w14:paraId="7583859F" w14:textId="0586AE02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51AA0BB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12. Регистрация права</w:t>
      </w:r>
    </w:p>
    <w:p w14:paraId="039034FD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Необходимость регистрации исключительного права на Объект в ходе выполнения настоящего Договора не предусматривается.</w:t>
      </w:r>
    </w:p>
    <w:p w14:paraId="4E4D88A7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В случае необходимости регистрации исключительного права на Объект с заявлением о регистрации права обращается только Заказчик.</w:t>
      </w:r>
    </w:p>
    <w:p w14:paraId="0F805818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Право на результат после государственной регистрации возникает у Заказчика.</w:t>
      </w:r>
    </w:p>
    <w:p w14:paraId="49C05A00" w14:textId="1ACE2E56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73497E33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lastRenderedPageBreak/>
        <w:t>13. Ограничения доступа к материалам</w:t>
      </w:r>
    </w:p>
    <w:p w14:paraId="657B6050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Технологии, технические устройства или их компоненты, контролирующие доступ к объекту, результату, предотвращающие либо ограничивающие осуществление действий, которые не разрешены автором или иным правообладателем, пароли, условия и порядок доступа не применяются.</w:t>
      </w:r>
    </w:p>
    <w:p w14:paraId="492ACB95" w14:textId="72D46824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09D0E9E6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14. Перечень передаваемых материалов</w:t>
      </w:r>
    </w:p>
    <w:p w14:paraId="2EA9DD12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Перечень и формат передаваемых сведений указываются в Приложении № 1 к настоящему Техническому заданию.</w:t>
      </w:r>
    </w:p>
    <w:p w14:paraId="4592BE13" w14:textId="59AC112E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2992C422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15. Способ передачи материалов</w:t>
      </w:r>
    </w:p>
    <w:p w14:paraId="7E7B0F09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Материальный носитель, на котором передается результат, - 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USB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Flash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 носитель и дублирование через защищенное облачное хранилище, указываются в Приложении № 1 к настоящему ТЗ.</w:t>
      </w:r>
    </w:p>
    <w:p w14:paraId="51FCBF6F" w14:textId="391C0553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6848E634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16. Сроки передачи</w:t>
      </w:r>
    </w:p>
    <w:p w14:paraId="53FEA892" w14:textId="0119EC31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Срок подготовки и передачи объекта не позднее __________________.</w:t>
      </w:r>
    </w:p>
    <w:p w14:paraId="1001784A" w14:textId="77777777" w:rsidR="00A7614B" w:rsidRPr="000740EC" w:rsidRDefault="00A7614B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6B95DA7A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17. Условия передачи</w:t>
      </w:r>
    </w:p>
    <w:p w14:paraId="6EEB7AAC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Отчетная документация Акт приема-передачи Объекта подписывается сторонами после полной передачи материалов, указанных в Приложении № 1, в течение 10 рабочих дней с момента получения результатов, указанных в п. 14 и п. 15, при отсутствии замечаний к результату.</w:t>
      </w:r>
    </w:p>
    <w:p w14:paraId="5ACDF82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Исполнитель обязуется устранить замечания Заказчика, относящиеся к несоответствию результата условиям ТЗ.</w:t>
      </w:r>
    </w:p>
    <w:p w14:paraId="2AB661D0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lastRenderedPageBreak/>
        <w:t>Замечания, не связанные с нарушением ТЗ или предполагающие изменение или расширение результата, оформляются как дополнительные работы и оплачиваются по отдельному соглашению.</w:t>
      </w:r>
    </w:p>
    <w:p w14:paraId="31D33A63" w14:textId="7778E1F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0F73A8EE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18. Вознаграждение и порядок оплаты</w:t>
      </w:r>
    </w:p>
    <w:p w14:paraId="63247871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Вознаграждение Исполнителя составляет ________________, НДС не облагается.</w:t>
      </w:r>
    </w:p>
    <w:p w14:paraId="092D79EB" w14:textId="77777777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0" w:afterAutospacing="1" w:line="276" w:lineRule="auto"/>
        <w:ind w:left="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Порядок уплаты вознаграждения осуществляется в следующем порядке:</w:t>
      </w:r>
    </w:p>
    <w:p w14:paraId="30AAF14E" w14:textId="77777777" w:rsidR="00FA51A3" w:rsidRPr="000740EC" w:rsidRDefault="00FA51A3" w:rsidP="000740E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before="100" w:beforeAutospacing="1" w:after="100" w:afterAutospacing="1" w:line="276" w:lineRule="auto"/>
        <w:ind w:left="9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 xml:space="preserve">50 % от суммы вознаграждения в размере ____________ рублей 00 копеек, НДС не облагается, в течение 5 рабочих дней с даты подписания Акта приема передачи материалов согласно Приложению </w:t>
      </w: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val="en-US" w:eastAsia="en-US"/>
        </w:rPr>
        <w:t>№ 1 и счета на оплату;</w:t>
      </w:r>
    </w:p>
    <w:p w14:paraId="28F81B5F" w14:textId="77777777" w:rsidR="00FA51A3" w:rsidRPr="000740EC" w:rsidRDefault="00FA51A3" w:rsidP="000740EC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720"/>
        </w:tabs>
        <w:spacing w:before="60" w:after="100" w:afterAutospacing="1" w:line="276" w:lineRule="auto"/>
        <w:ind w:left="90" w:firstLine="720"/>
        <w:jc w:val="both"/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color w:val="1F2328"/>
          <w:szCs w:val="24"/>
          <w:bdr w:val="none" w:sz="0" w:space="0" w:color="auto"/>
          <w:lang w:eastAsia="en-US"/>
        </w:rPr>
        <w:t>50 % от суммы вознаграждения в размере ____________ рублей 00 копеек, НДС не облагается, оплачивается после подписания Акта приема-передачи объекта не позднее ____________.</w:t>
      </w:r>
    </w:p>
    <w:p w14:paraId="513EE3C7" w14:textId="7381C31B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9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74B52215" w14:textId="2DAE1B4D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76" w:lineRule="auto"/>
        <w:ind w:left="0" w:firstLine="720"/>
        <w:jc w:val="both"/>
        <w:outlineLvl w:val="1"/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</w:pPr>
      <w:r w:rsidRP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Подписи Сторон</w:t>
      </w:r>
      <w:r w:rsidR="000740EC">
        <w:rPr>
          <w:rFonts w:ascii="Proxima Nova Lt" w:eastAsia="Times New Roman" w:hAnsi="Proxima Nova Lt" w:cs="Segoe UI"/>
          <w:b/>
          <w:bCs/>
          <w:color w:val="1F2328"/>
          <w:szCs w:val="24"/>
          <w:bdr w:val="none" w:sz="0" w:space="0" w:color="auto"/>
          <w:lang w:eastAsia="en-US"/>
        </w:rPr>
        <w:t>:</w:t>
      </w:r>
      <w:bookmarkStart w:id="0" w:name="_GoBack"/>
      <w:bookmarkEnd w:id="0"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A7614B" w:rsidRPr="000740EC" w14:paraId="3034DEF6" w14:textId="77777777" w:rsidTr="002A55B1">
        <w:tc>
          <w:tcPr>
            <w:tcW w:w="4675" w:type="dxa"/>
          </w:tcPr>
          <w:p w14:paraId="3701E918" w14:textId="77777777" w:rsidR="00A7614B" w:rsidRPr="000740EC" w:rsidRDefault="00A7614B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00" w:afterAutospacing="1" w:line="276" w:lineRule="auto"/>
              <w:ind w:left="0"/>
              <w:jc w:val="both"/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  <w:t>Заказчик:</w:t>
            </w:r>
            <w:r w:rsidRPr="000740EC"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  <w:br/>
              <w:t>ООО «ЛЕВИН Фотоникс»</w:t>
            </w:r>
          </w:p>
          <w:p w14:paraId="000B5DE1" w14:textId="77777777" w:rsidR="00A7614B" w:rsidRPr="000740EC" w:rsidRDefault="00A7614B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00" w:afterAutospacing="1" w:line="276" w:lineRule="auto"/>
              <w:ind w:left="0"/>
              <w:jc w:val="both"/>
              <w:rPr>
                <w:rFonts w:ascii="Proxima Nova Lt" w:eastAsia="Times New Roman" w:hAnsi="Proxima Nova Lt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</w:pPr>
          </w:p>
        </w:tc>
        <w:tc>
          <w:tcPr>
            <w:tcW w:w="4675" w:type="dxa"/>
          </w:tcPr>
          <w:p w14:paraId="1D127833" w14:textId="77777777" w:rsidR="00A7614B" w:rsidRPr="000740EC" w:rsidRDefault="00A7614B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  <w:t>Исполнитель:</w:t>
            </w:r>
            <w:r w:rsidRPr="000740EC"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  <w:br/>
              <w:t>ИП Морозова А.</w:t>
            </w:r>
          </w:p>
          <w:p w14:paraId="0F6A1DDC" w14:textId="2D4DCF32" w:rsidR="00A7614B" w:rsidRPr="000740EC" w:rsidRDefault="00A7614B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0" w:line="276" w:lineRule="auto"/>
              <w:ind w:left="0"/>
              <w:jc w:val="both"/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</w:pPr>
            <w:r w:rsidRPr="000740EC">
              <w:rPr>
                <w:rFonts w:ascii="Proxima Nova Lt" w:eastAsia="Times New Roman" w:hAnsi="Proxima Nova Lt" w:cs="Segoe UI"/>
                <w:color w:val="1F2328"/>
                <w:szCs w:val="24"/>
                <w:bdr w:val="none" w:sz="0" w:space="0" w:color="auto"/>
                <w:lang w:eastAsia="en-US"/>
              </w:rPr>
              <w:br/>
              <w:t>____________________ Морозова А.</w:t>
            </w:r>
          </w:p>
          <w:p w14:paraId="4F1D4034" w14:textId="77777777" w:rsidR="00A7614B" w:rsidRPr="000740EC" w:rsidRDefault="00A7614B" w:rsidP="000740E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00" w:afterAutospacing="1" w:line="276" w:lineRule="auto"/>
              <w:ind w:left="0"/>
              <w:jc w:val="both"/>
              <w:rPr>
                <w:rFonts w:ascii="Proxima Nova Lt" w:eastAsia="Times New Roman" w:hAnsi="Proxima Nova Lt" w:cs="Segoe UI"/>
                <w:b/>
                <w:bCs/>
                <w:color w:val="1F2328"/>
                <w:szCs w:val="24"/>
                <w:bdr w:val="none" w:sz="0" w:space="0" w:color="auto"/>
                <w:lang w:eastAsia="en-US"/>
              </w:rPr>
            </w:pPr>
          </w:p>
        </w:tc>
      </w:tr>
    </w:tbl>
    <w:p w14:paraId="0B81721A" w14:textId="5426D5AC" w:rsidR="00FA51A3" w:rsidRPr="000740EC" w:rsidRDefault="00FA51A3" w:rsidP="000740E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left="0" w:firstLine="720"/>
        <w:jc w:val="both"/>
        <w:rPr>
          <w:rFonts w:ascii="Proxima Nova Lt" w:eastAsia="Times New Roman" w:hAnsi="Proxima Nova Lt" w:cs="Segoe UI"/>
          <w:color w:val="auto"/>
          <w:szCs w:val="24"/>
          <w:bdr w:val="none" w:sz="0" w:space="0" w:color="auto"/>
          <w:lang w:eastAsia="en-US"/>
        </w:rPr>
      </w:pPr>
    </w:p>
    <w:p w14:paraId="5F5814B5" w14:textId="77777777" w:rsidR="00A7614B" w:rsidRPr="000740EC" w:rsidRDefault="00A7614B" w:rsidP="000740EC">
      <w:pPr>
        <w:spacing w:line="276" w:lineRule="auto"/>
        <w:ind w:firstLine="720"/>
        <w:jc w:val="both"/>
        <w:rPr>
          <w:rFonts w:ascii="Proxima Nova Lt" w:hAnsi="Proxima Nova Lt"/>
          <w:szCs w:val="24"/>
        </w:rPr>
      </w:pPr>
    </w:p>
    <w:sectPr w:rsidR="00A7614B" w:rsidRPr="000740EC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7FEF74" w14:textId="77777777" w:rsidR="00C83903" w:rsidRDefault="00C83903" w:rsidP="00FA51A3">
      <w:pPr>
        <w:spacing w:after="0"/>
      </w:pPr>
      <w:r>
        <w:separator/>
      </w:r>
    </w:p>
  </w:endnote>
  <w:endnote w:type="continuationSeparator" w:id="0">
    <w:p w14:paraId="25946CE4" w14:textId="77777777" w:rsidR="00C83903" w:rsidRDefault="00C83903" w:rsidP="00FA51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roxima Nova">
    <w:altName w:val="Tahoma"/>
    <w:charset w:val="00"/>
    <w:family w:val="auto"/>
    <w:pitch w:val="variable"/>
    <w:sig w:usb0="20000287" w:usb1="00000001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 Semibold">
    <w:altName w:val="Tahoma"/>
    <w:charset w:val="00"/>
    <w:family w:val="auto"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roxima Nova Light">
    <w:altName w:val="Tahoma"/>
    <w:charset w:val="00"/>
    <w:family w:val="auto"/>
    <w:pitch w:val="variable"/>
    <w:sig w:usb0="20000287" w:usb1="00000001" w:usb2="00000000" w:usb3="00000000" w:csb0="0000019F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3"/>
      </w:rPr>
      <w:id w:val="458147102"/>
      <w:docPartObj>
        <w:docPartGallery w:val="Page Numbers (Bottom of Page)"/>
        <w:docPartUnique/>
      </w:docPartObj>
    </w:sdtPr>
    <w:sdtEndPr>
      <w:rPr>
        <w:rStyle w:val="af3"/>
      </w:rPr>
    </w:sdtEndPr>
    <w:sdtContent>
      <w:p w14:paraId="19085FE1" w14:textId="17836EE5" w:rsidR="00FA51A3" w:rsidRDefault="00FA51A3" w:rsidP="0038072F">
        <w:pPr>
          <w:pStyle w:val="af1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6FDD54BA" w14:textId="77777777" w:rsidR="00FA51A3" w:rsidRDefault="00FA51A3" w:rsidP="00FA51A3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3"/>
      </w:rPr>
      <w:id w:val="-1958706613"/>
      <w:docPartObj>
        <w:docPartGallery w:val="Page Numbers (Bottom of Page)"/>
        <w:docPartUnique/>
      </w:docPartObj>
    </w:sdtPr>
    <w:sdtEndPr>
      <w:rPr>
        <w:rStyle w:val="af3"/>
      </w:rPr>
    </w:sdtEndPr>
    <w:sdtContent>
      <w:p w14:paraId="46357BE7" w14:textId="6DAFF15E" w:rsidR="00FA51A3" w:rsidRDefault="00FA51A3" w:rsidP="0038072F">
        <w:pPr>
          <w:pStyle w:val="af1"/>
          <w:framePr w:wrap="none" w:vAnchor="text" w:hAnchor="margin" w:xAlign="right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12</w:t>
        </w:r>
        <w:r>
          <w:rPr>
            <w:rStyle w:val="af3"/>
          </w:rPr>
          <w:fldChar w:fldCharType="end"/>
        </w:r>
      </w:p>
    </w:sdtContent>
  </w:sdt>
  <w:p w14:paraId="127C50D3" w14:textId="77777777" w:rsidR="00FA51A3" w:rsidRDefault="00FA51A3" w:rsidP="00FA51A3">
    <w:pPr>
      <w:pStyle w:val="af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BD6CF3" w14:textId="77777777" w:rsidR="00C83903" w:rsidRDefault="00C83903" w:rsidP="00FA51A3">
      <w:pPr>
        <w:spacing w:after="0"/>
      </w:pPr>
      <w:r>
        <w:separator/>
      </w:r>
    </w:p>
  </w:footnote>
  <w:footnote w:type="continuationSeparator" w:id="0">
    <w:p w14:paraId="2D95E449" w14:textId="77777777" w:rsidR="00C83903" w:rsidRDefault="00C83903" w:rsidP="00FA51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D7E14"/>
    <w:multiLevelType w:val="multilevel"/>
    <w:tmpl w:val="3CE6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064F5"/>
    <w:multiLevelType w:val="multilevel"/>
    <w:tmpl w:val="295CFB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EE72DD"/>
    <w:multiLevelType w:val="hybridMultilevel"/>
    <w:tmpl w:val="A704C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21FD3"/>
    <w:multiLevelType w:val="multilevel"/>
    <w:tmpl w:val="9ED255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A288C"/>
    <w:multiLevelType w:val="multilevel"/>
    <w:tmpl w:val="71A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25AAF"/>
    <w:multiLevelType w:val="multilevel"/>
    <w:tmpl w:val="8C7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857DE"/>
    <w:multiLevelType w:val="multilevel"/>
    <w:tmpl w:val="537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F7396"/>
    <w:multiLevelType w:val="hybridMultilevel"/>
    <w:tmpl w:val="00FC31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09596C"/>
    <w:multiLevelType w:val="multilevel"/>
    <w:tmpl w:val="ABB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54275"/>
    <w:multiLevelType w:val="hybridMultilevel"/>
    <w:tmpl w:val="64322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6C5079"/>
    <w:multiLevelType w:val="multilevel"/>
    <w:tmpl w:val="0F50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E4C5B"/>
    <w:multiLevelType w:val="multilevel"/>
    <w:tmpl w:val="001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05AB8"/>
    <w:multiLevelType w:val="hybridMultilevel"/>
    <w:tmpl w:val="16AAD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6EB4FDB"/>
    <w:multiLevelType w:val="multilevel"/>
    <w:tmpl w:val="8242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E68FE"/>
    <w:multiLevelType w:val="multilevel"/>
    <w:tmpl w:val="668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35298"/>
    <w:multiLevelType w:val="multilevel"/>
    <w:tmpl w:val="BECAC93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5"/>
  </w:num>
  <w:num w:numId="4">
    <w:abstractNumId w:val="4"/>
  </w:num>
  <w:num w:numId="5">
    <w:abstractNumId w:val="6"/>
  </w:num>
  <w:num w:numId="6">
    <w:abstractNumId w:val="0"/>
  </w:num>
  <w:num w:numId="7">
    <w:abstractNumId w:val="14"/>
  </w:num>
  <w:num w:numId="8">
    <w:abstractNumId w:val="3"/>
  </w:num>
  <w:num w:numId="9">
    <w:abstractNumId w:val="10"/>
  </w:num>
  <w:num w:numId="10">
    <w:abstractNumId w:val="2"/>
  </w:num>
  <w:num w:numId="11">
    <w:abstractNumId w:val="12"/>
  </w:num>
  <w:num w:numId="12">
    <w:abstractNumId w:val="9"/>
  </w:num>
  <w:num w:numId="13">
    <w:abstractNumId w:val="7"/>
  </w:num>
  <w:num w:numId="14">
    <w:abstractNumId w:val="5"/>
  </w:num>
  <w:num w:numId="15">
    <w:abstractNumId w:val="8"/>
  </w:num>
  <w:num w:numId="16">
    <w:abstractNumId w:val="1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A3"/>
    <w:rsid w:val="000740EC"/>
    <w:rsid w:val="002047C7"/>
    <w:rsid w:val="00271F44"/>
    <w:rsid w:val="002A55B1"/>
    <w:rsid w:val="00367B98"/>
    <w:rsid w:val="003C29A3"/>
    <w:rsid w:val="003F26F6"/>
    <w:rsid w:val="004D1E55"/>
    <w:rsid w:val="0054657C"/>
    <w:rsid w:val="005C0AD2"/>
    <w:rsid w:val="007D4B16"/>
    <w:rsid w:val="0081149D"/>
    <w:rsid w:val="00865299"/>
    <w:rsid w:val="00880B27"/>
    <w:rsid w:val="00997F0C"/>
    <w:rsid w:val="00A07534"/>
    <w:rsid w:val="00A7614B"/>
    <w:rsid w:val="00BB39B7"/>
    <w:rsid w:val="00C83903"/>
    <w:rsid w:val="00E36CCB"/>
    <w:rsid w:val="00FA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F85D1"/>
  <w15:chartTrackingRefBased/>
  <w15:docId w15:val="{C7441794-59AD-9A48-BCE6-585A5B0F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0B27"/>
    <w:pPr>
      <w:pBdr>
        <w:top w:val="nil"/>
        <w:left w:val="nil"/>
        <w:bottom w:val="nil"/>
        <w:right w:val="nil"/>
        <w:between w:val="nil"/>
        <w:bar w:val="nil"/>
      </w:pBdr>
      <w:spacing w:after="200"/>
      <w:ind w:left="2160"/>
    </w:pPr>
    <w:rPr>
      <w:rFonts w:ascii="Proxima Nova" w:eastAsia="Arial Unicode MS" w:hAnsi="Proxima Nova" w:cs="Arial Unicode MS"/>
      <w:color w:val="000000"/>
      <w:kern w:val="0"/>
      <w:szCs w:val="22"/>
      <w:u w:color="000000"/>
      <w:bdr w:val="nil"/>
      <w:lang w:val="ru-RU" w:eastAsia="ru-RU"/>
      <w14:ligatures w14:val="none"/>
    </w:rPr>
  </w:style>
  <w:style w:type="paragraph" w:styleId="1">
    <w:name w:val="heading 1"/>
    <w:basedOn w:val="a0"/>
    <w:next w:val="a0"/>
    <w:link w:val="10"/>
    <w:autoRedefine/>
    <w:uiPriority w:val="9"/>
    <w:qFormat/>
    <w:rsid w:val="00880B2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0" w:line="276" w:lineRule="auto"/>
      <w:ind w:left="0"/>
      <w:jc w:val="center"/>
      <w:outlineLvl w:val="0"/>
    </w:pPr>
    <w:rPr>
      <w:rFonts w:ascii="Proxima Nova Semibold" w:eastAsiaTheme="majorEastAsia" w:hAnsi="Proxima Nova Semibold" w:cstheme="majorBidi"/>
      <w:b/>
      <w:color w:val="000000" w:themeColor="text1"/>
      <w:kern w:val="2"/>
      <w:sz w:val="32"/>
      <w:szCs w:val="32"/>
      <w:bdr w:val="none" w:sz="0" w:space="0" w:color="auto"/>
      <w:lang w:val="en-US" w:eastAsia="en-US"/>
      <w14:ligatures w14:val="standardContextual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880B2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after="0" w:line="276" w:lineRule="auto"/>
      <w:ind w:left="0"/>
      <w:outlineLvl w:val="1"/>
    </w:pPr>
    <w:rPr>
      <w:rFonts w:ascii="Proxima Nova Semibold" w:eastAsiaTheme="majorEastAsia" w:hAnsi="Proxima Nova Semibold" w:cstheme="majorBidi"/>
      <w:b/>
      <w:color w:val="000000" w:themeColor="text1"/>
      <w:kern w:val="2"/>
      <w:szCs w:val="26"/>
      <w:bdr w:val="none" w:sz="0" w:space="0" w:color="auto"/>
      <w:lang w:val="en-US" w:eastAsia="en-US"/>
      <w14:ligatures w14:val="standardContextual"/>
    </w:rPr>
  </w:style>
  <w:style w:type="paragraph" w:styleId="3">
    <w:name w:val="heading 3"/>
    <w:basedOn w:val="a0"/>
    <w:next w:val="a0"/>
    <w:link w:val="30"/>
    <w:autoRedefine/>
    <w:uiPriority w:val="9"/>
    <w:unhideWhenUsed/>
    <w:qFormat/>
    <w:rsid w:val="00367B98"/>
    <w:pPr>
      <w:keepNext/>
      <w:keepLines/>
      <w:spacing w:before="40" w:after="0"/>
      <w:ind w:left="720"/>
      <w:outlineLvl w:val="2"/>
    </w:pPr>
    <w:rPr>
      <w:rFonts w:ascii="Proxima Nova Semibold" w:eastAsiaTheme="majorEastAsia" w:hAnsi="Proxima Nova Semibold" w:cstheme="majorBidi"/>
      <w:b/>
      <w:color w:val="000000" w:themeColor="text1"/>
      <w:kern w:val="2"/>
      <w:sz w:val="28"/>
      <w:szCs w:val="24"/>
      <w:lang w:val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A51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A51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A51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A51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A51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A51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uiPriority w:val="1"/>
    <w:qFormat/>
    <w:rsid w:val="00367B98"/>
    <w:pPr>
      <w:widowControl w:val="0"/>
      <w:autoSpaceDE w:val="0"/>
      <w:autoSpaceDN w:val="0"/>
      <w:spacing w:after="0"/>
    </w:pPr>
    <w:rPr>
      <w:rFonts w:eastAsia="Arial" w:cs="Arial"/>
      <w:kern w:val="2"/>
      <w:sz w:val="22"/>
      <w:szCs w:val="24"/>
      <w:lang w:val="en-US"/>
      <w14:ligatures w14:val="standardContextual"/>
    </w:rPr>
  </w:style>
  <w:style w:type="character" w:customStyle="1" w:styleId="a5">
    <w:name w:val="Основной текст Знак"/>
    <w:link w:val="a4"/>
    <w:uiPriority w:val="1"/>
    <w:rsid w:val="00367B98"/>
    <w:rPr>
      <w:rFonts w:ascii="Proxima Nova" w:eastAsia="Arial" w:hAnsi="Proxima Nova" w:cs="Arial"/>
      <w:sz w:val="22"/>
    </w:rPr>
  </w:style>
  <w:style w:type="character" w:customStyle="1" w:styleId="20">
    <w:name w:val="Заголовок 2 Знак"/>
    <w:basedOn w:val="a1"/>
    <w:link w:val="2"/>
    <w:uiPriority w:val="9"/>
    <w:rsid w:val="00880B27"/>
    <w:rPr>
      <w:rFonts w:ascii="Proxima Nova Semibold" w:eastAsiaTheme="majorEastAsia" w:hAnsi="Proxima Nova Semibold" w:cstheme="majorBidi"/>
      <w:b/>
      <w:color w:val="000000" w:themeColor="text1"/>
      <w:szCs w:val="26"/>
    </w:rPr>
  </w:style>
  <w:style w:type="paragraph" w:styleId="a">
    <w:name w:val="Title"/>
    <w:basedOn w:val="a6"/>
    <w:next w:val="a0"/>
    <w:link w:val="a7"/>
    <w:autoRedefine/>
    <w:uiPriority w:val="10"/>
    <w:qFormat/>
    <w:rsid w:val="00367B98"/>
    <w:pPr>
      <w:widowControl w:val="0"/>
      <w:numPr>
        <w:numId w:val="3"/>
      </w:numPr>
      <w:autoSpaceDE w:val="0"/>
      <w:autoSpaceDN w:val="0"/>
      <w:adjustRightInd w:val="0"/>
      <w:spacing w:before="120" w:after="120"/>
      <w:ind w:left="1080" w:hanging="360"/>
    </w:pPr>
    <w:rPr>
      <w:rFonts w:ascii="Proxima Nova Semibold" w:eastAsiaTheme="minorHAnsi" w:hAnsi="Proxima Nova Semibold" w:cs="Arial"/>
      <w:b/>
      <w:bCs/>
      <w:kern w:val="2"/>
      <w:lang w:val="en-US" w:eastAsia="en-US"/>
      <w14:ligatures w14:val="standardContextual"/>
    </w:rPr>
  </w:style>
  <w:style w:type="character" w:customStyle="1" w:styleId="a7">
    <w:name w:val="Заголовок Знак"/>
    <w:basedOn w:val="a1"/>
    <w:link w:val="a"/>
    <w:uiPriority w:val="10"/>
    <w:rsid w:val="00367B98"/>
    <w:rPr>
      <w:rFonts w:ascii="Proxima Nova Semibold" w:hAnsi="Proxima Nova Semibold" w:cs="Arial"/>
      <w:b/>
      <w:bCs/>
      <w:color w:val="000000" w:themeColor="text1"/>
    </w:rPr>
  </w:style>
  <w:style w:type="paragraph" w:styleId="a6">
    <w:name w:val="List Paragraph"/>
    <w:basedOn w:val="a0"/>
    <w:autoRedefine/>
    <w:uiPriority w:val="34"/>
    <w:qFormat/>
    <w:rsid w:val="00367B98"/>
    <w:pPr>
      <w:spacing w:after="0"/>
      <w:ind w:left="3600"/>
      <w:contextualSpacing/>
    </w:pPr>
    <w:rPr>
      <w:color w:val="000000" w:themeColor="text1"/>
      <w:szCs w:val="24"/>
      <w:lang w:eastAsia="en-GB"/>
    </w:rPr>
  </w:style>
  <w:style w:type="character" w:customStyle="1" w:styleId="30">
    <w:name w:val="Заголовок 3 Знак"/>
    <w:basedOn w:val="a1"/>
    <w:link w:val="3"/>
    <w:uiPriority w:val="9"/>
    <w:rsid w:val="00367B98"/>
    <w:rPr>
      <w:rFonts w:ascii="Proxima Nova Semibold" w:eastAsiaTheme="majorEastAsia" w:hAnsi="Proxima Nova Semibold" w:cstheme="majorBidi"/>
      <w:b/>
      <w:color w:val="000000" w:themeColor="text1"/>
      <w:sz w:val="28"/>
    </w:rPr>
  </w:style>
  <w:style w:type="character" w:customStyle="1" w:styleId="10">
    <w:name w:val="Заголовок 1 Знак"/>
    <w:basedOn w:val="a1"/>
    <w:link w:val="1"/>
    <w:uiPriority w:val="9"/>
    <w:rsid w:val="00880B27"/>
    <w:rPr>
      <w:rFonts w:ascii="Proxima Nova Semibold" w:eastAsiaTheme="majorEastAsia" w:hAnsi="Proxima Nova Semibold" w:cstheme="majorBidi"/>
      <w:b/>
      <w:color w:val="000000" w:themeColor="text1"/>
      <w:sz w:val="32"/>
      <w:szCs w:val="32"/>
    </w:rPr>
  </w:style>
  <w:style w:type="character" w:styleId="a8">
    <w:name w:val="Strong"/>
    <w:basedOn w:val="a1"/>
    <w:uiPriority w:val="22"/>
    <w:qFormat/>
    <w:rsid w:val="00367B98"/>
    <w:rPr>
      <w:rFonts w:ascii="Proxima Nova" w:hAnsi="Proxima Nova"/>
      <w:b/>
      <w:bCs/>
      <w:i w:val="0"/>
      <w:color w:val="FFFFFF" w:themeColor="background1"/>
      <w:sz w:val="44"/>
    </w:rPr>
  </w:style>
  <w:style w:type="paragraph" w:styleId="a9">
    <w:name w:val="TOC Heading"/>
    <w:basedOn w:val="1"/>
    <w:next w:val="a0"/>
    <w:autoRedefine/>
    <w:uiPriority w:val="39"/>
    <w:unhideWhenUsed/>
    <w:qFormat/>
    <w:rsid w:val="00367B98"/>
    <w:pPr>
      <w:spacing w:before="120"/>
      <w:jc w:val="left"/>
      <w:outlineLvl w:val="9"/>
    </w:pPr>
    <w:rPr>
      <w:rFonts w:asciiTheme="majorHAnsi" w:hAnsiTheme="majorHAnsi"/>
      <w:color w:val="FFFFFF" w:themeColor="background1"/>
      <w:kern w:val="0"/>
      <w:sz w:val="28"/>
      <w:szCs w:val="28"/>
      <w14:ligatures w14:val="none"/>
    </w:rPr>
  </w:style>
  <w:style w:type="paragraph" w:customStyle="1" w:styleId="11">
    <w:name w:val="Обычный1"/>
    <w:autoRedefine/>
    <w:qFormat/>
    <w:rsid w:val="00880B27"/>
    <w:pPr>
      <w:jc w:val="center"/>
    </w:pPr>
    <w:rPr>
      <w:rFonts w:ascii="Proxima Nova Semibold" w:hAnsi="Proxima Nova Semibold" w:cs="Times New Roman"/>
      <w:b/>
      <w:color w:val="000000"/>
      <w:kern w:val="0"/>
      <w:sz w:val="28"/>
      <w:szCs w:val="20"/>
      <w:lang w:val="ru-RU" w:eastAsia="ru-RU"/>
      <w14:ligatures w14:val="none"/>
    </w:rPr>
  </w:style>
  <w:style w:type="paragraph" w:customStyle="1" w:styleId="31">
    <w:name w:val="Основной текст с отступом 31"/>
    <w:basedOn w:val="a0"/>
    <w:next w:val="11"/>
    <w:autoRedefine/>
    <w:qFormat/>
    <w:rsid w:val="00880B2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360" w:lineRule="auto"/>
      <w:ind w:left="0" w:firstLine="567"/>
      <w:jc w:val="both"/>
    </w:pPr>
    <w:rPr>
      <w:rFonts w:ascii="Proxima Nova Light" w:eastAsia="Times New Roman" w:hAnsi="Proxima Nova Light" w:cs="Times New Roman"/>
      <w:color w:val="auto"/>
      <w:szCs w:val="20"/>
      <w:bdr w:val="none" w:sz="0" w:space="0" w:color="auto"/>
      <w:lang w:eastAsia="ar-SA"/>
    </w:rPr>
  </w:style>
  <w:style w:type="character" w:customStyle="1" w:styleId="40">
    <w:name w:val="Заголовок 4 Знак"/>
    <w:basedOn w:val="a1"/>
    <w:link w:val="4"/>
    <w:uiPriority w:val="9"/>
    <w:semiHidden/>
    <w:rsid w:val="00FA51A3"/>
    <w:rPr>
      <w:rFonts w:eastAsiaTheme="majorEastAsia" w:cstheme="majorBidi"/>
      <w:i/>
      <w:iCs/>
      <w:color w:val="2F5496" w:themeColor="accent1" w:themeShade="BF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FA51A3"/>
    <w:rPr>
      <w:rFonts w:eastAsiaTheme="majorEastAsia" w:cstheme="majorBidi"/>
      <w:color w:val="2F5496" w:themeColor="accent1" w:themeShade="BF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FA51A3"/>
    <w:rPr>
      <w:rFonts w:eastAsiaTheme="majorEastAsia" w:cstheme="majorBidi"/>
      <w:i/>
      <w:iCs/>
      <w:color w:val="595959" w:themeColor="text1" w:themeTint="A6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FA51A3"/>
    <w:rPr>
      <w:rFonts w:eastAsiaTheme="majorEastAsia" w:cstheme="majorBidi"/>
      <w:color w:val="595959" w:themeColor="text1" w:themeTint="A6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FA51A3"/>
    <w:rPr>
      <w:rFonts w:eastAsiaTheme="majorEastAsia" w:cstheme="majorBidi"/>
      <w:i/>
      <w:iCs/>
      <w:color w:val="272727" w:themeColor="text1" w:themeTint="D8"/>
      <w:kern w:val="0"/>
      <w:szCs w:val="22"/>
      <w:u w:color="000000"/>
      <w:bdr w:val="nil"/>
      <w:lang w:val="ru-RU"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FA51A3"/>
    <w:rPr>
      <w:rFonts w:eastAsiaTheme="majorEastAsia" w:cstheme="majorBidi"/>
      <w:color w:val="272727" w:themeColor="text1" w:themeTint="D8"/>
      <w:kern w:val="0"/>
      <w:szCs w:val="22"/>
      <w:u w:color="000000"/>
      <w:bdr w:val="nil"/>
      <w:lang w:val="ru-RU" w:eastAsia="ru-RU"/>
      <w14:ligatures w14:val="none"/>
    </w:rPr>
  </w:style>
  <w:style w:type="paragraph" w:styleId="aa">
    <w:name w:val="Subtitle"/>
    <w:basedOn w:val="a0"/>
    <w:next w:val="a0"/>
    <w:link w:val="ab"/>
    <w:uiPriority w:val="11"/>
    <w:qFormat/>
    <w:rsid w:val="00FA51A3"/>
    <w:pPr>
      <w:numPr>
        <w:ilvl w:val="1"/>
      </w:numPr>
      <w:spacing w:after="160"/>
      <w:ind w:left="2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FA51A3"/>
    <w:rPr>
      <w:rFonts w:eastAsiaTheme="majorEastAsia" w:cstheme="majorBidi"/>
      <w:color w:val="595959" w:themeColor="text1" w:themeTint="A6"/>
      <w:spacing w:val="15"/>
      <w:kern w:val="0"/>
      <w:sz w:val="28"/>
      <w:szCs w:val="28"/>
      <w:u w:color="000000"/>
      <w:bdr w:val="nil"/>
      <w:lang w:val="ru-RU" w:eastAsia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FA51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A51A3"/>
    <w:rPr>
      <w:rFonts w:ascii="Proxima Nova" w:eastAsia="Arial Unicode MS" w:hAnsi="Proxima Nova" w:cs="Arial Unicode MS"/>
      <w:i/>
      <w:iCs/>
      <w:color w:val="404040" w:themeColor="text1" w:themeTint="BF"/>
      <w:kern w:val="0"/>
      <w:szCs w:val="22"/>
      <w:u w:color="000000"/>
      <w:bdr w:val="nil"/>
      <w:lang w:val="ru-RU" w:eastAsia="ru-RU"/>
      <w14:ligatures w14:val="none"/>
    </w:rPr>
  </w:style>
  <w:style w:type="character" w:styleId="ac">
    <w:name w:val="Intense Emphasis"/>
    <w:basedOn w:val="a1"/>
    <w:uiPriority w:val="21"/>
    <w:qFormat/>
    <w:rsid w:val="00FA51A3"/>
    <w:rPr>
      <w:i/>
      <w:iCs/>
      <w:color w:val="2F5496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FA51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1"/>
    <w:link w:val="ad"/>
    <w:uiPriority w:val="30"/>
    <w:rsid w:val="00FA51A3"/>
    <w:rPr>
      <w:rFonts w:ascii="Proxima Nova" w:eastAsia="Arial Unicode MS" w:hAnsi="Proxima Nova" w:cs="Arial Unicode MS"/>
      <w:i/>
      <w:iCs/>
      <w:color w:val="2F5496" w:themeColor="accent1" w:themeShade="BF"/>
      <w:kern w:val="0"/>
      <w:szCs w:val="22"/>
      <w:u w:color="000000"/>
      <w:bdr w:val="nil"/>
      <w:lang w:val="ru-RU" w:eastAsia="ru-RU"/>
      <w14:ligatures w14:val="none"/>
    </w:rPr>
  </w:style>
  <w:style w:type="character" w:styleId="af">
    <w:name w:val="Intense Reference"/>
    <w:basedOn w:val="a1"/>
    <w:uiPriority w:val="32"/>
    <w:qFormat/>
    <w:rsid w:val="00FA51A3"/>
    <w:rPr>
      <w:b/>
      <w:bCs/>
      <w:smallCaps/>
      <w:color w:val="2F5496" w:themeColor="accent1" w:themeShade="BF"/>
      <w:spacing w:val="5"/>
    </w:rPr>
  </w:style>
  <w:style w:type="paragraph" w:styleId="af0">
    <w:name w:val="Normal (Web)"/>
    <w:basedOn w:val="a0"/>
    <w:uiPriority w:val="99"/>
    <w:semiHidden/>
    <w:unhideWhenUsed/>
    <w:rsid w:val="00FA51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Cs w:val="24"/>
      <w:bdr w:val="none" w:sz="0" w:space="0" w:color="auto"/>
      <w:lang w:val="en-US" w:eastAsia="en-US"/>
    </w:rPr>
  </w:style>
  <w:style w:type="character" w:customStyle="1" w:styleId="apple-converted-space">
    <w:name w:val="apple-converted-space"/>
    <w:basedOn w:val="a1"/>
    <w:rsid w:val="00FA51A3"/>
  </w:style>
  <w:style w:type="paragraph" w:styleId="af1">
    <w:name w:val="footer"/>
    <w:basedOn w:val="a0"/>
    <w:link w:val="af2"/>
    <w:uiPriority w:val="99"/>
    <w:unhideWhenUsed/>
    <w:rsid w:val="00FA51A3"/>
    <w:pPr>
      <w:tabs>
        <w:tab w:val="center" w:pos="4680"/>
        <w:tab w:val="right" w:pos="9360"/>
      </w:tabs>
      <w:spacing w:after="0"/>
    </w:pPr>
  </w:style>
  <w:style w:type="character" w:customStyle="1" w:styleId="af2">
    <w:name w:val="Нижний колонтитул Знак"/>
    <w:basedOn w:val="a1"/>
    <w:link w:val="af1"/>
    <w:uiPriority w:val="99"/>
    <w:rsid w:val="00FA51A3"/>
    <w:rPr>
      <w:rFonts w:ascii="Proxima Nova" w:eastAsia="Arial Unicode MS" w:hAnsi="Proxima Nova" w:cs="Arial Unicode MS"/>
      <w:color w:val="000000"/>
      <w:kern w:val="0"/>
      <w:szCs w:val="22"/>
      <w:u w:color="000000"/>
      <w:bdr w:val="nil"/>
      <w:lang w:val="ru-RU" w:eastAsia="ru-RU"/>
      <w14:ligatures w14:val="none"/>
    </w:rPr>
  </w:style>
  <w:style w:type="character" w:styleId="af3">
    <w:name w:val="page number"/>
    <w:basedOn w:val="a1"/>
    <w:uiPriority w:val="99"/>
    <w:semiHidden/>
    <w:unhideWhenUsed/>
    <w:rsid w:val="00FA51A3"/>
  </w:style>
  <w:style w:type="table" w:styleId="af4">
    <w:name w:val="Table Grid"/>
    <w:basedOn w:val="a2"/>
    <w:uiPriority w:val="39"/>
    <w:rsid w:val="00A761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0"/>
    <w:rsid w:val="008114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color w:val="auto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0D5F8D-5ACA-495E-AC15-B181E4EE5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3186</Words>
  <Characters>18164</Characters>
  <Application>Microsoft Office Word</Application>
  <DocSecurity>0</DocSecurity>
  <Lines>151</Lines>
  <Paragraphs>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Сергей</cp:lastModifiedBy>
  <cp:revision>8</cp:revision>
  <dcterms:created xsi:type="dcterms:W3CDTF">2026-06-27T12:43:00Z</dcterms:created>
  <dcterms:modified xsi:type="dcterms:W3CDTF">2026-06-30T08:22:00Z</dcterms:modified>
</cp:coreProperties>
</file>