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EF124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center"/>
        <w:outlineLvl w:val="0"/>
        <w:rPr>
          <w:rFonts w:eastAsia="Times New Roman" w:cs="Segoe UI"/>
          <w:b/>
          <w:bCs/>
          <w:color w:val="1F2328"/>
          <w:kern w:val="36"/>
          <w:sz w:val="28"/>
          <w:szCs w:val="28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kern w:val="36"/>
          <w:sz w:val="28"/>
          <w:szCs w:val="28"/>
          <w:bdr w:val="none" w:sz="0" w:space="0" w:color="auto"/>
          <w:lang w:eastAsia="en-US"/>
        </w:rPr>
        <w:t>Техническое задание № ___</w:t>
      </w:r>
    </w:p>
    <w:p w14:paraId="19D807E1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center"/>
        <w:outlineLvl w:val="1"/>
        <w:rPr>
          <w:rFonts w:eastAsia="Times New Roman" w:cs="Segoe UI"/>
          <w:b/>
          <w:bCs/>
          <w:color w:val="1F2328"/>
          <w:sz w:val="28"/>
          <w:szCs w:val="28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 xml:space="preserve">на создание интеллектуального объекта: </w:t>
      </w:r>
    </w:p>
    <w:p w14:paraId="4A9C2799" w14:textId="7B201BD1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center"/>
        <w:outlineLvl w:val="1"/>
        <w:rPr>
          <w:rFonts w:eastAsia="Times New Roman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 xml:space="preserve">Модуль учета коммутационного ресурса </w:t>
      </w:r>
      <w:r w:rsidRPr="00FA51A3">
        <w:rPr>
          <w:rFonts w:eastAsia="Times New Roman" w:cs="Segoe UI"/>
          <w:b/>
          <w:bCs/>
          <w:color w:val="1F2328"/>
          <w:sz w:val="28"/>
          <w:szCs w:val="28"/>
          <w:bdr w:val="none" w:sz="0" w:space="0" w:color="auto"/>
          <w:lang w:val="en-US" w:eastAsia="en-US"/>
        </w:rPr>
        <w:t>LCT</w:t>
      </w:r>
      <w:r w:rsidRPr="00FA51A3">
        <w:rPr>
          <w:rFonts w:eastAsia="Times New Roman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>1114</w:t>
      </w:r>
    </w:p>
    <w:p w14:paraId="63A7E635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Дата подписания: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«___» ____________ 2025 года</w:t>
      </w:r>
    </w:p>
    <w:p w14:paraId="77A9948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Заказчик: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ООО «ЛЕВИН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Фотоникс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»</w:t>
      </w:r>
    </w:p>
    <w:p w14:paraId="3B375FFD" w14:textId="7F3A38FF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Исполнитель: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ИП Морозова А.</w:t>
      </w:r>
    </w:p>
    <w:p w14:paraId="566A337E" w14:textId="43550D6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01C1991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434646A9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1. Описание создаваемого Объекта</w:t>
      </w:r>
    </w:p>
    <w:p w14:paraId="7A118BB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 xml:space="preserve">Модуль учета коммутационного ресурса </w:t>
      </w: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LCT</w:t>
      </w: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1114.</w:t>
      </w:r>
    </w:p>
    <w:p w14:paraId="0E2A193E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Разрабатываемый модуль учета коммутационного ресурса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LCT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1114 должен представлять собой специализированный модуль линейки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Lorentz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, предназначенный для мониторинга параметров работы высоковольтных выключателей и учета их механического и коммутационного ресурса.</w:t>
      </w:r>
    </w:p>
    <w:p w14:paraId="00171BB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быть выполнен в общем форм-факторе модулей линейки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Lorentz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, в пластиковом корпусе для установки на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DIN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-рейку, с подключением к системе через внутреннюю шину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X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2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X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.</w:t>
      </w:r>
    </w:p>
    <w:p w14:paraId="118E29AC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работу в составе системы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Lorentz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совместно с процессорным модулем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IGAS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/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2116, а также самостоятельный режим работы с обменом данными по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Modbus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RTU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/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Modbus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TCP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в объеме, предусмотренном аппаратной ревизией, встроенным программным обеспечением и эксплуатационной документацией. Питание, обмен данными, сохранение расчетных данных, синхронизация времени и управление модулем должны осуществляться через интерфейсы и средства, предусмотренные конструкторской и эксплуатационной документацией.</w:t>
      </w:r>
    </w:p>
    <w:p w14:paraId="15E1733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быть адресным устройством в сети и должен обеспечивать возможность назначения уникального адреса в составе системы.</w:t>
      </w:r>
    </w:p>
    <w:p w14:paraId="5EBD48EE" w14:textId="5A6A25C3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В составе модуля должны быть предусмотрены измерительные входы и интерфейсы, необходимые для контроля высоковольтного выключателя, включая входы контроля фазных токов, входы контроля конечных положений, входы контроля токов электромагнитов включения и отключения и вход датчика температуры.</w:t>
      </w:r>
    </w:p>
    <w:p w14:paraId="1EA3BFB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2. Практическое назначение Объекта</w:t>
      </w:r>
    </w:p>
    <w:p w14:paraId="0AFF0E1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LCT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1114 предназначен для применения в составе систем мониторинга, диагностики и автоматизации высоковольтных выключателей.</w:t>
      </w:r>
    </w:p>
    <w:p w14:paraId="75CCB284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получение, обработку и передачу данных, необходимых для оценки технического состояния выключателя, включая:</w:t>
      </w:r>
    </w:p>
    <w:p w14:paraId="48E95F33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контроль операций включения и отключения;</w:t>
      </w:r>
    </w:p>
    <w:p w14:paraId="3BF5FAEC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контроль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конечных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положений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выключателя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66A80FF1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контроль токов электромагнитов включения и отключения с определением максимального значения тока в момент коммутации;</w:t>
      </w:r>
    </w:p>
    <w:p w14:paraId="58787315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измерение фазных токов при коммутациях;</w:t>
      </w:r>
    </w:p>
    <w:p w14:paraId="1FE3C100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формирование данных осциллограмм фазных токов и их передачу в головной модуль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;</w:t>
      </w:r>
    </w:p>
    <w:p w14:paraId="7F6FE4B4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расчет времени операций и разновременности фаз;</w:t>
      </w:r>
    </w:p>
    <w:p w14:paraId="02A5C714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учет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механического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ресурса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2CD2FD25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учет коммутационного и электрического ресурса;</w:t>
      </w:r>
    </w:p>
    <w:p w14:paraId="354634BC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диагностику заеданий, незавершенных операций, ложных и нестабильных сигналов;</w:t>
      </w:r>
    </w:p>
    <w:p w14:paraId="6161D4EE" w14:textId="77777777" w:rsidR="00FA51A3" w:rsidRPr="00FA51A3" w:rsidRDefault="00FA51A3" w:rsidP="00FA51A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передачу диагностических данных в головной модуль и верхний уровень системы.</w:t>
      </w:r>
    </w:p>
    <w:p w14:paraId="013296F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применяться для расширения функциональности системы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Lorentz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в части контроля технического состояния высоковольтных выключателей и планирования технического обслуживания.</w:t>
      </w:r>
    </w:p>
    <w:p w14:paraId="0CD72A4D" w14:textId="6B76F368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357E7CE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3. Требования к изделию</w:t>
      </w:r>
    </w:p>
    <w:p w14:paraId="508A8059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3.1. Общие данные</w:t>
      </w:r>
    </w:p>
    <w:p w14:paraId="6C6AB11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Конструкция модуля должна обеспечивать устойчивость к воздействию климатических и механических факторов в пределах условий эксплуатации, указанных в настоящем ТЗ и эксплуатационной документации.</w:t>
      </w:r>
    </w:p>
    <w:p w14:paraId="5417D81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Монтаж модуля должен осуществляться на стандартную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DIN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-рейку. Установка модуля должна выполняться в шкафах управления и мониторинга.</w:t>
      </w:r>
    </w:p>
    <w:p w14:paraId="31CA521C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Конструкция модуля должна предусматривать возможность демонтажа и замены без применения специального инструмента.</w:t>
      </w:r>
    </w:p>
    <w:p w14:paraId="39BCCEE5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lastRenderedPageBreak/>
        <w:t>Модуль должен иметь съемные или технологически удобные разъемы/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клеммники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для подключения внешних цепей в объеме, предусмотренном конструкторской документацией.</w:t>
      </w:r>
    </w:p>
    <w:p w14:paraId="1B59EF0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быть ремонтопригодным в условиях предприятия-изготовителя.</w:t>
      </w:r>
    </w:p>
    <w:p w14:paraId="6434809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Питание модуля должно быть защищено от неправильного подключения и аварийных режимов в объеме, предусмотренном схемотехническим решением.</w:t>
      </w:r>
    </w:p>
    <w:p w14:paraId="4D36FE65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иметь светодиодную индикацию состояния питания, связи с головным модулем, обработки данных и исправности модуля.</w:t>
      </w:r>
    </w:p>
    <w:p w14:paraId="2089F105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51CA501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3.2.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Основные</w:t>
      </w:r>
      <w:proofErr w:type="spellEnd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технические</w:t>
      </w:r>
      <w:proofErr w:type="spellEnd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характеристики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5491"/>
      </w:tblGrid>
      <w:tr w:rsidR="00FA51A3" w:rsidRPr="00FA51A3" w14:paraId="7E277CF4" w14:textId="77777777" w:rsidTr="00FA51A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F75AB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Наименование</w:t>
            </w:r>
            <w:proofErr w:type="spellEnd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характеристики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20FDE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Значение</w:t>
            </w:r>
            <w:proofErr w:type="spellEnd"/>
          </w:p>
        </w:tc>
      </w:tr>
      <w:tr w:rsidR="00FA51A3" w:rsidRPr="00FA51A3" w14:paraId="74F5E37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19D84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Наименование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изделия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4BAFB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LCT1114</w:t>
            </w:r>
          </w:p>
        </w:tc>
      </w:tr>
      <w:tr w:rsidR="00FA51A3" w:rsidRPr="00FA51A3" w14:paraId="19A403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4DDA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Назначение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7D570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модуль учета коммутационного ресурса высоковольтного выключателя</w:t>
            </w:r>
          </w:p>
        </w:tc>
      </w:tr>
      <w:tr w:rsidR="00FA51A3" w:rsidRPr="00FA51A3" w14:paraId="1E5193D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4049F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Линейка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изделий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217A2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Lorentz</w:t>
            </w:r>
          </w:p>
        </w:tc>
      </w:tr>
      <w:tr w:rsidR="00FA51A3" w:rsidRPr="00FA51A3" w14:paraId="7B46CF58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09D55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Монтаж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088A4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DIN-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рейку</w:t>
            </w:r>
            <w:proofErr w:type="spellEnd"/>
          </w:p>
        </w:tc>
      </w:tr>
      <w:tr w:rsidR="00FA51A3" w:rsidRPr="00FA51A3" w14:paraId="75597E2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D6604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Корпус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F9BD1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пластиковый, для установки в шкаф управления</w:t>
            </w:r>
          </w:p>
        </w:tc>
      </w:tr>
      <w:tr w:rsidR="00FA51A3" w:rsidRPr="00FA51A3" w14:paraId="7CCEBA6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8DD0F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Степень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защиты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корпуса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541EB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IP20</w:t>
            </w:r>
          </w:p>
        </w:tc>
      </w:tr>
      <w:tr w:rsidR="00FA51A3" w:rsidRPr="00FA51A3" w14:paraId="766CC39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2AA3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Электрическое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питание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89F87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24 В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постоянного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тока</w:t>
            </w:r>
            <w:proofErr w:type="spellEnd"/>
          </w:p>
        </w:tc>
      </w:tr>
      <w:tr w:rsidR="00FA51A3" w:rsidRPr="00FA51A3" w14:paraId="3875FBF0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7CDD2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Ток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потребления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FCF0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более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100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мА</w:t>
            </w:r>
            <w:proofErr w:type="spellEnd"/>
          </w:p>
        </w:tc>
      </w:tr>
      <w:tr w:rsidR="00FA51A3" w:rsidRPr="00FA51A3" w14:paraId="27EF2AD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EE91A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Интерфейс связи с головным модулем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145C9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X2X</w:t>
            </w:r>
          </w:p>
        </w:tc>
      </w:tr>
      <w:tr w:rsidR="00FA51A3" w:rsidRPr="00FA51A3" w14:paraId="675090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AD5C5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Самостоятельный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режим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обмена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7965F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Modbus RTU / Modbus TCP</w:t>
            </w:r>
          </w:p>
        </w:tc>
      </w:tr>
      <w:tr w:rsidR="00FA51A3" w:rsidRPr="00FA51A3" w14:paraId="0D8A459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159DF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Интерфейс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RS-485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17BE1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предусмотрен</w:t>
            </w:r>
            <w:proofErr w:type="spellEnd"/>
          </w:p>
        </w:tc>
      </w:tr>
      <w:tr w:rsidR="00FA51A3" w:rsidRPr="00FA51A3" w14:paraId="23491C1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CD6C7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Интерфейс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Ethernet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83BC0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RJ45,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предусмотрен</w:t>
            </w:r>
            <w:proofErr w:type="spellEnd"/>
          </w:p>
        </w:tc>
      </w:tr>
      <w:tr w:rsidR="00FA51A3" w:rsidRPr="00FA51A3" w14:paraId="74644AEF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6F153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Назначение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Ethernet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4D09F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обмен с верхним уровнем и доступ к расчетным, диагностическим и сервисным 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lastRenderedPageBreak/>
              <w:t>данным в объеме, предусмотренном ПО и документацией</w:t>
            </w:r>
          </w:p>
        </w:tc>
      </w:tr>
      <w:tr w:rsidR="00FA51A3" w:rsidRPr="00FA51A3" w14:paraId="354083B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BB799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lastRenderedPageBreak/>
              <w:t xml:space="preserve">Расстояние до процессорного модуля 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LCP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2116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F3D53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до 100 м при соблюдении требований к линии связи, монтажу и эксплуатационной документации</w:t>
            </w:r>
          </w:p>
        </w:tc>
      </w:tr>
      <w:tr w:rsidR="00FA51A3" w:rsidRPr="00FA51A3" w14:paraId="4919C7C7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94F1C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Количество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входов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трансформаторов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тока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C99ED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3</w:t>
            </w:r>
          </w:p>
        </w:tc>
      </w:tr>
      <w:tr w:rsidR="00FA51A3" w:rsidRPr="00FA51A3" w14:paraId="1996059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1FD59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Максимальный измеряемый ток по входам трансформаторов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13A4A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60 А</w:t>
            </w:r>
          </w:p>
        </w:tc>
      </w:tr>
      <w:tr w:rsidR="00FA51A3" w:rsidRPr="00FA51A3" w14:paraId="700AB8E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07FF7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Время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замера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тока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9FCF9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100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мкс</w:t>
            </w:r>
            <w:proofErr w:type="spellEnd"/>
          </w:p>
        </w:tc>
      </w:tr>
      <w:tr w:rsidR="00FA51A3" w:rsidRPr="00FA51A3" w14:paraId="28E4020E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4EEC1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Количество дискретных входов контроля конечных положений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844CB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6</w:t>
            </w:r>
          </w:p>
        </w:tc>
      </w:tr>
      <w:tr w:rsidR="00FA51A3" w:rsidRPr="00FA51A3" w14:paraId="70EFB27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928D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Уровни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дискретных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входов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5FF4C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220 В DC</w:t>
            </w:r>
          </w:p>
        </w:tc>
      </w:tr>
      <w:tr w:rsidR="00FA51A3" w:rsidRPr="00FA51A3" w14:paraId="6BF71958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D7CDB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Количество входов для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BB54C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9</w:t>
            </w:r>
          </w:p>
        </w:tc>
      </w:tr>
      <w:tr w:rsidR="00FA51A3" w:rsidRPr="00FA51A3" w14:paraId="259A648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4450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Разрешение входов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8BAFE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12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бит</w:t>
            </w:r>
            <w:proofErr w:type="spellEnd"/>
          </w:p>
        </w:tc>
      </w:tr>
      <w:tr w:rsidR="00FA51A3" w:rsidRPr="00FA51A3" w14:paraId="7B611E8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ECA73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Частота опроса входов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9593B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5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кГц</w:t>
            </w:r>
            <w:proofErr w:type="spellEnd"/>
          </w:p>
        </w:tc>
      </w:tr>
      <w:tr w:rsidR="00FA51A3" w:rsidRPr="00FA51A3" w14:paraId="21BD998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C634D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датчика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температуры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A676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1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</w:t>
            </w:r>
            <w:proofErr w:type="spellEnd"/>
          </w:p>
        </w:tc>
      </w:tr>
      <w:tr w:rsidR="00FA51A3" w:rsidRPr="00FA51A3" w14:paraId="44AF788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6E7D2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Тип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подключаемого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датчика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температуры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23BA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PT100</w:t>
            </w:r>
          </w:p>
        </w:tc>
      </w:tr>
      <w:tr w:rsidR="00FA51A3" w:rsidRPr="00FA51A3" w14:paraId="729A47F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EC6DB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Точность измерения временных характеристик для версии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F78CE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±100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мкс</w:t>
            </w:r>
            <w:proofErr w:type="spellEnd"/>
          </w:p>
        </w:tc>
      </w:tr>
      <w:tr w:rsidR="00FA51A3" w:rsidRPr="00FA51A3" w14:paraId="3E3A9F75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85D8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Точность измерения временных характеристик для версии 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8A263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±10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мкс</w:t>
            </w:r>
            <w:proofErr w:type="spellEnd"/>
          </w:p>
        </w:tc>
      </w:tr>
      <w:tr w:rsidR="00FA51A3" w:rsidRPr="00FA51A3" w14:paraId="3EEB6739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43021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lastRenderedPageBreak/>
              <w:t>Хранение расчетных данных для версии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76005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SD-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карте</w:t>
            </w:r>
            <w:proofErr w:type="spellEnd"/>
          </w:p>
        </w:tc>
      </w:tr>
      <w:tr w:rsidR="00FA51A3" w:rsidRPr="00FA51A3" w14:paraId="01F4CA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3D384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Хранение расчетных данных для версии 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658AE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во встроенной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флеш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-памяти, интегрированной на плату</w:t>
            </w:r>
          </w:p>
        </w:tc>
      </w:tr>
      <w:tr w:rsidR="00FA51A3" w:rsidRPr="00FA51A3" w14:paraId="7201DAA8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64415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Синхронизация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времени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для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версии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EAA8E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от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внешнего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источника</w:t>
            </w:r>
            <w:proofErr w:type="spellEnd"/>
          </w:p>
        </w:tc>
      </w:tr>
      <w:tr w:rsidR="00FA51A3" w:rsidRPr="00FA51A3" w14:paraId="16DD0CE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E4D6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Синхронизация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времени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для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версии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C3153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встроенные часы с синхронизацией от внешнего источника</w:t>
            </w:r>
          </w:p>
        </w:tc>
      </w:tr>
      <w:tr w:rsidR="00FA51A3" w:rsidRPr="00FA51A3" w14:paraId="2090D33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3D168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Погрешность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измерения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тока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54910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в соответствии с эксплуатационной документацией</w:t>
            </w:r>
          </w:p>
        </w:tc>
      </w:tr>
      <w:tr w:rsidR="00FA51A3" w:rsidRPr="00FA51A3" w14:paraId="6A63BC16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2B353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Габаритные размеры, В×Ш×Г, мм, не более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65DA7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118×45×126</w:t>
            </w:r>
          </w:p>
        </w:tc>
      </w:tr>
      <w:tr w:rsidR="00FA51A3" w:rsidRPr="00FA51A3" w14:paraId="46A0CD6D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391D4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Средняя наработка на отказ, не менее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E32D4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24 000 ч</w:t>
            </w:r>
          </w:p>
        </w:tc>
      </w:tr>
      <w:tr w:rsidR="00FA51A3" w:rsidRPr="00FA51A3" w14:paraId="6DEC5C3E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5A358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Срок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службы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,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менее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82B27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10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лет</w:t>
            </w:r>
            <w:proofErr w:type="spellEnd"/>
          </w:p>
        </w:tc>
      </w:tr>
    </w:tbl>
    <w:p w14:paraId="252796CB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1F9BB800" w14:textId="66F020CF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Технические характеристики, зависящие от аппаратной версии модуля, должны определяться документацией соответствующей версии. Для версии 2 должно быть предусмотрено хранение расчетных данных на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SD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-карте и синхронизация времени от внешнего источника. Для версии 3 должно быть предусмотрено хранение расчетных данных во встроенной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флеш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-памяти, интегрированной на плату, наличие собственных часов и синхронизация времени от внешнего источника.</w:t>
      </w:r>
    </w:p>
    <w:p w14:paraId="3248CD1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33EEAD0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3.3.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Условия</w:t>
      </w:r>
      <w:proofErr w:type="spellEnd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эксплуатации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FA51A3" w:rsidRPr="00FA51A3" w14:paraId="29E79FD3" w14:textId="77777777" w:rsidTr="00FA51A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15F0D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Наименование</w:t>
            </w:r>
            <w:proofErr w:type="spellEnd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параметра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870AF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Значение</w:t>
            </w:r>
            <w:proofErr w:type="spellEnd"/>
          </w:p>
        </w:tc>
      </w:tr>
      <w:tr w:rsidR="00FA51A3" w:rsidRPr="00FA51A3" w14:paraId="22240C5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B289C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Рабочее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положение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C30A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горизонтальное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или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вертикальное</w:t>
            </w:r>
            <w:proofErr w:type="spellEnd"/>
          </w:p>
        </w:tc>
      </w:tr>
      <w:tr w:rsidR="00FA51A3" w:rsidRPr="00FA51A3" w14:paraId="30CCB43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AE1F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Температура окружающей среды при эксплуатации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9194" w14:textId="44F570DE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от 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-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25 °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до 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+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50 °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FA51A3" w14:paraId="4689499D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B10A1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Температура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хранения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9B81E" w14:textId="23C90195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от 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-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40 °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до 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+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85 °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FA51A3" w14:paraId="33ADDA9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9E966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lastRenderedPageBreak/>
              <w:t>Относительная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влажность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BADF9" w14:textId="510EAF6D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до 98 % при температуре 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+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25 °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FA51A3" w14:paraId="13EC8DF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87282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Атмосферное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давление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DA4EA" w14:textId="77777777" w:rsidR="00FA51A3" w:rsidRPr="00FA51A3" w:rsidRDefault="00FA51A3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от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90,6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</w:t>
            </w:r>
            <w:proofErr w:type="spellEnd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107 </w:t>
            </w:r>
            <w:proofErr w:type="spellStart"/>
            <w:r w:rsidRPr="00FA51A3">
              <w:rPr>
                <w:rFonts w:eastAsia="Times New Roman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кПа</w:t>
            </w:r>
            <w:proofErr w:type="spellEnd"/>
          </w:p>
        </w:tc>
      </w:tr>
    </w:tbl>
    <w:p w14:paraId="07A9F6FF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</w:p>
    <w:p w14:paraId="750FC274" w14:textId="4EDCCCCF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3.4. Требования к устойчивости при транспортировании</w:t>
      </w:r>
    </w:p>
    <w:p w14:paraId="78A3C809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LCT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1114 в транспортной таре должен быть устойчив к воздействию:</w:t>
      </w:r>
    </w:p>
    <w:p w14:paraId="3E3DF0B0" w14:textId="77777777" w:rsidR="00FA51A3" w:rsidRPr="00FA51A3" w:rsidRDefault="00FA51A3" w:rsidP="00FA51A3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температуры окружающей среды в диапазоне от минус 20 °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до плюс 40 °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;</w:t>
      </w:r>
    </w:p>
    <w:p w14:paraId="69476DAC" w14:textId="77777777" w:rsidR="00FA51A3" w:rsidRPr="00FA51A3" w:rsidRDefault="00FA51A3" w:rsidP="00FA51A3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относительной влажности воздуха до 98 % при температуре 25 °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без конденсации влаги;</w:t>
      </w:r>
    </w:p>
    <w:p w14:paraId="7447423D" w14:textId="77777777" w:rsidR="00FA51A3" w:rsidRPr="00FA51A3" w:rsidRDefault="00FA51A3" w:rsidP="00FA51A3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транспортной вибрации и тряски с ускорением до 30 м/с² при частоте ударов от 80 до 120 в минуту.</w:t>
      </w:r>
    </w:p>
    <w:p w14:paraId="6CC5076F" w14:textId="1E75474A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5DBB0F1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4. Функциональные требования</w:t>
      </w:r>
    </w:p>
    <w:p w14:paraId="6C3F5A4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4.1. Контроль фазных токов и коммутационного процесса</w:t>
      </w:r>
    </w:p>
    <w:p w14:paraId="5577E72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трех входов контроля фазных токов выключателя.</w:t>
      </w:r>
    </w:p>
    <w:p w14:paraId="73EACEC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регистрацию формы фазных токов во время операций выключателя.</w:t>
      </w:r>
    </w:p>
    <w:p w14:paraId="120C8B4E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времени горения дуги при отключении полюсов выключателя в пределах, предусмотренных алгоритмами встроенного программного обеспечения.</w:t>
      </w:r>
    </w:p>
    <w:p w14:paraId="0648FA5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коммутационного износа контактов и учет израсходованного коммутационного ресурса на основании измеренных токов и временных параметров коммутации.</w:t>
      </w:r>
    </w:p>
    <w:p w14:paraId="38B8AEA0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Данные осциллограмм фазных токов должны передаваться непосредственно в головной модуль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для хранения, последующей выгрузки и обработки в объеме, предусмотренном программным обеспечением и эксплуатационной документацией.</w:t>
      </w:r>
    </w:p>
    <w:p w14:paraId="77C407D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201013D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4.2. Контроль конечных положений выключателя</w:t>
      </w:r>
    </w:p>
    <w:p w14:paraId="23D68955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дискретных сигналов контроля конечных положений выключателя.</w:t>
      </w:r>
    </w:p>
    <w:p w14:paraId="785F545F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состояния выключателя по сигналам конечных положений.</w:t>
      </w:r>
    </w:p>
    <w:p w14:paraId="7C34C03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контроль корректности сигналов конечных положений, включая выявление ложных, нестабильных и конфликтных сигналов.</w:t>
      </w:r>
    </w:p>
    <w:p w14:paraId="0EBDDF10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программное подавление дребезга входных сигналов в пределах, задаваемых параметрами настройки.</w:t>
      </w:r>
    </w:p>
    <w:p w14:paraId="48F27A17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2523126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4.3. Контроль токов электромагнитов включения и отключения</w:t>
      </w:r>
    </w:p>
    <w:p w14:paraId="4D85A5A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выносных датчиков токов электромагнитов включения и отключения.</w:t>
      </w:r>
    </w:p>
    <w:p w14:paraId="1B2FCB69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измерение токов электромагнитов включения и отключения в момент коммутации в объеме, предусмотренном аппаратной ревизией, встроенным программным обеспечением и эксплуатационной документацией.</w:t>
      </w:r>
    </w:p>
    <w:p w14:paraId="139B3E49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максимального значения тока по каналам электромагнитов включения и отключения в момент коммутации, сохранение рассчитанных максимальных значений в памяти модуля и передачу этих значений в головной модуль или систему верхнего уровня.</w:t>
      </w:r>
    </w:p>
    <w:p w14:paraId="45B12068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Состав сохраняемых и передаваемых расчетных данных по каналам электромагнитов включения и отключения должен определяться программной документацией, эксплуатационной документацией и Приложением № 1 к настоящему ТЗ.</w:t>
      </w:r>
    </w:p>
    <w:p w14:paraId="2DF1FC5C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3734FDD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4.4. Контроль температуры</w:t>
      </w:r>
    </w:p>
    <w:p w14:paraId="06FBD71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подключение термосопротивления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PT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100 для контроля температуры окружающей среды или зоны установки выключателя.</w:t>
      </w:r>
    </w:p>
    <w:p w14:paraId="06772BA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Измеренная температура должна использоваться для отображения, передачи в головной модуль и, при необходимости, для диагностических алгоритмов в объеме, предусмотренном программной документацией.</w:t>
      </w:r>
    </w:p>
    <w:p w14:paraId="24D181A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4.5. Контроль времени операции</w:t>
      </w:r>
    </w:p>
    <w:p w14:paraId="1467A60F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измерение времени операций включения и отключения выключателя.</w:t>
      </w:r>
    </w:p>
    <w:p w14:paraId="675A3E6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Начало операции должно определяться по событию, формируемому по каналу включения/отключения или по устойчивому изменению соответствующего сигнала конечного положения, в соответствии с настройками и программной документацией.</w:t>
      </w:r>
    </w:p>
    <w:p w14:paraId="0C17DA2C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времени достижения целевого конечного положения.</w:t>
      </w:r>
    </w:p>
    <w:p w14:paraId="0A196FA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Для исполнений с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пофазным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контролем модуль должен обеспечивать расчет времени достижения целевого положения по фазам.</w:t>
      </w:r>
    </w:p>
    <w:p w14:paraId="0CDE015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сравнение рассчитанных временных параметров с уставками и формирование статусов:</w:t>
      </w:r>
    </w:p>
    <w:p w14:paraId="3BE610A4" w14:textId="77777777" w:rsidR="00FA51A3" w:rsidRPr="00FA51A3" w:rsidRDefault="00FA51A3" w:rsidP="00FA51A3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Норма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0419399A" w14:textId="77777777" w:rsidR="00FA51A3" w:rsidRPr="00FA51A3" w:rsidRDefault="00FA51A3" w:rsidP="00FA51A3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предупреждение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56C36A23" w14:textId="77777777" w:rsidR="00FA51A3" w:rsidRDefault="00FA51A3" w:rsidP="00FA51A3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авария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25011A86" w14:textId="77777777" w:rsidR="00A7614B" w:rsidRPr="00FA51A3" w:rsidRDefault="00A7614B" w:rsidP="00A761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21CBAC7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4.6.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Контроль</w:t>
      </w:r>
      <w:proofErr w:type="spellEnd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разновременности</w:t>
      </w:r>
      <w:proofErr w:type="spellEnd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фаз</w:t>
      </w:r>
      <w:proofErr w:type="spellEnd"/>
    </w:p>
    <w:p w14:paraId="1DA40C5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Для трехфазного исполнения модуль должен обеспечивать расчет разновременности фаз при включении и отключении выключателя.</w:t>
      </w:r>
    </w:p>
    <w:p w14:paraId="397A983C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Разновременность фаз должна определяться как разница между максимальным и минимальным временем достижения целевого положения по фазам.</w:t>
      </w:r>
    </w:p>
    <w:p w14:paraId="2F2F10D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сравнение разновременности фаз с уставками и формирование диагностического статуса.</w:t>
      </w:r>
    </w:p>
    <w:p w14:paraId="3BA5AFD1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Для одно-приводного исполнения функция контроля разновременности фаз может не применяться, при этом в передаваемых данных должен быть предусмотрен признак недоступности функции или отсутствие соответствующего параметра.</w:t>
      </w:r>
    </w:p>
    <w:p w14:paraId="1AE29DDD" w14:textId="77777777" w:rsid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5948A75C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5E56C91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4.7. Диагностика незавершенных операций и механических аномалий</w:t>
      </w:r>
    </w:p>
    <w:p w14:paraId="426DE50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выявление следующих состояний в объеме, предусмотренном алгоритмами встроенного программного обеспечения:</w:t>
      </w:r>
    </w:p>
    <w:p w14:paraId="0CF81DAE" w14:textId="77777777" w:rsidR="00FA51A3" w:rsidRPr="00FA51A3" w:rsidRDefault="00FA51A3" w:rsidP="00FA51A3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задержка операции включения или отключения;</w:t>
      </w:r>
    </w:p>
    <w:p w14:paraId="25975169" w14:textId="77777777" w:rsidR="00FA51A3" w:rsidRPr="00FA51A3" w:rsidRDefault="00FA51A3" w:rsidP="00FA51A3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недостижение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целевого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конечного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положения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391B01A3" w14:textId="77777777" w:rsidR="00FA51A3" w:rsidRPr="00FA51A3" w:rsidRDefault="00FA51A3" w:rsidP="00FA51A3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незавершенная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операция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5C1A918C" w14:textId="77777777" w:rsidR="00FA51A3" w:rsidRPr="00FA51A3" w:rsidRDefault="00FA51A3" w:rsidP="00FA51A3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механический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отказ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024E7EB5" w14:textId="2BC38076" w:rsidR="00FA51A3" w:rsidRDefault="00FA51A3" w:rsidP="00FA51A3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нестабильность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сигналов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конечных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положений</w:t>
      </w:r>
      <w:proofErr w:type="spellEnd"/>
      <w:r w:rsidR="002A55B1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.</w:t>
      </w:r>
    </w:p>
    <w:p w14:paraId="3D5DB3C0" w14:textId="77777777" w:rsidR="00A7614B" w:rsidRPr="00FA51A3" w:rsidRDefault="00A7614B" w:rsidP="00A761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185F86E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4.8.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Расчет</w:t>
      </w:r>
      <w:proofErr w:type="spellEnd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механического</w:t>
      </w:r>
      <w:proofErr w:type="spellEnd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val="en-US" w:eastAsia="en-US"/>
        </w:rPr>
        <w:t>ресурса</w:t>
      </w:r>
      <w:proofErr w:type="spellEnd"/>
    </w:p>
    <w:p w14:paraId="23C5FDC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учет количества операций включения и отключения выключателя.</w:t>
      </w:r>
    </w:p>
    <w:p w14:paraId="7DA62AFC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израсходованного механического ресурса на основании накопленного количества операций и заданного паспортного ресурса выключателя.</w:t>
      </w:r>
    </w:p>
    <w:p w14:paraId="6ACC085F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Для исполнений с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пофазным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контролем учет операций и расчет ресурса должны выполняться по фазам или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агрегированно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в соответствии с настройками и программной документацией.</w:t>
      </w:r>
    </w:p>
    <w:p w14:paraId="306A03E6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Счетчики ресурса должны сохраняться в энергонезависимой памяти в объеме, предусмотренном программной документацией.</w:t>
      </w:r>
    </w:p>
    <w:p w14:paraId="0DAC1684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6E244ADF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4.9. Учет электрического и коммутационного ресурса</w:t>
      </w:r>
    </w:p>
    <w:p w14:paraId="01592F5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регистрацию данных, необходимых для учета электрического и коммутационного ресурса выключателя.</w:t>
      </w:r>
    </w:p>
    <w:p w14:paraId="55791C4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учет израсходованного электрического и коммутационного ресурса в объеме, предусмотренном встроенным программным обеспечением, настройками и эксплуатационной документацией.</w:t>
      </w:r>
    </w:p>
    <w:p w14:paraId="223DBDB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Данные, необходимые для последующей классификации операций выключателя и обработки переходных процессов, должны передаваться в головной модуль или систему верхнего уровня в объеме, предусмотренном программным обеспечением и эксплуатационной документацией.</w:t>
      </w:r>
    </w:p>
    <w:p w14:paraId="35A2C03C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lastRenderedPageBreak/>
        <w:t>Модуль должен обеспечивать формирование предупредительных и аварийных статусов при достижении заданных порогов израсходованного ресурса, если такие пороги предусмотрены настройками и программным обеспечением.</w:t>
      </w:r>
    </w:p>
    <w:p w14:paraId="7BF73213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3FB5999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4.10. Передача данных и взаимодействие с системой</w:t>
      </w:r>
    </w:p>
    <w:p w14:paraId="34D1D68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передачу измеренных, расчетных и диагностических данных в головной модуль системы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Lorentz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через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X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2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X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.</w:t>
      </w:r>
    </w:p>
    <w:p w14:paraId="711FB40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самостоятельный режим работы с передачей данных по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Modbus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RTU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/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Modbus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TCP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в объеме, предусмотренном аппаратной ревизией, встроенным программным обеспечением и эксплуатационной документацией.</w:t>
      </w:r>
    </w:p>
    <w:p w14:paraId="6849AF0E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иметь интерфейс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Ethernet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RJ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45 для обмена с верхним уровнем и доступа к расчетным, диагностическим и сервисным данным в объеме, предусмотренном программным обеспечением и эксплуатационной документацией.</w:t>
      </w:r>
    </w:p>
    <w:p w14:paraId="6DCD8F5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Состав передаваемых параметров, адресация, форматы данных, параметры обмена и состав диагностических флагов должны определяться описанием протокола обмена, встроенным программным обеспечением и эксплуатационной документацией.</w:t>
      </w:r>
    </w:p>
    <w:p w14:paraId="0201D67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Описание обмена по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Modbus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RTU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/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Modbus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TCP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должно входить в комплект передаваемой документации, указанный в Приложении № 1 к настоящему ТЗ.</w:t>
      </w:r>
    </w:p>
    <w:p w14:paraId="1B8DCB2F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формирование данных осциллограмм фазных токов и передачу этих данных непосредственно в головной модуль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по мере появления и готовности данных.</w:t>
      </w:r>
    </w:p>
    <w:p w14:paraId="29B87AC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Формат передачи осциллографических данных от модуля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LCT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1114 в головной модуль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должен определяться программной документацией и описанием протокола обмена. Хранение осциллограмм и формирование файлов обменного формата должны выполняться головным модулем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, системой верхнего уровня или внешним программным обеспечением в объеме, предусмотренном Приложением № 1 к настоящему ТЗ.</w:t>
      </w:r>
    </w:p>
    <w:p w14:paraId="254B17AF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При формировании и передаче осциллографических данных допускается увеличение времени ответа модуля на запрос в пределах, предусмотренных эксплуатационной документацией.</w:t>
      </w:r>
    </w:p>
    <w:p w14:paraId="6E67A4C6" w14:textId="77777777" w:rsid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5EED05C1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4CD863EC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4.11. Индикация и диагностика состояния модуля</w:t>
      </w:r>
    </w:p>
    <w:p w14:paraId="247E3C4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иметь светодиодную индикацию:</w:t>
      </w:r>
    </w:p>
    <w:p w14:paraId="19DB9769" w14:textId="77777777" w:rsidR="00FA51A3" w:rsidRPr="00FA51A3" w:rsidRDefault="00FA51A3" w:rsidP="00FA51A3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100" w:beforeAutospacing="1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питания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184C5749" w14:textId="77777777" w:rsidR="00FA51A3" w:rsidRPr="00FA51A3" w:rsidRDefault="00FA51A3" w:rsidP="00FA51A3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состояния связи с головным модулем;</w:t>
      </w:r>
    </w:p>
    <w:p w14:paraId="43BD5194" w14:textId="77777777" w:rsidR="00FA51A3" w:rsidRPr="00FA51A3" w:rsidRDefault="00FA51A3" w:rsidP="00FA51A3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процесса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обработки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данных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50EF6E3C" w14:textId="77777777" w:rsidR="00FA51A3" w:rsidRPr="00FA51A3" w:rsidRDefault="00FA51A3" w:rsidP="00FA51A3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исправности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модуля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0C64DAF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Модуль должен обеспечивать диагностику собственного состояния, состояния связи с головным модулем и состояния самостоятельного обмена с верхним уровнем в объеме, предусмотренном программным обеспечением и эксплуатационной документацией.</w:t>
      </w:r>
    </w:p>
    <w:p w14:paraId="143160DF" w14:textId="4602A7F6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455DF964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5. Выбор технологий реализации</w:t>
      </w:r>
    </w:p>
    <w:p w14:paraId="41355BE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Технологии программирования и алгоритмы работы при создании Объекта определяются и указываются в Приложении № 1 к настоящему ТЗ.</w:t>
      </w:r>
    </w:p>
    <w:p w14:paraId="37128574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Алгоритмы расчета временных параметров, ресурса, диагностических флагов, статусов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WARN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/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ALARM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, параметров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осциллографирования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, синхронизации времени, хранения расчетных данных, форматов передачи осциллограмм и состава передаваемых данных должны определяться программной документацией, эксплуатационной документацией и описанием протокола обмена. Обработка осциллограмм, формирование файлов обменного формата и расширенная математическая обработка данных должны выполняться головным модулем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LCP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, системой верхнего уровня или внешним программным обеспечением в объеме, предусмотренном Приложением № 1 к настоящему ТЗ.</w:t>
      </w:r>
    </w:p>
    <w:p w14:paraId="5C968E4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Подробные формулы, перечень внутренних переменных, уставок, диагностических флагов, тест-кейсов и сценариев проверки не включаются в основной текст настоящего ТЗ и должны быть приведены в программной документации, сервисной документации или Приложении № 1 в объеме, согласованном сторонами.</w:t>
      </w:r>
    </w:p>
    <w:p w14:paraId="16DC28A9" w14:textId="6EF262F4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1710951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6. Описание этапов разработки</w:t>
      </w:r>
    </w:p>
    <w:p w14:paraId="723467F2" w14:textId="77777777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Описание этапов разработки устанавливается и определяется в следующем порядке.</w:t>
      </w:r>
    </w:p>
    <w:p w14:paraId="01EFEC66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5F84B1E3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6.1. Анализ требований и концептуальное проектирование</w:t>
      </w:r>
    </w:p>
    <w:p w14:paraId="00A93ECA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Сбор и анализ требований к модулю, включая состав входов, интерфейсов, диагностических функций и алгоритмов учета ресурса.</w:t>
      </w:r>
    </w:p>
    <w:p w14:paraId="77DA7F61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Формирование концептуального описания модуля, включая функциональную схему, варианты подключения к выключателю и варианты применения в составе системы Lorentz.</w:t>
      </w:r>
    </w:p>
    <w:p w14:paraId="1455AEB1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Согласование требований с Заказчиком.</w:t>
      </w:r>
    </w:p>
    <w:p w14:paraId="2DE8678D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361B844F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6.2. Эскизное проектирование</w:t>
      </w:r>
    </w:p>
    <w:p w14:paraId="58AF9387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Разработка структурной и принципиальной электрической схемы модуля.</w:t>
      </w:r>
    </w:p>
    <w:p w14:paraId="62BB9129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Предварительный выбор измерительных, интерфейсных и защитных компонентов.</w:t>
      </w:r>
    </w:p>
    <w:p w14:paraId="50BCBA0B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Создание предварительных чертежей и 3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D</w:t>
      </w: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-моделей корпуса, печатной платы и сборочных единиц.</w:t>
      </w:r>
    </w:p>
    <w:p w14:paraId="733A2444" w14:textId="77777777" w:rsidR="00FA51A3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Согласование эскизного проекта и 3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D</w:t>
      </w: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-моделей с Заказчиком.</w:t>
      </w:r>
    </w:p>
    <w:p w14:paraId="75FA35D9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188E309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6.3. Разработка рабочего проекта</w:t>
      </w:r>
    </w:p>
    <w:p w14:paraId="21EB4D01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Детализация принципиальной схемы.</w:t>
      </w:r>
    </w:p>
    <w:p w14:paraId="5AF5D6A9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Разработка печатной платы.</w:t>
      </w:r>
    </w:p>
    <w:p w14:paraId="2438ED2F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Подготовка и выпуск сборочных чертежей и конструкторской документации.</w:t>
      </w:r>
    </w:p>
    <w:p w14:paraId="36EFEB1B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Создание спецификации покупных и изготавливаемых компонентов.</w:t>
      </w:r>
    </w:p>
    <w:p w14:paraId="2D1B4C24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Разработка встроенного программного обеспечения модуля.</w:t>
      </w:r>
    </w:p>
    <w:p w14:paraId="0B44D90C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Разработка документации ОТК для сборки и контроля.</w:t>
      </w:r>
    </w:p>
    <w:p w14:paraId="6B475E46" w14:textId="77777777" w:rsidR="00FA51A3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Подготовка документа по </w:t>
      </w:r>
      <w:proofErr w:type="spellStart"/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настройке</w:t>
      </w:r>
      <w:proofErr w:type="spellEnd"/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и </w:t>
      </w:r>
      <w:proofErr w:type="spellStart"/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тестированию</w:t>
      </w:r>
      <w:proofErr w:type="spellEnd"/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модуля</w:t>
      </w:r>
      <w:proofErr w:type="spellEnd"/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3FEEA062" w14:textId="77777777" w:rsidR="00A7614B" w:rsidRPr="00A7614B" w:rsidRDefault="00A7614B" w:rsidP="00A761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</w:p>
    <w:p w14:paraId="2BF8971F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6.4. Изготовление и испытания опытного образца</w:t>
      </w:r>
    </w:p>
    <w:p w14:paraId="7ACA451E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Сборка прототипа модуля.</w:t>
      </w:r>
    </w:p>
    <w:p w14:paraId="3CCA8D54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Первичное тестирование и отладка по документам ОТК.</w:t>
      </w:r>
    </w:p>
    <w:p w14:paraId="419CABE7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Проведение электрических и функциональных испытаний.</w:t>
      </w:r>
    </w:p>
    <w:p w14:paraId="327B9556" w14:textId="77777777" w:rsidR="00FA51A3" w:rsidRPr="00A7614B" w:rsidRDefault="00FA51A3" w:rsidP="00A7614B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A7614B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Подготовка отчетов по результатам испытаний.</w:t>
      </w:r>
    </w:p>
    <w:p w14:paraId="4A1CC49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6.5. Подготовка и передача документации и комплекта на изделие</w:t>
      </w:r>
    </w:p>
    <w:p w14:paraId="4CAF4945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Вся передаваемая документация должна соответствовать перечню и форматам, указанным в Приложении № 1 к настоящему ТЗ.</w:t>
      </w:r>
    </w:p>
    <w:p w14:paraId="7B9AC989" w14:textId="47D07327" w:rsidR="00FA51A3" w:rsidRPr="00A7614B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7C32751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7. Консультации, инструктаж и обучение</w:t>
      </w:r>
    </w:p>
    <w:p w14:paraId="36C2076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Исполнитель предоставляет Заказчику до 10 консультационных часов.</w:t>
      </w:r>
    </w:p>
    <w:p w14:paraId="4CA21E55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Все консультации, инструктаж и обучение осуществляются исключительно в пределах этих часов.</w:t>
      </w:r>
    </w:p>
    <w:p w14:paraId="027273A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Превышение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лимита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оплачивается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отдельно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7BCBA029" w14:textId="22DE709E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4DCC4493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8. Порядок использования объекта</w:t>
      </w:r>
    </w:p>
    <w:p w14:paraId="306F999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Порядок использования объекта определяется в следующем порядке: Объект используется в производстве Заказчика в полном объеме.</w:t>
      </w:r>
    </w:p>
    <w:p w14:paraId="4463F5B2" w14:textId="4A9321E2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49D57E3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9. Условия использования Объекта</w:t>
      </w:r>
    </w:p>
    <w:p w14:paraId="1E57C193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Объект после передачи по Акту приема-передачи Заказчик использует полностью в своих коммерческих интересах.</w:t>
      </w:r>
    </w:p>
    <w:p w14:paraId="27A9E3B8" w14:textId="0987B5B2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3B91CFF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10. Ограничения по использованию Объекта</w:t>
      </w:r>
    </w:p>
    <w:p w14:paraId="63E4844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Исполнитель не имеет права применять и реализовывать Объект на коммерческих условиях без письменного согласия Заказчика, а также упоминать его в рекламных целях.</w:t>
      </w:r>
    </w:p>
    <w:p w14:paraId="50B2BB08" w14:textId="365211EE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73BE00B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11. Исключительное право</w:t>
      </w:r>
    </w:p>
    <w:p w14:paraId="5B2D578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Исключительное право на Объект возникает у Заказчика.</w:t>
      </w:r>
    </w:p>
    <w:p w14:paraId="7583859F" w14:textId="0586AE02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51AA0BB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12. Регистрация права</w:t>
      </w:r>
    </w:p>
    <w:p w14:paraId="039034FD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Необходимость регистрации исключительного права на Объект в ходе выполнения настоящего Договора не предусматривается.</w:t>
      </w:r>
    </w:p>
    <w:p w14:paraId="4E4D88A7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В случае необходимости регистрации исключительного права на Объект с заявлением о регистрации права обращается только Заказчик.</w:t>
      </w:r>
    </w:p>
    <w:p w14:paraId="0F805818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Право на результат после государственной регистрации возникает у Заказчика.</w:t>
      </w:r>
    </w:p>
    <w:p w14:paraId="49C05A00" w14:textId="1ACE2E56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73497E33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13. Ограничения доступа к материалам</w:t>
      </w:r>
    </w:p>
    <w:p w14:paraId="657B605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Технологии, технические устройства или их компоненты, контролирующие доступ к объекту, результату, предотвращающие либо ограничивающие осуществление действий, которые не разрешены автором или иным правообладателем, пароли, условия и порядок доступа не применяются.</w:t>
      </w:r>
    </w:p>
    <w:p w14:paraId="492ACB95" w14:textId="72D46824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09D0E9E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14. Перечень передаваемых материалов</w:t>
      </w:r>
    </w:p>
    <w:p w14:paraId="2EA9DD1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Перечень и формат передаваемых сведений указываются в Приложении № 1 к настоящему Техническому заданию.</w:t>
      </w:r>
    </w:p>
    <w:p w14:paraId="4592BE13" w14:textId="59AC112E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2992C422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15. Способ передачи материалов</w:t>
      </w:r>
    </w:p>
    <w:p w14:paraId="7E7B0F09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Материальный носитель, на котором передается результат, -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USB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Flash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 носитель и дублирование через защищенное облачное хранилище, указываются в Приложении № 1 к настоящему ТЗ.</w:t>
      </w:r>
    </w:p>
    <w:p w14:paraId="51FCBF6F" w14:textId="391C0553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6848E634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16. Сроки передачи</w:t>
      </w:r>
    </w:p>
    <w:p w14:paraId="4FB453C6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Срок подготовки и передачи объекта не позднее __________________.</w:t>
      </w:r>
    </w:p>
    <w:p w14:paraId="53FEA892" w14:textId="03052569" w:rsid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5F40408F" w14:textId="77777777" w:rsid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7293BBCF" w14:textId="77777777" w:rsid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1001784A" w14:textId="77777777" w:rsidR="00A7614B" w:rsidRPr="00A7614B" w:rsidRDefault="00A7614B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6B95DA7A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17. Условия передачи</w:t>
      </w:r>
    </w:p>
    <w:p w14:paraId="6EEB7AAC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Отчетная документация Акт приема-передачи Объекта подписывается сторонами после полной передачи материалов, указанных в Приложении № 1, в течение 10 рабочих дней с момента получения результатов, указанных в п. 14 и п. 15, при отсутствии замечаний к результату.</w:t>
      </w:r>
    </w:p>
    <w:p w14:paraId="5ACDF82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Исполнитель обязуется устранить замечания Заказчика, относящиеся к несоответствию результата условиям ТЗ.</w:t>
      </w:r>
    </w:p>
    <w:p w14:paraId="2AB661D0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Замечания, не связанные с нарушением ТЗ или предполагающие изменение или расширение результата, оформляются как дополнительные работы и оплачиваются по отдельному соглашению.</w:t>
      </w:r>
    </w:p>
    <w:p w14:paraId="31D33A63" w14:textId="7778E1F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0F73A8EE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18. Вознаграждение и порядок оплаты</w:t>
      </w:r>
    </w:p>
    <w:p w14:paraId="63247871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Вознаграждение Исполнителя составляет ________________, НДС не облагается.</w:t>
      </w:r>
    </w:p>
    <w:p w14:paraId="092D79EB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Порядок уплаты вознаграждения осуществляется в следующем порядке:</w:t>
      </w:r>
    </w:p>
    <w:p w14:paraId="30AAF14E" w14:textId="77777777" w:rsidR="00FA51A3" w:rsidRPr="00FA51A3" w:rsidRDefault="00FA51A3" w:rsidP="002A55B1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before="100" w:beforeAutospacing="1" w:after="100" w:afterAutospacing="1" w:line="276" w:lineRule="auto"/>
        <w:ind w:left="9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 xml:space="preserve">50 % от суммы вознаграждения в размере ____________ рублей 00 копеек, НДС не облагается, в течение 5 рабочих дней с даты подписания Акта приема передачи материалов согласно Приложению </w:t>
      </w:r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№ 1 и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счета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на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оплату</w:t>
      </w:r>
      <w:proofErr w:type="spellEnd"/>
      <w:r w:rsidRPr="00FA51A3">
        <w:rPr>
          <w:rFonts w:eastAsia="Times New Roman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28F81B5F" w14:textId="77777777" w:rsidR="00FA51A3" w:rsidRPr="00FA51A3" w:rsidRDefault="00FA51A3" w:rsidP="002A55B1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before="60" w:after="100" w:afterAutospacing="1" w:line="276" w:lineRule="auto"/>
        <w:ind w:left="90" w:firstLine="720"/>
        <w:jc w:val="both"/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color w:val="1F2328"/>
          <w:szCs w:val="24"/>
          <w:bdr w:val="none" w:sz="0" w:space="0" w:color="auto"/>
          <w:lang w:eastAsia="en-US"/>
        </w:rPr>
        <w:t>50 % от суммы вознаграждения в размере ____________ рублей 00 копеек, НДС не облагается, оплачивается после подписания Акта приема-передачи объекта не позднее ____________.</w:t>
      </w:r>
    </w:p>
    <w:p w14:paraId="513EE3C7" w14:textId="7381C31B" w:rsidR="00FA51A3" w:rsidRPr="00FA51A3" w:rsidRDefault="00FA51A3" w:rsidP="002A55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9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val="en-US" w:eastAsia="en-US"/>
        </w:rPr>
      </w:pPr>
    </w:p>
    <w:p w14:paraId="74B52215" w14:textId="77777777" w:rsidR="00FA51A3" w:rsidRPr="00FA51A3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FA51A3">
        <w:rPr>
          <w:rFonts w:eastAsia="Times New Roman" w:cs="Segoe UI"/>
          <w:b/>
          <w:bCs/>
          <w:color w:val="1F2328"/>
          <w:szCs w:val="24"/>
          <w:bdr w:val="none" w:sz="0" w:space="0" w:color="auto"/>
          <w:lang w:eastAsia="en-US"/>
        </w:rPr>
        <w:t>Подписи Сторон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7614B" w14:paraId="3034DEF6" w14:textId="77777777" w:rsidTr="002A55B1">
        <w:tc>
          <w:tcPr>
            <w:tcW w:w="4675" w:type="dxa"/>
          </w:tcPr>
          <w:p w14:paraId="3701E918" w14:textId="77777777" w:rsidR="00A7614B" w:rsidRPr="00FA51A3" w:rsidRDefault="00A7614B" w:rsidP="00A761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  <w:t>Заказчик:</w:t>
            </w:r>
            <w:r w:rsidRPr="00FA51A3"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 xml:space="preserve">ООО «ЛЕВИН </w:t>
            </w:r>
            <w:proofErr w:type="spellStart"/>
            <w:r w:rsidRPr="00FA51A3"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  <w:t>Фотоникс</w:t>
            </w:r>
            <w:proofErr w:type="spellEnd"/>
            <w:r w:rsidRPr="00FA51A3"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  <w:t>»</w:t>
            </w:r>
          </w:p>
          <w:p w14:paraId="000B5DE1" w14:textId="77777777" w:rsidR="00A7614B" w:rsidRDefault="00A7614B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eastAsia="Times New Roman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</w:pPr>
          </w:p>
        </w:tc>
        <w:tc>
          <w:tcPr>
            <w:tcW w:w="4675" w:type="dxa"/>
          </w:tcPr>
          <w:p w14:paraId="1D127833" w14:textId="77777777" w:rsidR="00A7614B" w:rsidRDefault="00A7614B" w:rsidP="00A761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  <w:t>Исполнитель:</w:t>
            </w:r>
            <w:r w:rsidRPr="00FA51A3"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>ИП Морозова А.</w:t>
            </w:r>
          </w:p>
          <w:p w14:paraId="0F6A1DDC" w14:textId="2D4DCF32" w:rsidR="00A7614B" w:rsidRPr="00FA51A3" w:rsidRDefault="00A7614B" w:rsidP="00A761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FA51A3">
              <w:rPr>
                <w:rFonts w:eastAsia="Times New Roman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>____________________ Морозова А.</w:t>
            </w:r>
          </w:p>
          <w:p w14:paraId="4F1D4034" w14:textId="77777777" w:rsidR="00A7614B" w:rsidRDefault="00A7614B" w:rsidP="00FA51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eastAsia="Times New Roman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</w:pPr>
          </w:p>
        </w:tc>
      </w:tr>
    </w:tbl>
    <w:p w14:paraId="0B81721A" w14:textId="5426D5AC" w:rsidR="00FA51A3" w:rsidRPr="00A7614B" w:rsidRDefault="00FA51A3" w:rsidP="00FA51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eastAsia="Times New Roman" w:cs="Segoe UI"/>
          <w:color w:val="auto"/>
          <w:szCs w:val="24"/>
          <w:bdr w:val="none" w:sz="0" w:space="0" w:color="auto"/>
          <w:lang w:eastAsia="en-US"/>
        </w:rPr>
      </w:pPr>
    </w:p>
    <w:p w14:paraId="5F5814B5" w14:textId="77777777" w:rsidR="00A7614B" w:rsidRPr="00FA51A3" w:rsidRDefault="00A7614B">
      <w:pPr>
        <w:spacing w:line="276" w:lineRule="auto"/>
        <w:ind w:firstLine="720"/>
        <w:jc w:val="both"/>
        <w:rPr>
          <w:szCs w:val="24"/>
        </w:rPr>
      </w:pPr>
    </w:p>
    <w:sectPr w:rsidR="00A7614B" w:rsidRPr="00FA51A3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F2EE46" w14:textId="77777777" w:rsidR="004D1E55" w:rsidRDefault="004D1E55" w:rsidP="00FA51A3">
      <w:pPr>
        <w:spacing w:after="0"/>
      </w:pPr>
      <w:r>
        <w:separator/>
      </w:r>
    </w:p>
  </w:endnote>
  <w:endnote w:type="continuationSeparator" w:id="0">
    <w:p w14:paraId="0C1FD690" w14:textId="77777777" w:rsidR="004D1E55" w:rsidRDefault="004D1E55" w:rsidP="00FA51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roxima Nova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 Semibold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roxima Nova Light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58147102"/>
      <w:docPartObj>
        <w:docPartGallery w:val="Page Numbers (Bottom of Page)"/>
        <w:docPartUnique/>
      </w:docPartObj>
    </w:sdtPr>
    <w:sdtContent>
      <w:p w14:paraId="19085FE1" w14:textId="17836EE5" w:rsidR="00FA51A3" w:rsidRDefault="00FA51A3" w:rsidP="003807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DD54BA" w14:textId="77777777" w:rsidR="00FA51A3" w:rsidRDefault="00FA51A3" w:rsidP="00FA51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958706613"/>
      <w:docPartObj>
        <w:docPartGallery w:val="Page Numbers (Bottom of Page)"/>
        <w:docPartUnique/>
      </w:docPartObj>
    </w:sdtPr>
    <w:sdtContent>
      <w:p w14:paraId="46357BE7" w14:textId="6DAFF15E" w:rsidR="00FA51A3" w:rsidRDefault="00FA51A3" w:rsidP="003807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14:paraId="127C50D3" w14:textId="77777777" w:rsidR="00FA51A3" w:rsidRDefault="00FA51A3" w:rsidP="00FA51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9F35F1" w14:textId="77777777" w:rsidR="004D1E55" w:rsidRDefault="004D1E55" w:rsidP="00FA51A3">
      <w:pPr>
        <w:spacing w:after="0"/>
      </w:pPr>
      <w:r>
        <w:separator/>
      </w:r>
    </w:p>
  </w:footnote>
  <w:footnote w:type="continuationSeparator" w:id="0">
    <w:p w14:paraId="592CC070" w14:textId="77777777" w:rsidR="004D1E55" w:rsidRDefault="004D1E55" w:rsidP="00FA51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D7E14"/>
    <w:multiLevelType w:val="multilevel"/>
    <w:tmpl w:val="3CE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4F5"/>
    <w:multiLevelType w:val="multilevel"/>
    <w:tmpl w:val="295CFB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EE72DD"/>
    <w:multiLevelType w:val="hybridMultilevel"/>
    <w:tmpl w:val="A704C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21FD3"/>
    <w:multiLevelType w:val="multilevel"/>
    <w:tmpl w:val="9ED255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288C"/>
    <w:multiLevelType w:val="multilevel"/>
    <w:tmpl w:val="71A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57DE"/>
    <w:multiLevelType w:val="multilevel"/>
    <w:tmpl w:val="537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F7396"/>
    <w:multiLevelType w:val="hybridMultilevel"/>
    <w:tmpl w:val="00FC3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C54275"/>
    <w:multiLevelType w:val="hybridMultilevel"/>
    <w:tmpl w:val="64322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6C5079"/>
    <w:multiLevelType w:val="multilevel"/>
    <w:tmpl w:val="0F5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05AB8"/>
    <w:multiLevelType w:val="hybridMultilevel"/>
    <w:tmpl w:val="16AA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8E68FE"/>
    <w:multiLevelType w:val="multilevel"/>
    <w:tmpl w:val="668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35298"/>
    <w:multiLevelType w:val="multilevel"/>
    <w:tmpl w:val="BECAC93C"/>
    <w:lvl w:ilvl="0">
      <w:start w:val="1"/>
      <w:numFmt w:val="decimal"/>
      <w:pStyle w:val="Tit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6095077">
    <w:abstractNumId w:val="1"/>
  </w:num>
  <w:num w:numId="2" w16cid:durableId="830758474">
    <w:abstractNumId w:val="1"/>
  </w:num>
  <w:num w:numId="3" w16cid:durableId="1070690507">
    <w:abstractNumId w:val="11"/>
  </w:num>
  <w:num w:numId="4" w16cid:durableId="1056588369">
    <w:abstractNumId w:val="4"/>
  </w:num>
  <w:num w:numId="5" w16cid:durableId="902718080">
    <w:abstractNumId w:val="5"/>
  </w:num>
  <w:num w:numId="6" w16cid:durableId="2107382951">
    <w:abstractNumId w:val="0"/>
  </w:num>
  <w:num w:numId="7" w16cid:durableId="1826506686">
    <w:abstractNumId w:val="10"/>
  </w:num>
  <w:num w:numId="8" w16cid:durableId="1486436123">
    <w:abstractNumId w:val="3"/>
  </w:num>
  <w:num w:numId="9" w16cid:durableId="1263227007">
    <w:abstractNumId w:val="8"/>
  </w:num>
  <w:num w:numId="10" w16cid:durableId="1067147771">
    <w:abstractNumId w:val="2"/>
  </w:num>
  <w:num w:numId="11" w16cid:durableId="354425920">
    <w:abstractNumId w:val="9"/>
  </w:num>
  <w:num w:numId="12" w16cid:durableId="1487358705">
    <w:abstractNumId w:val="7"/>
  </w:num>
  <w:num w:numId="13" w16cid:durableId="206478697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A3"/>
    <w:rsid w:val="00271F44"/>
    <w:rsid w:val="002A55B1"/>
    <w:rsid w:val="00367B98"/>
    <w:rsid w:val="003C29A3"/>
    <w:rsid w:val="003F26F6"/>
    <w:rsid w:val="004D1E55"/>
    <w:rsid w:val="0054657C"/>
    <w:rsid w:val="007D4B16"/>
    <w:rsid w:val="00880B27"/>
    <w:rsid w:val="00A7614B"/>
    <w:rsid w:val="00FA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85D1"/>
  <w15:chartTrackingRefBased/>
  <w15:docId w15:val="{C7441794-59AD-9A48-BCE6-585A5B0F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B27"/>
    <w:pPr>
      <w:pBdr>
        <w:top w:val="nil"/>
        <w:left w:val="nil"/>
        <w:bottom w:val="nil"/>
        <w:right w:val="nil"/>
        <w:between w:val="nil"/>
        <w:bar w:val="nil"/>
      </w:pBdr>
      <w:spacing w:after="200"/>
      <w:ind w:left="2160"/>
    </w:pPr>
    <w:rPr>
      <w:rFonts w:ascii="Proxima Nova" w:eastAsia="Arial Unicode MS" w:hAnsi="Proxima Nova" w:cs="Arial Unicode MS"/>
      <w:color w:val="000000"/>
      <w:kern w:val="0"/>
      <w:szCs w:val="22"/>
      <w:u w:color="000000"/>
      <w:bdr w:val="nil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80B2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76" w:lineRule="auto"/>
      <w:ind w:left="0"/>
      <w:jc w:val="center"/>
      <w:outlineLvl w:val="0"/>
    </w:pPr>
    <w:rPr>
      <w:rFonts w:ascii="Proxima Nova Semibold" w:eastAsiaTheme="majorEastAsia" w:hAnsi="Proxima Nova Semibold" w:cstheme="majorBidi"/>
      <w:b/>
      <w:color w:val="000000" w:themeColor="text1"/>
      <w:kern w:val="2"/>
      <w:sz w:val="32"/>
      <w:szCs w:val="32"/>
      <w:bdr w:val="none" w:sz="0" w:space="0" w:color="auto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80B2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after="0" w:line="276" w:lineRule="auto"/>
      <w:ind w:left="0"/>
      <w:outlineLvl w:val="1"/>
    </w:pPr>
    <w:rPr>
      <w:rFonts w:ascii="Proxima Nova Semibold" w:eastAsiaTheme="majorEastAsia" w:hAnsi="Proxima Nova Semibold" w:cstheme="majorBidi"/>
      <w:b/>
      <w:color w:val="000000" w:themeColor="text1"/>
      <w:kern w:val="2"/>
      <w:szCs w:val="26"/>
      <w:bdr w:val="none" w:sz="0" w:space="0" w:color="auto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67B98"/>
    <w:pPr>
      <w:keepNext/>
      <w:keepLines/>
      <w:spacing w:before="40" w:after="0"/>
      <w:ind w:left="720"/>
      <w:outlineLvl w:val="2"/>
    </w:pPr>
    <w:rPr>
      <w:rFonts w:ascii="Proxima Nova Semibold" w:eastAsiaTheme="majorEastAsia" w:hAnsi="Proxima Nova Semibold" w:cstheme="majorBidi"/>
      <w:b/>
      <w:color w:val="000000" w:themeColor="text1"/>
      <w:kern w:val="2"/>
      <w:sz w:val="28"/>
      <w:szCs w:val="2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67B98"/>
    <w:pPr>
      <w:widowControl w:val="0"/>
      <w:autoSpaceDE w:val="0"/>
      <w:autoSpaceDN w:val="0"/>
      <w:spacing w:after="0"/>
    </w:pPr>
    <w:rPr>
      <w:rFonts w:eastAsia="Arial" w:cs="Arial"/>
      <w:kern w:val="2"/>
      <w:sz w:val="22"/>
      <w:szCs w:val="24"/>
      <w:lang w:val="en-US"/>
      <w14:ligatures w14:val="standardContextual"/>
    </w:rPr>
  </w:style>
  <w:style w:type="character" w:customStyle="1" w:styleId="BodyTextChar">
    <w:name w:val="Body Text Char"/>
    <w:link w:val="BodyText"/>
    <w:uiPriority w:val="1"/>
    <w:rsid w:val="00367B98"/>
    <w:rPr>
      <w:rFonts w:ascii="Proxima Nova" w:eastAsia="Arial" w:hAnsi="Proxima Nova" w:cs="Arial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80B27"/>
    <w:rPr>
      <w:rFonts w:ascii="Proxima Nova Semibold" w:eastAsiaTheme="majorEastAsia" w:hAnsi="Proxima Nova Semibold" w:cstheme="majorBidi"/>
      <w:b/>
      <w:color w:val="000000" w:themeColor="text1"/>
      <w:szCs w:val="26"/>
    </w:rPr>
  </w:style>
  <w:style w:type="paragraph" w:styleId="Title">
    <w:name w:val="Title"/>
    <w:basedOn w:val="ListParagraph"/>
    <w:next w:val="Normal"/>
    <w:link w:val="TitleChar"/>
    <w:autoRedefine/>
    <w:uiPriority w:val="10"/>
    <w:qFormat/>
    <w:rsid w:val="00367B98"/>
    <w:pPr>
      <w:widowControl w:val="0"/>
      <w:numPr>
        <w:numId w:val="3"/>
      </w:numPr>
      <w:autoSpaceDE w:val="0"/>
      <w:autoSpaceDN w:val="0"/>
      <w:adjustRightInd w:val="0"/>
      <w:spacing w:before="120" w:after="120"/>
      <w:ind w:left="1080" w:hanging="360"/>
    </w:pPr>
    <w:rPr>
      <w:rFonts w:ascii="Proxima Nova Semibold" w:eastAsiaTheme="minorHAnsi" w:hAnsi="Proxima Nova Semibold" w:cs="Arial"/>
      <w:b/>
      <w:bCs/>
      <w:kern w:val="2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7B98"/>
    <w:rPr>
      <w:rFonts w:ascii="Proxima Nova Semibold" w:hAnsi="Proxima Nova Semibold" w:cs="Arial"/>
      <w:b/>
      <w:bCs/>
      <w:color w:val="000000" w:themeColor="text1"/>
    </w:rPr>
  </w:style>
  <w:style w:type="paragraph" w:styleId="ListParagraph">
    <w:name w:val="List Paragraph"/>
    <w:basedOn w:val="Normal"/>
    <w:autoRedefine/>
    <w:uiPriority w:val="34"/>
    <w:qFormat/>
    <w:rsid w:val="00367B98"/>
    <w:pPr>
      <w:spacing w:after="0"/>
      <w:ind w:left="3600"/>
      <w:contextualSpacing/>
    </w:pPr>
    <w:rPr>
      <w:color w:val="000000" w:themeColor="text1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67B98"/>
    <w:rPr>
      <w:rFonts w:ascii="Proxima Nova Semibold" w:eastAsiaTheme="majorEastAsia" w:hAnsi="Proxima Nova Semibold" w:cstheme="majorBidi"/>
      <w:b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80B27"/>
    <w:rPr>
      <w:rFonts w:ascii="Proxima Nova Semibold" w:eastAsiaTheme="majorEastAsia" w:hAnsi="Proxima Nova Semibold" w:cstheme="majorBidi"/>
      <w:b/>
      <w:color w:val="000000" w:themeColor="text1"/>
      <w:sz w:val="32"/>
      <w:szCs w:val="32"/>
    </w:rPr>
  </w:style>
  <w:style w:type="character" w:styleId="Strong">
    <w:name w:val="Strong"/>
    <w:basedOn w:val="DefaultParagraphFont"/>
    <w:uiPriority w:val="22"/>
    <w:qFormat/>
    <w:rsid w:val="00367B98"/>
    <w:rPr>
      <w:rFonts w:ascii="Proxima Nova" w:hAnsi="Proxima Nova"/>
      <w:b/>
      <w:bCs/>
      <w:i w:val="0"/>
      <w:color w:val="FFFFFF" w:themeColor="background1"/>
      <w:sz w:val="44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367B98"/>
    <w:pPr>
      <w:spacing w:before="120"/>
      <w:jc w:val="left"/>
      <w:outlineLvl w:val="9"/>
    </w:pPr>
    <w:rPr>
      <w:rFonts w:asciiTheme="majorHAnsi" w:hAnsiTheme="majorHAnsi"/>
      <w:color w:val="FFFFFF" w:themeColor="background1"/>
      <w:kern w:val="0"/>
      <w:sz w:val="28"/>
      <w:szCs w:val="28"/>
      <w14:ligatures w14:val="none"/>
    </w:rPr>
  </w:style>
  <w:style w:type="paragraph" w:customStyle="1" w:styleId="1">
    <w:name w:val="Обычный1"/>
    <w:autoRedefine/>
    <w:qFormat/>
    <w:rsid w:val="00880B27"/>
    <w:pPr>
      <w:jc w:val="center"/>
    </w:pPr>
    <w:rPr>
      <w:rFonts w:ascii="Proxima Nova Semibold" w:hAnsi="Proxima Nova Semibold" w:cs="Times New Roman"/>
      <w:b/>
      <w:color w:val="000000"/>
      <w:kern w:val="0"/>
      <w:sz w:val="28"/>
      <w:szCs w:val="20"/>
      <w:lang w:val="ru-RU" w:eastAsia="ru-RU"/>
      <w14:ligatures w14:val="none"/>
    </w:rPr>
  </w:style>
  <w:style w:type="paragraph" w:customStyle="1" w:styleId="31">
    <w:name w:val="Основной текст с отступом 31"/>
    <w:basedOn w:val="Normal"/>
    <w:next w:val="1"/>
    <w:autoRedefine/>
    <w:qFormat/>
    <w:rsid w:val="00880B2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360" w:lineRule="auto"/>
      <w:ind w:left="0" w:firstLine="567"/>
      <w:jc w:val="both"/>
    </w:pPr>
    <w:rPr>
      <w:rFonts w:ascii="Proxima Nova Light" w:eastAsia="Times New Roman" w:hAnsi="Proxima Nova Light" w:cs="Times New Roman"/>
      <w:color w:val="auto"/>
      <w:szCs w:val="20"/>
      <w:bdr w:val="none" w:sz="0" w:space="0" w:color="auto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A3"/>
    <w:rPr>
      <w:rFonts w:eastAsiaTheme="majorEastAsia" w:cstheme="majorBidi"/>
      <w:i/>
      <w:iCs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A3"/>
    <w:rPr>
      <w:rFonts w:eastAsiaTheme="majorEastAsia" w:cstheme="majorBidi"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A3"/>
    <w:rPr>
      <w:rFonts w:eastAsiaTheme="majorEastAsia" w:cstheme="majorBidi"/>
      <w:i/>
      <w:iCs/>
      <w:color w:val="595959" w:themeColor="text1" w:themeTint="A6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A3"/>
    <w:rPr>
      <w:rFonts w:eastAsiaTheme="majorEastAsia" w:cstheme="majorBidi"/>
      <w:color w:val="595959" w:themeColor="text1" w:themeTint="A6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A3"/>
    <w:rPr>
      <w:rFonts w:eastAsiaTheme="majorEastAsia" w:cstheme="majorBidi"/>
      <w:i/>
      <w:iCs/>
      <w:color w:val="272727" w:themeColor="text1" w:themeTint="D8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A3"/>
    <w:rPr>
      <w:rFonts w:eastAsiaTheme="majorEastAsia" w:cstheme="majorBidi"/>
      <w:color w:val="272727" w:themeColor="text1" w:themeTint="D8"/>
      <w:kern w:val="0"/>
      <w:szCs w:val="22"/>
      <w:u w:color="000000"/>
      <w:bdr w:val="nil"/>
      <w:lang w:val="ru-RU" w:eastAsia="ru-R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A3"/>
    <w:pPr>
      <w:numPr>
        <w:ilvl w:val="1"/>
      </w:numPr>
      <w:spacing w:after="160"/>
      <w:ind w:left="2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A3"/>
    <w:rPr>
      <w:rFonts w:eastAsiaTheme="majorEastAsia" w:cstheme="majorBidi"/>
      <w:color w:val="595959" w:themeColor="text1" w:themeTint="A6"/>
      <w:spacing w:val="15"/>
      <w:kern w:val="0"/>
      <w:sz w:val="28"/>
      <w:szCs w:val="28"/>
      <w:u w:color="000000"/>
      <w:bdr w:val="nil"/>
      <w:lang w:val="ru-RU" w:eastAsia="ru-R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A51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A3"/>
    <w:rPr>
      <w:rFonts w:ascii="Proxima Nova" w:eastAsia="Arial Unicode MS" w:hAnsi="Proxima Nova" w:cs="Arial Unicode MS"/>
      <w:i/>
      <w:iCs/>
      <w:color w:val="404040" w:themeColor="text1" w:themeTint="BF"/>
      <w:kern w:val="0"/>
      <w:szCs w:val="22"/>
      <w:u w:color="000000"/>
      <w:bdr w:val="nil"/>
      <w:lang w:val="ru-RU" w:eastAsia="ru-RU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A5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A3"/>
    <w:rPr>
      <w:rFonts w:ascii="Proxima Nova" w:eastAsia="Arial Unicode MS" w:hAnsi="Proxima Nova" w:cs="Arial Unicode MS"/>
      <w:i/>
      <w:iCs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A51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51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Cs w:val="24"/>
      <w:bdr w:val="none" w:sz="0" w:space="0" w:color="auto"/>
      <w:lang w:val="en-US" w:eastAsia="en-US"/>
    </w:rPr>
  </w:style>
  <w:style w:type="character" w:customStyle="1" w:styleId="apple-converted-space">
    <w:name w:val="apple-converted-space"/>
    <w:basedOn w:val="DefaultParagraphFont"/>
    <w:rsid w:val="00FA51A3"/>
  </w:style>
  <w:style w:type="paragraph" w:styleId="Footer">
    <w:name w:val="footer"/>
    <w:basedOn w:val="Normal"/>
    <w:link w:val="FooterChar"/>
    <w:uiPriority w:val="99"/>
    <w:unhideWhenUsed/>
    <w:rsid w:val="00FA51A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A51A3"/>
    <w:rPr>
      <w:rFonts w:ascii="Proxima Nova" w:eastAsia="Arial Unicode MS" w:hAnsi="Proxima Nova" w:cs="Arial Unicode MS"/>
      <w:color w:val="000000"/>
      <w:kern w:val="0"/>
      <w:szCs w:val="22"/>
      <w:u w:color="000000"/>
      <w:bdr w:val="nil"/>
      <w:lang w:val="ru-RU" w:eastAsia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A51A3"/>
  </w:style>
  <w:style w:type="table" w:styleId="TableGrid">
    <w:name w:val="Table Grid"/>
    <w:basedOn w:val="TableNormal"/>
    <w:uiPriority w:val="39"/>
    <w:rsid w:val="00A76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2E84B9-11D6-5C41-9A1D-F750C97E7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3066</Words>
  <Characters>17478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2026-06-27T12:43:00Z</dcterms:created>
  <dcterms:modified xsi:type="dcterms:W3CDTF">2026-06-27T13:11:00Z</dcterms:modified>
</cp:coreProperties>
</file>