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F124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center"/>
        <w:outlineLvl w:val="0"/>
        <w:rPr>
          <w:rFonts w:ascii="Proxima Nova Lt" w:eastAsia="Times New Roman" w:hAnsi="Proxima Nova Lt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  <w:t>Техническое задание № ___</w:t>
      </w:r>
    </w:p>
    <w:p w14:paraId="19D807E1" w14:textId="7D1E944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>на создание интеллектуального объекта:</w:t>
      </w:r>
    </w:p>
    <w:p w14:paraId="4A9C2799" w14:textId="7B201BD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 xml:space="preserve">Модуль учета коммутационного ресурса </w:t>
      </w: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>1114</w:t>
      </w:r>
    </w:p>
    <w:p w14:paraId="63A7E635" w14:textId="598927B8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Дата подписания: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«___» ____________ 202</w:t>
      </w:r>
      <w:r w:rsidR="000A528E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6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года</w:t>
      </w:r>
    </w:p>
    <w:p w14:paraId="77A9948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Заказчик: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ООО «ЛЕВИН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Фотоникс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»</w:t>
      </w:r>
    </w:p>
    <w:p w14:paraId="3B375FFD" w14:textId="7F3A38FF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Исполнитель: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ИП Морозова А.</w:t>
      </w:r>
    </w:p>
    <w:p w14:paraId="566A337E" w14:textId="43550D6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1C199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34646A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1. Описание создаваемого Объекта</w:t>
      </w:r>
    </w:p>
    <w:p w14:paraId="7A118BB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 xml:space="preserve">Модуль учета коммутационного ресурса </w:t>
      </w: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1114.</w:t>
      </w:r>
    </w:p>
    <w:p w14:paraId="57D94B6A" w14:textId="77777777" w:rsidR="000A528E" w:rsidRDefault="000A528E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Разрабатываемый модуль учета коммутационного ресурса LCT1114 должен представлять собой специализированный модуль линейки </w:t>
      </w:r>
      <w:proofErr w:type="spellStart"/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Lorentz</w:t>
      </w:r>
      <w:proofErr w:type="spellEnd"/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, предназначенный для мониторинга параметров работы высоковольтных выключателей и учета их механического, электрического и коммутационного ресурса.</w:t>
      </w:r>
    </w:p>
    <w:p w14:paraId="48434559" w14:textId="7CF82CBD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быть выполнен в общем форм-факторе модулей линейки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Lorentz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, в пластиковом корпусе для установки на DIN-рейку, с подключением к системе через внутреннюю шину X2X.</w:t>
      </w:r>
    </w:p>
    <w:p w14:paraId="57C83B7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обеспечивать работу в составе системы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Lorentz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совместно с процессорным модулем IGAS LCP / LCP2116. Передача измеренных, расчетных, диагностических и осциллографических данных должна выполняться в объеме, предусмотренном аппаратной ревизией, встроенным программным обеспечением и эксплуатационной документацией.</w:t>
      </w:r>
    </w:p>
    <w:p w14:paraId="02EB1547" w14:textId="77777777" w:rsidR="000A528E" w:rsidRDefault="000A528E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обеспечивать обмен данными по </w:t>
      </w:r>
      <w:proofErr w:type="spellStart"/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Modbus</w:t>
      </w:r>
      <w:proofErr w:type="spellEnd"/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RTU в объеме, предусмотренном встроенным программным обеспечением, картой регистров и эксплуатационной документацией.</w:t>
      </w:r>
    </w:p>
    <w:p w14:paraId="5919C4BB" w14:textId="1BFE395B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Питание, обмен данными, сохранение расчетных данных и управление модулем должны осуществляться через интерфейсы и средства, предусмотренные конструкторской и эксплуатационной документацией.</w:t>
      </w:r>
    </w:p>
    <w:p w14:paraId="4C9D120C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lastRenderedPageBreak/>
        <w:t>Модуль должен быть адресным устройством в сети и должен обеспечивать возможность назначения уникального адреса в составе системы.</w:t>
      </w:r>
    </w:p>
    <w:p w14:paraId="40CA4794" w14:textId="192A747B" w:rsidR="0081149D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В составе модуля должны быть предусмотрены измерительные входы и интерфейсы, необходимые для контроля высоковольтного выключателя, включая входы контроля фазных токов, входы контроля конечных положений, входы контроля токов электромагнитов включения и отключения и вход датчика температуры.</w:t>
      </w:r>
    </w:p>
    <w:p w14:paraId="0CC357B2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</w:p>
    <w:p w14:paraId="1EA3BFB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2. Практическое назначение Объекта</w:t>
      </w:r>
    </w:p>
    <w:p w14:paraId="157E9DA3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LCT1114 предназначен для применения в составе систем мониторинга, диагностики и автоматизации высоковольтных выключателей.</w:t>
      </w:r>
    </w:p>
    <w:p w14:paraId="35722F29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обеспечивать получение, обработку и передачу следующих данных:</w:t>
      </w:r>
    </w:p>
    <w:p w14:paraId="78881387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операций включения и отключения;</w:t>
      </w:r>
    </w:p>
    <w:p w14:paraId="176227DE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конечных положений выключателя;</w:t>
      </w:r>
    </w:p>
    <w:p w14:paraId="2BA03303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токов электромагнитов включения и отключения с определением расчетного / максимального значения тока в момент коммутации;</w:t>
      </w:r>
    </w:p>
    <w:p w14:paraId="3BD1B8E1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измерение фазных токов при коммутациях;</w:t>
      </w:r>
    </w:p>
    <w:p w14:paraId="77AE71D1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формирование данных осциллограмм фазных токов и их передачу в головной модуль LCP или систему верхнего уровня;</w:t>
      </w:r>
    </w:p>
    <w:p w14:paraId="7A515635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хранение осциллограмм фазных токов в кольцевом буфере 3 коммутаций;</w:t>
      </w:r>
    </w:p>
    <w:p w14:paraId="1D65360D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расчет времени операций включения и отключения;</w:t>
      </w:r>
    </w:p>
    <w:p w14:paraId="4ED761DF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расчет времени горения дуги при отключении;</w:t>
      </w:r>
    </w:p>
    <w:p w14:paraId="37D276FD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учет механического ресурса;</w:t>
      </w:r>
    </w:p>
    <w:p w14:paraId="202B8C9F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учет коммутационного и электрического ресурса;</w:t>
      </w:r>
    </w:p>
    <w:p w14:paraId="41BE78E4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диагностику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неполнофазных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/ незавершенных операций в объеме, предусмотренном встроенным программным обеспечением;</w:t>
      </w:r>
    </w:p>
    <w:p w14:paraId="4330A775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передачу диагностических данных в головной модуль и верхний уровень системы.</w:t>
      </w:r>
    </w:p>
    <w:p w14:paraId="3C950B2C" w14:textId="333D65BE" w:rsidR="0081149D" w:rsidRPr="000740EC" w:rsidRDefault="000A528E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A528E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Осциллограммы токов электромагнитов включения и отключения в модуле LCT1114 не сохраняются.</w:t>
      </w:r>
      <w:r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</w:t>
      </w:r>
      <w:r w:rsidR="0081149D"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По каналам электромагнитов сохраняются и передаются максимальные / расчетные значения токов в момент коммутации.</w:t>
      </w:r>
    </w:p>
    <w:p w14:paraId="3CDA5E64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применяться для расширения функциональности системы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Lorentz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в части контроля технического состояния высоковольтных выключателей и планирования технического обслуживания.</w:t>
      </w:r>
    </w:p>
    <w:p w14:paraId="0CD72A4D" w14:textId="6B76F368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57E7CE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3. Требования к изделию</w:t>
      </w:r>
    </w:p>
    <w:p w14:paraId="508A805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3.1. Общие данные</w:t>
      </w:r>
    </w:p>
    <w:p w14:paraId="3FA144C5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Конструкция модуля должна обеспечивать устойчивость к воздействию климатических и механических факторов в пределах условий эксплуатации, указанных в настоящем ТЗ и эксплуатационной документации.</w:t>
      </w:r>
    </w:p>
    <w:p w14:paraId="28D8173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Монтаж модуля должен осуществляться на стандартную DIN-рейку. Установка модуля должна выполняться в шкафах управления и мониторинга.</w:t>
      </w:r>
    </w:p>
    <w:p w14:paraId="04FFE7DD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Конструкция модуля должна предусматривать возможность демонтажа и замены без применения специального инструмента.</w:t>
      </w:r>
    </w:p>
    <w:p w14:paraId="686EA9F4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иметь съемные или технологически удобные разъемы /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клеммники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для подключения внешних цепей в объеме, предусмотренном конструкторской документацией.</w:t>
      </w:r>
    </w:p>
    <w:p w14:paraId="787AD6F8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Модуль должен быть </w:t>
      </w:r>
      <w:proofErr w:type="spellStart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ремонтопригодным</w:t>
      </w:r>
      <w:proofErr w:type="spellEnd"/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 xml:space="preserve"> в условиях предприятия-изготовителя.</w:t>
      </w:r>
    </w:p>
    <w:p w14:paraId="1B95E66D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Питание модуля должно быть защищено от неправильного подключения и аварийных режимов в объеме, предусмотренном схемотехническим решением.</w:t>
      </w:r>
    </w:p>
    <w:p w14:paraId="60B5A0A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иметь светодиодную индикацию состояния питания, связи с головным модулем, обработки данных и исправности модуля в объеме, предусмотренном аппаратной реализацией.</w:t>
      </w:r>
    </w:p>
    <w:p w14:paraId="2089F10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1CA501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3.2.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Основные</w:t>
      </w:r>
      <w:proofErr w:type="spellEnd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технические</w:t>
      </w:r>
      <w:proofErr w:type="spellEnd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характеристики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5122"/>
      </w:tblGrid>
      <w:tr w:rsidR="00FA51A3" w:rsidRPr="000740EC" w14:paraId="7E277CF4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F75A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характеристики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20FDE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  <w:proofErr w:type="spellEnd"/>
          </w:p>
        </w:tc>
      </w:tr>
      <w:tr w:rsidR="00FA51A3" w:rsidRPr="000740EC" w14:paraId="74F5E37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9D84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изделия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4BAF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LCT1114</w:t>
            </w:r>
          </w:p>
        </w:tc>
      </w:tr>
      <w:tr w:rsidR="00FA51A3" w:rsidRPr="000740EC" w14:paraId="19A403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DDA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Назначение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7D570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модуль учета коммутационного ресурса высоковольтного выключателя</w:t>
            </w:r>
          </w:p>
        </w:tc>
      </w:tr>
      <w:tr w:rsidR="00FA51A3" w:rsidRPr="000740EC" w14:paraId="1E5193D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049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Линейка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изделий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217A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Lorentz</w:t>
            </w:r>
          </w:p>
        </w:tc>
      </w:tr>
      <w:tr w:rsidR="00FA51A3" w:rsidRPr="000740EC" w14:paraId="7B46CF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9D55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Монтаж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088A4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DIN-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рейку</w:t>
            </w:r>
            <w:proofErr w:type="spellEnd"/>
          </w:p>
        </w:tc>
      </w:tr>
      <w:tr w:rsidR="00FA51A3" w:rsidRPr="000740EC" w14:paraId="75597E2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D6604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lastRenderedPageBreak/>
              <w:t>Корпус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F9BD1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пластиковый, для установки в шкаф управления</w:t>
            </w:r>
          </w:p>
        </w:tc>
      </w:tr>
      <w:tr w:rsidR="00FA51A3" w:rsidRPr="000740EC" w14:paraId="7CCEBA6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8DD0F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Степень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защиты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корпуса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541E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IP20</w:t>
            </w:r>
          </w:p>
        </w:tc>
      </w:tr>
      <w:tr w:rsidR="00FA51A3" w:rsidRPr="000740EC" w14:paraId="766CC39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AA36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Электрическое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питание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9F87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24 В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постоянного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тока</w:t>
            </w:r>
          </w:p>
        </w:tc>
      </w:tr>
      <w:tr w:rsidR="00FA51A3" w:rsidRPr="000740EC" w14:paraId="3875FBF0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7CDD2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потребления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CF0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более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100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мА</w:t>
            </w:r>
            <w:proofErr w:type="spellEnd"/>
          </w:p>
        </w:tc>
      </w:tr>
      <w:tr w:rsidR="00FA51A3" w:rsidRPr="000740EC" w14:paraId="27EF2AD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EE91A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Интерфейс связи с головным модулем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145C9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X2X</w:t>
            </w:r>
          </w:p>
        </w:tc>
      </w:tr>
      <w:tr w:rsidR="00FA51A3" w:rsidRPr="000740EC" w14:paraId="675090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D5C5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Самостоятельный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режим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обмена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965F" w14:textId="52921FFC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Modbus RTU</w:t>
            </w:r>
          </w:p>
        </w:tc>
      </w:tr>
      <w:tr w:rsidR="00FA51A3" w:rsidRPr="000740EC" w14:paraId="0D8A459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159DF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Интерфейс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RS-485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7BE1" w14:textId="6B25EA32" w:rsidR="00FA51A3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Х2Х</w:t>
            </w:r>
          </w:p>
        </w:tc>
      </w:tr>
      <w:tr w:rsidR="00FA51A3" w:rsidRPr="000740EC" w14:paraId="354083B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BB799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Расстояние до процессорного модуля 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LCP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2116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F3D53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до 100 м при соблюдении требований к линии связи, монтажу и эксплуатационной документации</w:t>
            </w:r>
          </w:p>
        </w:tc>
      </w:tr>
      <w:tr w:rsidR="00FA51A3" w:rsidRPr="000740EC" w14:paraId="4919C7C7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4F1C" w14:textId="4D5FCF9E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Количество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трансформаторов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C99E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3</w:t>
            </w:r>
          </w:p>
        </w:tc>
      </w:tr>
      <w:tr w:rsidR="00FA51A3" w:rsidRPr="000740EC" w14:paraId="1996059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1FD59" w14:textId="6FACCD44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Максимальный измеряемый ток </w:t>
            </w:r>
            <w:proofErr w:type="gram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по трансформаторов</w:t>
            </w:r>
            <w:proofErr w:type="gram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13A4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60 А</w:t>
            </w:r>
          </w:p>
        </w:tc>
      </w:tr>
      <w:tr w:rsidR="00FA51A3" w:rsidRPr="000740EC" w14:paraId="700AB8E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07FF7" w14:textId="0C110190" w:rsidR="00FA51A3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Дискретность</w:t>
            </w:r>
            <w:r w:rsidR="00FA51A3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="00FA51A3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замера</w:t>
            </w:r>
            <w:proofErr w:type="spellEnd"/>
            <w:r w:rsidR="00FA51A3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9FCF9" w14:textId="27E1EA66" w:rsidR="00FA51A3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в соответствии с программной документацией и настройками встроенного ПО</w:t>
            </w:r>
          </w:p>
        </w:tc>
      </w:tr>
      <w:tr w:rsidR="00FA51A3" w:rsidRPr="000740EC" w14:paraId="28E4020E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EEC1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дискретных входов контроля конечных положений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844C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6</w:t>
            </w:r>
          </w:p>
        </w:tc>
      </w:tr>
      <w:tr w:rsidR="00FA51A3" w:rsidRPr="000740EC" w14:paraId="70EFB27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928D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Уровни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дискретных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входов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5FF4C" w14:textId="0375979B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220 В DC</w:t>
            </w:r>
            <w:r w:rsidR="0081149D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</w:t>
            </w:r>
          </w:p>
        </w:tc>
      </w:tr>
      <w:tr w:rsidR="00FA51A3" w:rsidRPr="000740EC" w14:paraId="6BF719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D7CDB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входов для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B54C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9</w:t>
            </w:r>
          </w:p>
        </w:tc>
      </w:tr>
      <w:tr w:rsidR="00FA51A3" w:rsidRPr="000740EC" w14:paraId="259A64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44506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Разрешение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BAFE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12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бит</w:t>
            </w:r>
            <w:proofErr w:type="spellEnd"/>
          </w:p>
        </w:tc>
      </w:tr>
      <w:tr w:rsidR="00FA51A3" w:rsidRPr="000740EC" w14:paraId="7B611E8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ECA73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>Частота опроса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9593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5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кГц</w:t>
            </w:r>
            <w:proofErr w:type="spellEnd"/>
          </w:p>
        </w:tc>
      </w:tr>
      <w:tr w:rsidR="0081149D" w:rsidRPr="000740EC" w14:paraId="4B0DBA3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17EF9" w14:textId="1D85957C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Передаваемые значения токов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0E428" w14:textId="1992263F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расчетные / максимальные значения по каналам включения и отключения</w:t>
            </w:r>
          </w:p>
        </w:tc>
      </w:tr>
      <w:tr w:rsidR="0081149D" w:rsidRPr="000740EC" w14:paraId="06B28B35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97F71" w14:textId="602E9957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Осциллограммы токов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AF554" w14:textId="7F93B36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не сохраняются</w:t>
            </w:r>
          </w:p>
        </w:tc>
      </w:tr>
      <w:tr w:rsidR="00FA51A3" w:rsidRPr="000740EC" w14:paraId="21BD99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C634D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датчика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температуры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A676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</w:t>
            </w:r>
            <w:proofErr w:type="spellEnd"/>
          </w:p>
        </w:tc>
      </w:tr>
      <w:tr w:rsidR="00FA51A3" w:rsidRPr="000740EC" w14:paraId="44AF788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6E7D2" w14:textId="77777777" w:rsidR="00FA51A3" w:rsidRPr="000740EC" w:rsidRDefault="00FA51A3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Тип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подключаемого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датчика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температуры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23B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PT100</w:t>
            </w:r>
          </w:p>
        </w:tc>
      </w:tr>
      <w:tr w:rsidR="0081149D" w:rsidRPr="000740EC" w14:paraId="496AB7D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F12AC" w14:textId="2801E8AC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hAnsi="Proxima Nova Lt"/>
              </w:rPr>
              <w:t>Хранение расчетных данных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149D" w:rsidRPr="000740EC" w14:paraId="5BCC816E" w14:textId="77777777" w:rsidTr="008114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7AB89" w14:textId="77777777" w:rsidR="0081149D" w:rsidRPr="000740EC" w:rsidRDefault="0081149D" w:rsidP="000740E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after="0"/>
                    <w:ind w:left="0"/>
                    <w:jc w:val="both"/>
                    <w:rPr>
                      <w:rFonts w:ascii="Proxima Nova Lt" w:eastAsia="Times New Roman" w:hAnsi="Proxima Nova Lt" w:cs="Times New Roman"/>
                      <w:color w:val="auto"/>
                      <w:szCs w:val="20"/>
                      <w:bdr w:val="none" w:sz="0" w:space="0" w:color="auto"/>
                    </w:rPr>
                  </w:pPr>
                </w:p>
              </w:tc>
            </w:tr>
          </w:tbl>
          <w:p w14:paraId="4F8E50EC" w14:textId="7777777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left="0"/>
              <w:jc w:val="both"/>
              <w:rPr>
                <w:rFonts w:ascii="Proxima Nova Lt" w:eastAsia="Times New Roman" w:hAnsi="Proxima Nova Lt" w:cs="Times New Roman"/>
                <w:vanish/>
                <w:color w:val="auto"/>
                <w:szCs w:val="24"/>
                <w:bdr w:val="none" w:sz="0" w:space="0" w:color="aut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2"/>
            </w:tblGrid>
            <w:tr w:rsidR="0081149D" w:rsidRPr="000740EC" w14:paraId="5A8110E0" w14:textId="77777777" w:rsidTr="008114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34028" w14:textId="77777777" w:rsidR="0081149D" w:rsidRPr="000740EC" w:rsidRDefault="0081149D" w:rsidP="000740E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after="0"/>
                    <w:ind w:left="0"/>
                    <w:jc w:val="both"/>
                    <w:rPr>
                      <w:rFonts w:ascii="Proxima Nova Lt" w:eastAsia="Times New Roman" w:hAnsi="Proxima Nova Lt" w:cs="Times New Roman"/>
                      <w:color w:val="auto"/>
                      <w:szCs w:val="24"/>
                      <w:bdr w:val="none" w:sz="0" w:space="0" w:color="auto"/>
                      <w:lang w:eastAsia="en-US"/>
                    </w:rPr>
                  </w:pPr>
                  <w:r w:rsidRPr="000740EC">
                    <w:rPr>
                      <w:rFonts w:ascii="Proxima Nova Lt" w:eastAsia="Times New Roman" w:hAnsi="Proxima Nova Lt" w:cs="Times New Roman"/>
                      <w:color w:val="auto"/>
                      <w:szCs w:val="24"/>
                      <w:bdr w:val="none" w:sz="0" w:space="0" w:color="auto"/>
                      <w:lang w:eastAsia="en-US"/>
                    </w:rPr>
                    <w:t>в энергонезависимой памяти модуля в объеме, предусмотренном программной документацией</w:t>
                  </w:r>
                </w:p>
              </w:tc>
            </w:tr>
          </w:tbl>
          <w:p w14:paraId="385C5662" w14:textId="7777777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</w:p>
        </w:tc>
      </w:tr>
      <w:tr w:rsidR="0081149D" w:rsidRPr="000740EC" w14:paraId="662E0CC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CFD5B" w14:textId="67FB3948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Хранение осциллограмм фазных токов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0489A" w14:textId="7FBB0E45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0"/>
                <w:bdr w:val="none" w:sz="0" w:space="0" w:color="auto"/>
                <w:lang w:val="en-US"/>
              </w:rPr>
            </w:pPr>
            <w:r w:rsidRPr="000740EC">
              <w:rPr>
                <w:rFonts w:ascii="Proxima Nova Lt" w:hAnsi="Proxima Nova Lt"/>
              </w:rPr>
              <w:t xml:space="preserve">кольцевой буфер 3 коммутаций </w:t>
            </w:r>
            <w:r w:rsidRPr="000740EC">
              <w:rPr>
                <w:rFonts w:ascii="Proxima Nova Lt" w:hAnsi="Proxima Nova Lt"/>
                <w:lang w:val="de-DE"/>
              </w:rPr>
              <w:t>FRAM</w:t>
            </w:r>
          </w:p>
        </w:tc>
      </w:tr>
      <w:tr w:rsidR="0081149D" w:rsidRPr="000740EC" w14:paraId="3E3A9F75" w14:textId="77777777" w:rsidTr="0081149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85D86" w14:textId="7A61A567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Габаритные размеры, В×Ш×Г, мм, не более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8A263" w14:textId="74381F03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118×45×126</w:t>
            </w:r>
          </w:p>
        </w:tc>
      </w:tr>
      <w:tr w:rsidR="0081149D" w:rsidRPr="000740EC" w14:paraId="3EEB6739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43021" w14:textId="3C879DDC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Средняя наработка на отказ, не менее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6005" w14:textId="10915881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24 000 ч</w:t>
            </w:r>
          </w:p>
        </w:tc>
      </w:tr>
      <w:tr w:rsidR="0081149D" w:rsidRPr="000740EC" w14:paraId="01F4CA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D384" w14:textId="32CB8FB2" w:rsidR="0081149D" w:rsidRPr="000740EC" w:rsidRDefault="0081149D" w:rsidP="000A528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Срок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службы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,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менее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658AE" w14:textId="308CC9A2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10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лет</w:t>
            </w:r>
            <w:proofErr w:type="spellEnd"/>
          </w:p>
        </w:tc>
      </w:tr>
    </w:tbl>
    <w:p w14:paraId="77E6B27A" w14:textId="77777777" w:rsid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hAnsi="Proxima Nova Lt"/>
        </w:rPr>
      </w:pPr>
    </w:p>
    <w:p w14:paraId="3248CD11" w14:textId="6D8373A4" w:rsidR="00FA51A3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hAnsi="Proxima Nova Lt"/>
        </w:rPr>
      </w:pPr>
      <w:r w:rsidRPr="000740EC">
        <w:rPr>
          <w:rFonts w:ascii="Proxima Nova Lt" w:hAnsi="Proxima Nova Lt"/>
        </w:rPr>
        <w:t xml:space="preserve">Технические характеристики, зависящие от аппаратной версии модуля, должны определяться документацией соответствующей </w:t>
      </w:r>
      <w:proofErr w:type="spellStart"/>
      <w:r w:rsidRPr="000740EC">
        <w:rPr>
          <w:rFonts w:ascii="Proxima Nova Lt" w:hAnsi="Proxima Nova Lt"/>
        </w:rPr>
        <w:t>версии</w:t>
      </w:r>
      <w:r w:rsidR="00191F4D" w:rsidRPr="00191F4D">
        <w:rPr>
          <w:rFonts w:ascii="Proxima Nova Lt" w:hAnsi="Proxima Nova Lt"/>
        </w:rPr>
        <w:t>В</w:t>
      </w:r>
      <w:proofErr w:type="spellEnd"/>
      <w:r w:rsidR="00191F4D" w:rsidRPr="00191F4D">
        <w:rPr>
          <w:rFonts w:ascii="Proxima Nova Lt" w:hAnsi="Proxima Nova Lt"/>
        </w:rPr>
        <w:t xml:space="preserve"> модуле LCT1114 реализовано хранение осциллограмм фазных токов в кольцевом буфере трех коммутаций.</w:t>
      </w:r>
      <w:r w:rsidR="00191F4D">
        <w:rPr>
          <w:rFonts w:ascii="Proxima Nova Lt" w:hAnsi="Proxima Nova Lt"/>
        </w:rPr>
        <w:t xml:space="preserve"> </w:t>
      </w:r>
      <w:r w:rsidRPr="000740EC">
        <w:rPr>
          <w:rFonts w:ascii="Proxima Nova Lt" w:hAnsi="Proxima Nova Lt"/>
        </w:rPr>
        <w:t>Данные осциллограмм должны передаваться в головной модуль LCP, систему верхнего уровня или внешнее программное обеспечение в объеме, предусмотренном программной документацией.</w:t>
      </w:r>
    </w:p>
    <w:p w14:paraId="7D491868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3EEAD0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lastRenderedPageBreak/>
        <w:t xml:space="preserve">3.3.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Условия</w:t>
      </w:r>
      <w:proofErr w:type="spellEnd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эксплуатации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4643"/>
      </w:tblGrid>
      <w:tr w:rsidR="00FA51A3" w:rsidRPr="000740EC" w14:paraId="29E79FD3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15F0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параметра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870A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  <w:proofErr w:type="spellEnd"/>
          </w:p>
        </w:tc>
      </w:tr>
      <w:tr w:rsidR="00FA51A3" w:rsidRPr="000740EC" w14:paraId="22240C5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B289C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Рабочее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положение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C30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горизонтальное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или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вертикальное</w:t>
            </w:r>
            <w:proofErr w:type="spellEnd"/>
          </w:p>
        </w:tc>
      </w:tr>
      <w:tr w:rsidR="00FA51A3" w:rsidRPr="000740EC" w14:paraId="30CCB43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AE1F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Температура окружающей среды при эксплуатации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9194" w14:textId="44F570DE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от -25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+50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4689499D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B10A1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Температура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хранения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9B81E" w14:textId="23C90195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от -40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+85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33ADDA9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9E96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Относительная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влажность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ADF9" w14:textId="510EAF6D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до 98 % при температуре +25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13EC8DF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8728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Атмосферное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давление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DA4E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от 90,6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</w:t>
            </w:r>
            <w:proofErr w:type="spellEnd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107 </w:t>
            </w:r>
            <w:proofErr w:type="spellStart"/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кПа</w:t>
            </w:r>
            <w:proofErr w:type="spellEnd"/>
          </w:p>
        </w:tc>
      </w:tr>
    </w:tbl>
    <w:p w14:paraId="07A9F6F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</w:p>
    <w:p w14:paraId="750FC274" w14:textId="4EDCCCCF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3.4. Требования к устойчивости при транспортировании</w:t>
      </w:r>
    </w:p>
    <w:p w14:paraId="78A3C80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1114 в транспортной таре должен быть устойчив к воздействию:</w:t>
      </w:r>
    </w:p>
    <w:p w14:paraId="3E3DF0B0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температуры окружающей среды в диапазоне от минус 20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до плюс 40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;</w:t>
      </w:r>
    </w:p>
    <w:p w14:paraId="69476DAC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относительной влажности воздуха до 98 % при температуре 25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без конденсации влаги;</w:t>
      </w:r>
    </w:p>
    <w:p w14:paraId="7447423D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транспортной вибрации и тряски с ускорением до 30 м/с² при частоте ударов от 80 до 120 в минуту.</w:t>
      </w:r>
    </w:p>
    <w:p w14:paraId="6CC5076F" w14:textId="1E75474A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DBB0F1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 Функциональные требования</w:t>
      </w:r>
    </w:p>
    <w:p w14:paraId="6C3F5A4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4.1. Контроль фазных токов и коммутационного процесса</w:t>
      </w:r>
    </w:p>
    <w:p w14:paraId="3557B503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трех входов контроля фазных токов выключателя.</w:t>
      </w:r>
    </w:p>
    <w:p w14:paraId="00C80ED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формы фазных токов во время операций выключателя в объеме, предусмотренном встроенным программным обеспечением.</w:t>
      </w:r>
    </w:p>
    <w:p w14:paraId="15EDB395" w14:textId="38BDB796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Модуль должен обеспечивать хранение осциллограмм фазных токов в кольцевом буфере 3 коммутаций</w:t>
      </w:r>
      <w:r w:rsidR="004B3B75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с последующей передачей в </w:t>
      </w:r>
      <w:r w:rsidR="004B3B75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de-DE" w:eastAsia="en-US"/>
        </w:rPr>
        <w:t>LCP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.</w:t>
      </w:r>
    </w:p>
    <w:p w14:paraId="5B0F296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времени горения дуги при отключении полюсов выключателя в пределах, предусмотренных алгоритмами встроенного программного обеспечения.</w:t>
      </w:r>
    </w:p>
    <w:p w14:paraId="6FB53F2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коммутационного износа контактов и учет израсходованного коммутационного ресурса на основании измеренных токов и временных параметров коммутации.</w:t>
      </w:r>
    </w:p>
    <w:p w14:paraId="1745C48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Данные осциллограмм фазных токов должны передаваться в головной модуль LCP, систему верхнего уровня или внешнее программное обеспечение для хранения, последующей выгрузки и обработки в объеме, предусмотренном программным обеспечением и эксплуатационной документацией.</w:t>
      </w:r>
    </w:p>
    <w:p w14:paraId="77C407D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01013D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4.2. Контроль конечных положений выключателя</w:t>
      </w:r>
    </w:p>
    <w:p w14:paraId="29E53C01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дискретных сигналов контроля конечных положений выключателя.</w:t>
      </w:r>
    </w:p>
    <w:p w14:paraId="5A3BB72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состояния выключателя по сигналам конечных положений.</w:t>
      </w:r>
    </w:p>
    <w:p w14:paraId="3FEDFCE7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контроль корректности сигналов конечных положений в объеме, предусмотренном встроенным программным обеспечением, включая выявление ошибок фаз,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неполнофазного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переключения и конфликтных состояний входов.</w:t>
      </w:r>
    </w:p>
    <w:p w14:paraId="0EBDDF10" w14:textId="6859F1D9" w:rsidR="00FA51A3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программное подавление дребезга входных сигналов в пределах, задаваемых параметрами настройки.</w:t>
      </w:r>
    </w:p>
    <w:p w14:paraId="2E020924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523126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4.3. Контроль токов электромагнитов включения и отключения</w:t>
      </w:r>
    </w:p>
    <w:p w14:paraId="6966C3F3" w14:textId="1A75BF1F" w:rsidR="00191F4D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до девяти выносных датчиков токов электромагнитов.</w:t>
      </w:r>
    </w:p>
    <w:p w14:paraId="146FFBF2" w14:textId="64A6ADCF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токов электромагнитов включения и отключения в момент коммутации в объеме, предусмотренном аппаратной ревизией, встроенным программным обеспечением и эксплуатационной документацией.</w:t>
      </w:r>
    </w:p>
    <w:p w14:paraId="2721284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Модуль должен обеспечивать определение максимального / расчетного значения тока по каналам электромагнитов включения и отключения в момент коммутации, сохранение рассчитанных значений в памяти модуля и передачу этих значений в головной модуль или систему верхнего уровня.</w:t>
      </w:r>
    </w:p>
    <w:p w14:paraId="78EE1C41" w14:textId="77777777" w:rsidR="00191F4D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Осциллограммы формы токов электромагнитов включения и отключения в модуле LCT1114 не сохраняются и не передаются.</w:t>
      </w:r>
    </w:p>
    <w:p w14:paraId="2DF1FC5C" w14:textId="61BEE3AB" w:rsidR="00A7614B" w:rsidRDefault="00BB39B7" w:rsidP="00191F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Состав сохраняемых и передаваемых расчетных данных по каналам электромагнитов включения и отключения должен определяться программной документацией, эксплуатационной документацией и Приложением № 1 к настоящему ТЗ.</w:t>
      </w:r>
    </w:p>
    <w:p w14:paraId="5C06ECCF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734FDDD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4.4. Контроль температуры</w:t>
      </w:r>
    </w:p>
    <w:p w14:paraId="74EAD702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подключение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термосопротивления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PT100 для контроля температуры окружающей среды или зоны установки выключателя.</w:t>
      </w:r>
    </w:p>
    <w:p w14:paraId="7047605C" w14:textId="10B7AA2D" w:rsidR="00BB39B7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Измеренная температура должна использоваться для отображения и передачи в головной модуль в объеме, предусмотренном программной документацией.</w:t>
      </w:r>
    </w:p>
    <w:p w14:paraId="7108462E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4D181A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4.5. Контроль времени операции</w:t>
      </w:r>
    </w:p>
    <w:p w14:paraId="190ADDF3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времени операций включения и отключения выключателя.</w:t>
      </w:r>
    </w:p>
    <w:p w14:paraId="50F1748A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Начало операции должно определяться по событию, формируемому по каналу включения / отключения или по устойчивому изменению соответствующего сигнала конечного положения, в соответствии с настройками и программной документацией.</w:t>
      </w:r>
    </w:p>
    <w:p w14:paraId="5A10B3F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времени достижения целевого конечного положения.</w:t>
      </w:r>
    </w:p>
    <w:p w14:paraId="4DD5D34A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Для исполнений с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пофазным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контролем модуль должен обеспечивать расчет времени достижения целевого положения по фазам.</w:t>
      </w:r>
    </w:p>
    <w:p w14:paraId="1F17AAA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сравнение рассчитанных временных параметров с уставками и формирование статусов:</w:t>
      </w:r>
    </w:p>
    <w:p w14:paraId="69FBA528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норма;</w:t>
      </w:r>
    </w:p>
    <w:p w14:paraId="75FBE876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предупреждение;</w:t>
      </w:r>
    </w:p>
    <w:p w14:paraId="5C11FD83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авария.</w:t>
      </w:r>
    </w:p>
    <w:p w14:paraId="25011A86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</w:p>
    <w:p w14:paraId="21CBAC7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4.6.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Контроль</w:t>
      </w:r>
      <w:proofErr w:type="spellEnd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разновременности</w:t>
      </w:r>
      <w:proofErr w:type="spellEnd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фаз</w:t>
      </w:r>
      <w:proofErr w:type="spellEnd"/>
    </w:p>
    <w:p w14:paraId="541EE93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Для трехфазного исполнения модуль должен обеспечивать передачу временных параметров операций по фазам.</w:t>
      </w:r>
    </w:p>
    <w:p w14:paraId="72A7D0D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Разновременность фаз должна определяться как разница между максимальным и минимальным временем достижения целевого положения по фазам.</w:t>
      </w:r>
    </w:p>
    <w:p w14:paraId="5948A75C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E56C91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4.7. Диагностика незавершенных операций и механических аномалий</w:t>
      </w:r>
    </w:p>
    <w:p w14:paraId="42856192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выявление следующих состояний в объеме, предусмотренном алгоритмами встроенного программного обеспечения:</w:t>
      </w:r>
    </w:p>
    <w:p w14:paraId="2DAAA7D9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недостижение целевого конечного положения;</w:t>
      </w:r>
    </w:p>
    <w:p w14:paraId="06F5F37F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незавершенная операция;</w:t>
      </w:r>
    </w:p>
    <w:p w14:paraId="248B0370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неполнофазное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переключение;</w:t>
      </w:r>
    </w:p>
    <w:p w14:paraId="69110FF0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нестабильность или дребезг сигналов конечных положений.</w:t>
      </w:r>
    </w:p>
    <w:p w14:paraId="3D5DB3C0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185F86E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4.8. Расчет механического ресурса</w:t>
      </w:r>
    </w:p>
    <w:p w14:paraId="2D892F8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количества операций включения и отключения выключателя.</w:t>
      </w:r>
    </w:p>
    <w:p w14:paraId="02F09F2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израсходованного механического ресурса на основании накопленного количества операций и заданного паспортного ресурса выключателя.</w:t>
      </w:r>
    </w:p>
    <w:p w14:paraId="6415E6C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Для исполнений с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пофазным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контролем учет операций и расчет ресурса должны выполняться по фазам или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агрегированно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в соответствии с настройками и программной документацией.</w:t>
      </w:r>
    </w:p>
    <w:p w14:paraId="3743D4D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Счетчики ресурса должны сохраняться в энергонезависимой памяти в объеме, предусмотренном программной документацией.</w:t>
      </w:r>
    </w:p>
    <w:p w14:paraId="0DAC1684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6E244AD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4.9. Учет электрического и коммутационного ресурса</w:t>
      </w:r>
    </w:p>
    <w:p w14:paraId="69F53489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данных, необходимых для учета электрического и коммутационного ресурса выключателя.</w:t>
      </w:r>
    </w:p>
    <w:p w14:paraId="7EED56F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израсходованного электрического и коммутационного ресурса в объеме, предусмотренном встроенным программным обеспечением, настройками и эксплуатационной документацией.</w:t>
      </w:r>
    </w:p>
    <w:p w14:paraId="722F2556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электрического ресурса последнего отключения по фазам и общего накопленного электрического ресурса по фазам.</w:t>
      </w:r>
    </w:p>
    <w:p w14:paraId="15B8572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формирование предупредительных и аварийных статусов при достижении заданных порогов израсходованного ресурса, если такие пороги предусмотрены настройками и программным обеспечением.</w:t>
      </w:r>
    </w:p>
    <w:p w14:paraId="5BF3E681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Данные, необходимые для последующей обработки переходных процессов, должны передаваться в головной модуль или систему верхнего уровня в объеме, предусмотренном программным обеспечением и эксплуатационной документацией.</w:t>
      </w:r>
    </w:p>
    <w:p w14:paraId="7BF73213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FB5999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4.10. Передача данных и взаимодействие с системой</w:t>
      </w:r>
    </w:p>
    <w:p w14:paraId="7B359091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передачу измеренных, расчетных и диагностических данных в головной модуль системы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Lorentz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через X2X.</w:t>
      </w:r>
    </w:p>
    <w:p w14:paraId="50F7F825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должен обеспечивать обмен по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Modbus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RTU в объеме, предусмотренном аппаратной ревизией, встроенным программным обеспечением и эксплуатационной документацией.</w:t>
      </w:r>
    </w:p>
    <w:p w14:paraId="5ABBABBD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Состав передаваемых параметров, адресация, форматы данных, параметры обмена и состав диагностических флагов должны определяться описанием протокола обмена, встроенным программным обеспечением и эксплуатационной документацией.</w:t>
      </w:r>
    </w:p>
    <w:p w14:paraId="61BD5088" w14:textId="77777777" w:rsidR="00191F4D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Описание обмена по </w:t>
      </w:r>
      <w:proofErr w:type="spellStart"/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Modbus</w:t>
      </w:r>
      <w:proofErr w:type="spellEnd"/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RTU должно входить в комплект передаваемой документации, указанный в Приложении № 1 к настоящему ТЗ.</w:t>
      </w:r>
    </w:p>
    <w:p w14:paraId="760FB557" w14:textId="5BAB9D45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формирование данных осциллограмм фазных токов и передачу этих данных в головной модуль LCP по мере появления и готовности данных.</w:t>
      </w:r>
    </w:p>
    <w:p w14:paraId="53ACC437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В модуле реализован кольцевой буфер осциллограмм фазных токов на 3 коммутации.</w:t>
      </w:r>
    </w:p>
    <w:p w14:paraId="25F04454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Формат передачи осциллографических данных от модуля LCT1114 в головной модуль LCP должен определяться программной документацией и описанием протокола обмена.</w:t>
      </w:r>
    </w:p>
    <w:p w14:paraId="0D7A15E6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Хранение осциллограмм и формирование файлов обменного формата должны выполняться головным модулем LCP, системой верхнего уровня или внешним программным обеспечением в объеме, предусмотренном Приложением № 1 к настоящему ТЗ.</w:t>
      </w:r>
    </w:p>
    <w:p w14:paraId="6E67A4C6" w14:textId="657937A3" w:rsidR="00A7614B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При формировании и передаче осциллографических данных допускается увеличение времени ответа модуля на запрос в пределах, предусмотренных эксплуатационной документацией.</w:t>
      </w:r>
    </w:p>
    <w:p w14:paraId="5EED05C1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4CD863EC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4.11. Индикация и диагностика состояния модуля</w:t>
      </w:r>
    </w:p>
    <w:p w14:paraId="24F2FFF6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иметь светодиодную индикацию:</w:t>
      </w:r>
    </w:p>
    <w:p w14:paraId="19523771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питания;</w:t>
      </w:r>
    </w:p>
    <w:p w14:paraId="0225B0F0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состояния связи с головным модулем;</w:t>
      </w:r>
    </w:p>
    <w:p w14:paraId="7B019437" w14:textId="4B74ABFC" w:rsidR="00997F0C" w:rsidRPr="000740EC" w:rsidRDefault="0041290E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наличие данных в </w:t>
      </w:r>
      <w:proofErr w:type="spellStart"/>
      <w:r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буффере</w:t>
      </w:r>
      <w:proofErr w:type="spellEnd"/>
      <w:r w:rsidR="00997F0C"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;</w:t>
      </w:r>
    </w:p>
    <w:p w14:paraId="06A0088F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исправности модуля.</w:t>
      </w:r>
    </w:p>
    <w:p w14:paraId="447502D5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диагностику собственного состояния, состояния связи с головным модулем и состояния обмена с верхним уровнем в объеме, предусмотренном программным обеспечением и эксплуатационной документацией.</w:t>
      </w:r>
    </w:p>
    <w:p w14:paraId="143160DF" w14:textId="4602A7F6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55DF964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5. Выбор технологий реализации</w:t>
      </w:r>
    </w:p>
    <w:p w14:paraId="523472E3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Технологии программирования и алгоритмы работы при создании Объекта определяются и указываются в Приложении № 1 к настоящему ТЗ.</w:t>
      </w:r>
    </w:p>
    <w:p w14:paraId="412859EA" w14:textId="302BAD8A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Алгоритмы расчета временных параметров, ресурса, диагностических флагов, статусов, параметров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осциллографирования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, хранения расчетных данных, форматов передачи осциллограмм и состава передаваемых данных должны определяться программной документацией, эксплуатационной документацией и описанием протокола обмена.</w:t>
      </w:r>
    </w:p>
    <w:p w14:paraId="440E2B9E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Обработка осциллограмм, долговременное хранение, формирование файлов обменного формата и расширенная математическая обработка данных должны выполняться головным модулем LCP, системой верхнего уровня или внешним программным обеспечением в объеме, предусмотренном Приложением № 1 к настоящему ТЗ.</w:t>
      </w:r>
    </w:p>
    <w:p w14:paraId="6EAC1C6B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Подробные формулы, перечень внутренних переменных, уставок, диагностических флагов, тест-кейсов и сценариев проверки не включаются в основной текст настоящего ТЗ и должны быть приведены в программной документации, сервисной документации или Приложении № 1 в объеме, согласованном сторонами.</w:t>
      </w:r>
    </w:p>
    <w:p w14:paraId="16DC28A9" w14:textId="6EF262F4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171095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 Описание этапов разработки</w:t>
      </w:r>
    </w:p>
    <w:p w14:paraId="26F50A68" w14:textId="31B3363C" w:rsidR="000740EC" w:rsidRPr="000740EC" w:rsidRDefault="00FA51A3" w:rsidP="00191F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Описание этапов разработки устанавливается и определяется в следующем порядке.</w:t>
      </w:r>
    </w:p>
    <w:p w14:paraId="5F84B1E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6.1. Анализ требований и концептуальное проектирование</w:t>
      </w:r>
    </w:p>
    <w:p w14:paraId="00A93ECA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Сбор и анализ требований к модулю, включая состав входов, интерфейсов, диагностических функций и алгоритмов учета ресурса.</w:t>
      </w:r>
    </w:p>
    <w:p w14:paraId="77DA7F6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Формирование концептуального описания модуля, включая функциональную схему, варианты подключения к выключателю и варианты применения в составе системы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.</w:t>
      </w:r>
    </w:p>
    <w:p w14:paraId="1455AEB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Согласование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требований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с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Заказчиком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2DE8678D" w14:textId="4334770F" w:rsidR="00A7614B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</w:p>
    <w:p w14:paraId="4EC85D6E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</w:p>
    <w:p w14:paraId="361B844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6.2. Эскизное проектирование</w:t>
      </w:r>
    </w:p>
    <w:p w14:paraId="58AF9387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структурной и принципиальной электрической схемы модуля.</w:t>
      </w:r>
    </w:p>
    <w:p w14:paraId="62BB9129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Предварительный выбор измерительных, интерфейсных и защитных компонентов.</w:t>
      </w:r>
    </w:p>
    <w:p w14:paraId="50BCBA0B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Создание предварительных чертежей и 3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-моделей корпуса, печатной платы и сборочных единиц.</w:t>
      </w:r>
    </w:p>
    <w:p w14:paraId="1E6418D9" w14:textId="137FB78F" w:rsidR="000740EC" w:rsidRPr="00191F4D" w:rsidRDefault="00FA51A3" w:rsidP="00191F4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Согласование эскизного проекта и 3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-моделей с Заказчиком.</w:t>
      </w:r>
    </w:p>
    <w:p w14:paraId="188E309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6.3. Разработка рабочего проекта</w:t>
      </w:r>
    </w:p>
    <w:p w14:paraId="21EB4D0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Детализация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принципиальной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схемы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5AF5D6A9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Разработка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печатной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платы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2438ED2F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и выпуск сборочных чертежей и конструкторской документации.</w:t>
      </w:r>
    </w:p>
    <w:p w14:paraId="36EFEB1B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Создание спецификации покупных и изготавливаемых компонентов.</w:t>
      </w:r>
    </w:p>
    <w:p w14:paraId="2D1B4C24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встроенного программного обеспечения модуля.</w:t>
      </w:r>
    </w:p>
    <w:p w14:paraId="0B44D90C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документации ОТК для сборки и контроля.</w:t>
      </w:r>
    </w:p>
    <w:p w14:paraId="3FEEA062" w14:textId="2BFFC686" w:rsidR="00A7614B" w:rsidRPr="00191F4D" w:rsidRDefault="00FA51A3" w:rsidP="00191F4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документа по настройке и тестированию модуля.</w:t>
      </w:r>
    </w:p>
    <w:p w14:paraId="2BF8971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6.4. Изготовление и испытания опытного образца</w:t>
      </w:r>
    </w:p>
    <w:p w14:paraId="7ACA451E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Сборка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прототипа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модуля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.</w:t>
      </w:r>
    </w:p>
    <w:p w14:paraId="3CCA8D54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Первичное тестирование и отладка по документам ОТК.</w:t>
      </w:r>
    </w:p>
    <w:p w14:paraId="7E22DFE3" w14:textId="77777777" w:rsidR="00191F4D" w:rsidRDefault="00FA51A3" w:rsidP="00191F4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Проведение электрических и функциональных испытаний.</w:t>
      </w:r>
    </w:p>
    <w:p w14:paraId="52B46813" w14:textId="18861F5A" w:rsidR="00191F4D" w:rsidRPr="00191F4D" w:rsidRDefault="00FA51A3" w:rsidP="00191F4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191F4D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отчетов по результатам испытаний.</w:t>
      </w:r>
    </w:p>
    <w:p w14:paraId="4A1CC49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6.5. Подготовка и передача документации и комплекта на изделие</w:t>
      </w:r>
    </w:p>
    <w:p w14:paraId="4CAF494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Вся передаваемая документация должна соответствовать перечню и форматам, указанным в Приложении № 1 к настоящему ТЗ.</w:t>
      </w:r>
    </w:p>
    <w:p w14:paraId="7B9AC989" w14:textId="6C6D7B30" w:rsidR="00FA51A3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F1BC2D2" w14:textId="270DB8CC" w:rsidR="00191F4D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4774106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C327511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7. Консультации, инструктаж и обучение</w:t>
      </w:r>
    </w:p>
    <w:p w14:paraId="36C2076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Исполнитель предоставляет Заказчику до 10 консультационных часов.</w:t>
      </w:r>
    </w:p>
    <w:p w14:paraId="4CA21E5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Все консультации, инструктаж и обучение осуществляются исключительно в пределах этих часов.</w:t>
      </w:r>
    </w:p>
    <w:p w14:paraId="027273A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Превышение лимита оплачивается отдельно.</w:t>
      </w:r>
    </w:p>
    <w:p w14:paraId="7BCBA029" w14:textId="22DE709E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DCC449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8. Порядок использования объекта</w:t>
      </w:r>
    </w:p>
    <w:p w14:paraId="306F999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Порядок использования объекта определяется в следующем порядке: Объект используется в производстве Заказчика в полном объеме.</w:t>
      </w:r>
    </w:p>
    <w:p w14:paraId="4463F5B2" w14:textId="4A9321E2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9D57E3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9. Условия использования Объекта</w:t>
      </w:r>
    </w:p>
    <w:p w14:paraId="1E57C19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Объект после передачи по Акту приема-передачи Заказчик использует полностью в своих коммерческих интересах.</w:t>
      </w:r>
    </w:p>
    <w:p w14:paraId="27A9E3B8" w14:textId="0987B5B2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B91CFF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10. Ограничения по использованию Объекта</w:t>
      </w:r>
    </w:p>
    <w:p w14:paraId="63E4844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Исполнитель не имеет права применять и реализовывать Объект на коммерческих условиях без письменного согласия Заказчика, а также упоминать его в рекламных целях.</w:t>
      </w:r>
    </w:p>
    <w:p w14:paraId="50B2BB08" w14:textId="6E0981DB" w:rsidR="00FA51A3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DC7B068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3BE00B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11. Исключительное право</w:t>
      </w:r>
    </w:p>
    <w:p w14:paraId="5B2D578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Исключительное право на Объект возникает у Заказчика.</w:t>
      </w:r>
    </w:p>
    <w:p w14:paraId="7583859F" w14:textId="7E0677FD" w:rsidR="00FA51A3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9362BEE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1AA0BB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12. Регистрация права</w:t>
      </w:r>
    </w:p>
    <w:p w14:paraId="039034FD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4E4D88A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0F8058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Право на результат после государственной регистрации возникает у Заказчика.</w:t>
      </w:r>
    </w:p>
    <w:p w14:paraId="49C05A00" w14:textId="1ACE2E56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3497E3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13. Ограничения доступа к материалам</w:t>
      </w:r>
    </w:p>
    <w:p w14:paraId="657B605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492ACB95" w14:textId="72D46824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9D0E9E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14. Перечень передаваемых материалов</w:t>
      </w:r>
    </w:p>
    <w:p w14:paraId="2EA9DD1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Перечень и формат передаваемых сведений указываются в Приложении № 1 к настоящему Техническому заданию.</w:t>
      </w:r>
    </w:p>
    <w:p w14:paraId="4592BE13" w14:textId="59AC112E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2992C42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15. Способ передачи материалов</w:t>
      </w:r>
    </w:p>
    <w:p w14:paraId="7E7B0F0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Материальный носитель, на котором передается результат, -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USB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Flash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носитель и дублирование через защищенное облачное хранилище, указываются в Приложении № 1 к настоящему ТЗ.</w:t>
      </w:r>
    </w:p>
    <w:p w14:paraId="6848E634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16. Сроки передачи</w:t>
      </w:r>
    </w:p>
    <w:p w14:paraId="53FEA892" w14:textId="0119EC3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Срок подготовки и передачи объекта не позднее __________________.</w:t>
      </w:r>
    </w:p>
    <w:p w14:paraId="1001784A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6B95DA7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17. Условия передачи</w:t>
      </w:r>
    </w:p>
    <w:p w14:paraId="6EEB7AAC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14 и п. 15, при отсутствии замечаний к результату.</w:t>
      </w:r>
    </w:p>
    <w:p w14:paraId="5ACDF82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Исполнитель обязуется устранить замечания Заказчика, относящиеся к несоответствию результата условиям ТЗ.</w:t>
      </w:r>
    </w:p>
    <w:p w14:paraId="2AB661D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31D33A63" w14:textId="7778E1F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F73A8EE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18. Вознаграждение и порядок оплаты</w:t>
      </w:r>
    </w:p>
    <w:p w14:paraId="63247871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Вознаграждение Исполнителя составляет ________________, НДС не облагается.</w:t>
      </w:r>
    </w:p>
    <w:p w14:paraId="092D79E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Порядок уплаты вознаграждения осуществляется в следующем порядке:</w:t>
      </w:r>
    </w:p>
    <w:p w14:paraId="30AAF14E" w14:textId="77777777" w:rsidR="00FA51A3" w:rsidRPr="000740EC" w:rsidRDefault="00FA51A3" w:rsidP="000740E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100" w:beforeAutospacing="1" w:after="100" w:afterAutospacing="1" w:line="276" w:lineRule="auto"/>
        <w:ind w:left="9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№ 1 и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счета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на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 xml:space="preserve"> </w:t>
      </w:r>
      <w:proofErr w:type="spellStart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оплату</w:t>
      </w:r>
      <w:proofErr w:type="spellEnd"/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;</w:t>
      </w:r>
    </w:p>
    <w:p w14:paraId="28F81B5F" w14:textId="77777777" w:rsidR="00FA51A3" w:rsidRPr="000740EC" w:rsidRDefault="00FA51A3" w:rsidP="000740E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60" w:after="100" w:afterAutospacing="1" w:line="276" w:lineRule="auto"/>
        <w:ind w:left="9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14:paraId="513EE3C7" w14:textId="70C77DBD" w:rsidR="00FA51A3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9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02FB485" w14:textId="312D2BB5" w:rsidR="00191F4D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9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  <w:bookmarkStart w:id="0" w:name="_GoBack"/>
      <w:bookmarkEnd w:id="0"/>
    </w:p>
    <w:p w14:paraId="2CF28CFB" w14:textId="77777777" w:rsidR="00191F4D" w:rsidRPr="000740EC" w:rsidRDefault="00191F4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9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4B52215" w14:textId="2DAE1B4D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Подписи Сторон</w:t>
      </w:r>
      <w:r w:rsid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7614B" w:rsidRPr="000740EC" w14:paraId="3034DEF6" w14:textId="77777777" w:rsidTr="002A55B1">
        <w:tc>
          <w:tcPr>
            <w:tcW w:w="4675" w:type="dxa"/>
          </w:tcPr>
          <w:p w14:paraId="3701E918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Заказчик:</w:t>
            </w: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 xml:space="preserve">ООО «ЛЕВИН </w:t>
            </w:r>
            <w:proofErr w:type="spellStart"/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t>Фотоникс</w:t>
            </w:r>
            <w:proofErr w:type="spellEnd"/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t>»</w:t>
            </w:r>
          </w:p>
          <w:p w14:paraId="000B5DE1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  <w:tc>
          <w:tcPr>
            <w:tcW w:w="4675" w:type="dxa"/>
          </w:tcPr>
          <w:p w14:paraId="1D127833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Исполнитель:</w:t>
            </w: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ИП Морозова А.</w:t>
            </w:r>
          </w:p>
          <w:p w14:paraId="0F6A1DDC" w14:textId="2D4DCF32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____________________ Морозова А.</w:t>
            </w:r>
          </w:p>
          <w:p w14:paraId="4F1D4034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</w:tr>
    </w:tbl>
    <w:p w14:paraId="0B81721A" w14:textId="5426D5AC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F5814B5" w14:textId="77777777" w:rsidR="00A7614B" w:rsidRPr="000740EC" w:rsidRDefault="00A7614B" w:rsidP="000740EC">
      <w:pPr>
        <w:spacing w:line="276" w:lineRule="auto"/>
        <w:ind w:firstLine="720"/>
        <w:jc w:val="both"/>
        <w:rPr>
          <w:rFonts w:ascii="Proxima Nova Lt" w:hAnsi="Proxima Nova Lt"/>
          <w:szCs w:val="24"/>
        </w:rPr>
      </w:pPr>
    </w:p>
    <w:sectPr w:rsidR="00A7614B" w:rsidRPr="000740E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8CD9DB" w14:textId="77777777" w:rsidR="00E657F1" w:rsidRDefault="00E657F1" w:rsidP="00FA51A3">
      <w:pPr>
        <w:spacing w:after="0"/>
      </w:pPr>
      <w:r>
        <w:separator/>
      </w:r>
    </w:p>
  </w:endnote>
  <w:endnote w:type="continuationSeparator" w:id="0">
    <w:p w14:paraId="1A306925" w14:textId="77777777" w:rsidR="00E657F1" w:rsidRDefault="00E657F1" w:rsidP="00FA51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 Semi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roxima Nova Light">
    <w:altName w:val="Tahoma"/>
    <w:charset w:val="00"/>
    <w:family w:val="auto"/>
    <w:pitch w:val="variable"/>
    <w:sig w:usb0="20000287" w:usb1="00000001" w:usb2="00000000" w:usb3="00000000" w:csb0="000001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3"/>
      </w:rPr>
      <w:id w:val="458147102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19085FE1" w14:textId="17836EE5" w:rsidR="00FA51A3" w:rsidRDefault="00FA51A3" w:rsidP="0038072F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6FDD54BA" w14:textId="77777777" w:rsidR="00FA51A3" w:rsidRDefault="00FA51A3" w:rsidP="00FA51A3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3"/>
      </w:rPr>
      <w:id w:val="-1958706613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46357BE7" w14:textId="6DAFF15E" w:rsidR="00FA51A3" w:rsidRDefault="00FA51A3" w:rsidP="0038072F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12</w:t>
        </w:r>
        <w:r>
          <w:rPr>
            <w:rStyle w:val="af3"/>
          </w:rPr>
          <w:fldChar w:fldCharType="end"/>
        </w:r>
      </w:p>
    </w:sdtContent>
  </w:sdt>
  <w:p w14:paraId="127C50D3" w14:textId="77777777" w:rsidR="00FA51A3" w:rsidRDefault="00FA51A3" w:rsidP="00FA51A3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D6FD33" w14:textId="77777777" w:rsidR="00E657F1" w:rsidRDefault="00E657F1" w:rsidP="00FA51A3">
      <w:pPr>
        <w:spacing w:after="0"/>
      </w:pPr>
      <w:r>
        <w:separator/>
      </w:r>
    </w:p>
  </w:footnote>
  <w:footnote w:type="continuationSeparator" w:id="0">
    <w:p w14:paraId="02C9F9CB" w14:textId="77777777" w:rsidR="00E657F1" w:rsidRDefault="00E657F1" w:rsidP="00FA51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D7E14"/>
    <w:multiLevelType w:val="multilevel"/>
    <w:tmpl w:val="3CE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4F5"/>
    <w:multiLevelType w:val="multilevel"/>
    <w:tmpl w:val="295CF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EE72DD"/>
    <w:multiLevelType w:val="hybridMultilevel"/>
    <w:tmpl w:val="A704C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21FD3"/>
    <w:multiLevelType w:val="multilevel"/>
    <w:tmpl w:val="9ED255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288C"/>
    <w:multiLevelType w:val="multilevel"/>
    <w:tmpl w:val="71A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25AAF"/>
    <w:multiLevelType w:val="multilevel"/>
    <w:tmpl w:val="8C7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57DE"/>
    <w:multiLevelType w:val="multilevel"/>
    <w:tmpl w:val="537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F7396"/>
    <w:multiLevelType w:val="hybridMultilevel"/>
    <w:tmpl w:val="00FC3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09596C"/>
    <w:multiLevelType w:val="multilevel"/>
    <w:tmpl w:val="AB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54275"/>
    <w:multiLevelType w:val="hybridMultilevel"/>
    <w:tmpl w:val="64322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6C5079"/>
    <w:multiLevelType w:val="multilevel"/>
    <w:tmpl w:val="0F5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4C5B"/>
    <w:multiLevelType w:val="multilevel"/>
    <w:tmpl w:val="00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05AB8"/>
    <w:multiLevelType w:val="hybridMultilevel"/>
    <w:tmpl w:val="16A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EB4FDB"/>
    <w:multiLevelType w:val="multilevel"/>
    <w:tmpl w:val="824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E68FE"/>
    <w:multiLevelType w:val="multilevel"/>
    <w:tmpl w:val="668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35298"/>
    <w:multiLevelType w:val="multilevel"/>
    <w:tmpl w:val="BECAC9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5"/>
  </w:num>
  <w:num w:numId="4">
    <w:abstractNumId w:val="4"/>
  </w:num>
  <w:num w:numId="5">
    <w:abstractNumId w:val="6"/>
  </w:num>
  <w:num w:numId="6">
    <w:abstractNumId w:val="0"/>
  </w:num>
  <w:num w:numId="7">
    <w:abstractNumId w:val="14"/>
  </w:num>
  <w:num w:numId="8">
    <w:abstractNumId w:val="3"/>
  </w:num>
  <w:num w:numId="9">
    <w:abstractNumId w:val="10"/>
  </w:num>
  <w:num w:numId="10">
    <w:abstractNumId w:val="2"/>
  </w:num>
  <w:num w:numId="11">
    <w:abstractNumId w:val="12"/>
  </w:num>
  <w:num w:numId="12">
    <w:abstractNumId w:val="9"/>
  </w:num>
  <w:num w:numId="13">
    <w:abstractNumId w:val="7"/>
  </w:num>
  <w:num w:numId="14">
    <w:abstractNumId w:val="5"/>
  </w:num>
  <w:num w:numId="15">
    <w:abstractNumId w:val="8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A3"/>
    <w:rsid w:val="000740EC"/>
    <w:rsid w:val="000A528E"/>
    <w:rsid w:val="000E1581"/>
    <w:rsid w:val="00191F4D"/>
    <w:rsid w:val="002047C7"/>
    <w:rsid w:val="00271F44"/>
    <w:rsid w:val="002A55B1"/>
    <w:rsid w:val="00367B98"/>
    <w:rsid w:val="003C29A3"/>
    <w:rsid w:val="003F26F6"/>
    <w:rsid w:val="0041290E"/>
    <w:rsid w:val="004B3B75"/>
    <w:rsid w:val="004D1E55"/>
    <w:rsid w:val="0054657C"/>
    <w:rsid w:val="005C0AD2"/>
    <w:rsid w:val="007C65FF"/>
    <w:rsid w:val="007D4B16"/>
    <w:rsid w:val="0081149D"/>
    <w:rsid w:val="00865299"/>
    <w:rsid w:val="00880B27"/>
    <w:rsid w:val="00997F0C"/>
    <w:rsid w:val="00A07534"/>
    <w:rsid w:val="00A7614B"/>
    <w:rsid w:val="00BB39B7"/>
    <w:rsid w:val="00C83903"/>
    <w:rsid w:val="00E36CCB"/>
    <w:rsid w:val="00E657F1"/>
    <w:rsid w:val="00FA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85D1"/>
  <w15:chartTrackingRefBased/>
  <w15:docId w15:val="{C7441794-59AD-9A48-BCE6-585A5B0F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B27"/>
    <w:pPr>
      <w:pBdr>
        <w:top w:val="nil"/>
        <w:left w:val="nil"/>
        <w:bottom w:val="nil"/>
        <w:right w:val="nil"/>
        <w:between w:val="nil"/>
        <w:bar w:val="nil"/>
      </w:pBdr>
      <w:spacing w:after="200"/>
      <w:ind w:left="2160"/>
    </w:pPr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76" w:lineRule="auto"/>
      <w:ind w:left="0"/>
      <w:jc w:val="center"/>
      <w:outlineLvl w:val="0"/>
    </w:pPr>
    <w:rPr>
      <w:rFonts w:ascii="Proxima Nova Semibold" w:eastAsiaTheme="majorEastAsia" w:hAnsi="Proxima Nova Semibold" w:cstheme="majorBidi"/>
      <w:b/>
      <w:color w:val="000000" w:themeColor="text1"/>
      <w:kern w:val="2"/>
      <w:sz w:val="32"/>
      <w:szCs w:val="32"/>
      <w:bdr w:val="none" w:sz="0" w:space="0" w:color="auto"/>
      <w:lang w:val="en-US" w:eastAsia="en-US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after="0" w:line="276" w:lineRule="auto"/>
      <w:ind w:left="0"/>
      <w:outlineLvl w:val="1"/>
    </w:pPr>
    <w:rPr>
      <w:rFonts w:ascii="Proxima Nova Semibold" w:eastAsiaTheme="majorEastAsia" w:hAnsi="Proxima Nova Semibold" w:cstheme="majorBidi"/>
      <w:b/>
      <w:color w:val="000000" w:themeColor="text1"/>
      <w:kern w:val="2"/>
      <w:szCs w:val="26"/>
      <w:bdr w:val="none" w:sz="0" w:space="0" w:color="auto"/>
      <w:lang w:val="en-US" w:eastAsia="en-US"/>
      <w14:ligatures w14:val="standardContextual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367B98"/>
    <w:pPr>
      <w:keepNext/>
      <w:keepLines/>
      <w:spacing w:before="40" w:after="0"/>
      <w:ind w:left="720"/>
      <w:outlineLvl w:val="2"/>
    </w:pPr>
    <w:rPr>
      <w:rFonts w:ascii="Proxima Nova Semibold" w:eastAsiaTheme="majorEastAsia" w:hAnsi="Proxima Nova Semibold" w:cstheme="majorBidi"/>
      <w:b/>
      <w:color w:val="000000" w:themeColor="text1"/>
      <w:kern w:val="2"/>
      <w:sz w:val="28"/>
      <w:szCs w:val="24"/>
      <w:lang w:val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A51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A51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A51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A51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A51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A51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367B98"/>
    <w:pPr>
      <w:widowControl w:val="0"/>
      <w:autoSpaceDE w:val="0"/>
      <w:autoSpaceDN w:val="0"/>
      <w:spacing w:after="0"/>
    </w:pPr>
    <w:rPr>
      <w:rFonts w:eastAsia="Arial" w:cs="Arial"/>
      <w:kern w:val="2"/>
      <w:sz w:val="22"/>
      <w:szCs w:val="24"/>
      <w:lang w:val="en-US"/>
      <w14:ligatures w14:val="standardContextual"/>
    </w:rPr>
  </w:style>
  <w:style w:type="character" w:customStyle="1" w:styleId="a5">
    <w:name w:val="Основной текст Знак"/>
    <w:link w:val="a4"/>
    <w:uiPriority w:val="1"/>
    <w:rsid w:val="00367B98"/>
    <w:rPr>
      <w:rFonts w:ascii="Proxima Nova" w:eastAsia="Arial" w:hAnsi="Proxima Nova" w:cs="Arial"/>
      <w:sz w:val="22"/>
    </w:rPr>
  </w:style>
  <w:style w:type="character" w:customStyle="1" w:styleId="20">
    <w:name w:val="Заголовок 2 Знак"/>
    <w:basedOn w:val="a1"/>
    <w:link w:val="2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Cs w:val="26"/>
    </w:rPr>
  </w:style>
  <w:style w:type="paragraph" w:styleId="a">
    <w:name w:val="Title"/>
    <w:basedOn w:val="a6"/>
    <w:next w:val="a0"/>
    <w:link w:val="a7"/>
    <w:autoRedefine/>
    <w:uiPriority w:val="10"/>
    <w:qFormat/>
    <w:rsid w:val="00367B98"/>
    <w:pPr>
      <w:widowControl w:val="0"/>
      <w:numPr>
        <w:numId w:val="3"/>
      </w:numPr>
      <w:autoSpaceDE w:val="0"/>
      <w:autoSpaceDN w:val="0"/>
      <w:adjustRightInd w:val="0"/>
      <w:spacing w:before="120" w:after="120"/>
      <w:ind w:left="1080" w:hanging="360"/>
    </w:pPr>
    <w:rPr>
      <w:rFonts w:ascii="Proxima Nova Semibold" w:eastAsiaTheme="minorHAnsi" w:hAnsi="Proxima Nova Semibold" w:cs="Arial"/>
      <w:b/>
      <w:bCs/>
      <w:kern w:val="2"/>
      <w:lang w:val="en-US" w:eastAsia="en-US"/>
      <w14:ligatures w14:val="standardContextual"/>
    </w:rPr>
  </w:style>
  <w:style w:type="character" w:customStyle="1" w:styleId="a7">
    <w:name w:val="Заголовок Знак"/>
    <w:basedOn w:val="a1"/>
    <w:link w:val="a"/>
    <w:uiPriority w:val="10"/>
    <w:rsid w:val="00367B98"/>
    <w:rPr>
      <w:rFonts w:ascii="Proxima Nova Semibold" w:hAnsi="Proxima Nova Semibold" w:cs="Arial"/>
      <w:b/>
      <w:bCs/>
      <w:color w:val="000000" w:themeColor="text1"/>
    </w:rPr>
  </w:style>
  <w:style w:type="paragraph" w:styleId="a6">
    <w:name w:val="List Paragraph"/>
    <w:basedOn w:val="a0"/>
    <w:autoRedefine/>
    <w:uiPriority w:val="34"/>
    <w:qFormat/>
    <w:rsid w:val="00367B98"/>
    <w:pPr>
      <w:spacing w:after="0"/>
      <w:ind w:left="3600"/>
      <w:contextualSpacing/>
    </w:pPr>
    <w:rPr>
      <w:color w:val="000000" w:themeColor="text1"/>
      <w:szCs w:val="24"/>
      <w:lang w:eastAsia="en-GB"/>
    </w:rPr>
  </w:style>
  <w:style w:type="character" w:customStyle="1" w:styleId="30">
    <w:name w:val="Заголовок 3 Знак"/>
    <w:basedOn w:val="a1"/>
    <w:link w:val="3"/>
    <w:uiPriority w:val="9"/>
    <w:rsid w:val="00367B98"/>
    <w:rPr>
      <w:rFonts w:ascii="Proxima Nova Semibold" w:eastAsiaTheme="majorEastAsia" w:hAnsi="Proxima Nova Semibold" w:cstheme="majorBidi"/>
      <w:b/>
      <w:color w:val="000000" w:themeColor="text1"/>
      <w:sz w:val="28"/>
    </w:rPr>
  </w:style>
  <w:style w:type="character" w:customStyle="1" w:styleId="10">
    <w:name w:val="Заголовок 1 Знак"/>
    <w:basedOn w:val="a1"/>
    <w:link w:val="1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 w:val="32"/>
      <w:szCs w:val="32"/>
    </w:rPr>
  </w:style>
  <w:style w:type="character" w:styleId="a8">
    <w:name w:val="Strong"/>
    <w:basedOn w:val="a1"/>
    <w:uiPriority w:val="22"/>
    <w:qFormat/>
    <w:rsid w:val="00367B98"/>
    <w:rPr>
      <w:rFonts w:ascii="Proxima Nova" w:hAnsi="Proxima Nova"/>
      <w:b/>
      <w:bCs/>
      <w:i w:val="0"/>
      <w:color w:val="FFFFFF" w:themeColor="background1"/>
      <w:sz w:val="44"/>
    </w:rPr>
  </w:style>
  <w:style w:type="paragraph" w:styleId="a9">
    <w:name w:val="TOC Heading"/>
    <w:basedOn w:val="1"/>
    <w:next w:val="a0"/>
    <w:autoRedefine/>
    <w:uiPriority w:val="39"/>
    <w:unhideWhenUsed/>
    <w:qFormat/>
    <w:rsid w:val="00367B98"/>
    <w:pPr>
      <w:spacing w:before="120"/>
      <w:jc w:val="left"/>
      <w:outlineLvl w:val="9"/>
    </w:pPr>
    <w:rPr>
      <w:rFonts w:asciiTheme="majorHAnsi" w:hAnsiTheme="majorHAnsi"/>
      <w:color w:val="FFFFFF" w:themeColor="background1"/>
      <w:kern w:val="0"/>
      <w:sz w:val="28"/>
      <w:szCs w:val="28"/>
      <w14:ligatures w14:val="none"/>
    </w:rPr>
  </w:style>
  <w:style w:type="paragraph" w:customStyle="1" w:styleId="11">
    <w:name w:val="Обычный1"/>
    <w:autoRedefine/>
    <w:qFormat/>
    <w:rsid w:val="00880B27"/>
    <w:pPr>
      <w:jc w:val="center"/>
    </w:pPr>
    <w:rPr>
      <w:rFonts w:ascii="Proxima Nova Semibold" w:hAnsi="Proxima Nova Semibold" w:cs="Times New Roman"/>
      <w:b/>
      <w:color w:val="000000"/>
      <w:kern w:val="0"/>
      <w:sz w:val="28"/>
      <w:szCs w:val="20"/>
      <w:lang w:val="ru-RU" w:eastAsia="ru-RU"/>
      <w14:ligatures w14:val="none"/>
    </w:rPr>
  </w:style>
  <w:style w:type="paragraph" w:customStyle="1" w:styleId="31">
    <w:name w:val="Основной текст с отступом 31"/>
    <w:basedOn w:val="a0"/>
    <w:next w:val="11"/>
    <w:autoRedefine/>
    <w:qFormat/>
    <w:rsid w:val="00880B2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60" w:lineRule="auto"/>
      <w:ind w:left="0" w:firstLine="567"/>
      <w:jc w:val="both"/>
    </w:pPr>
    <w:rPr>
      <w:rFonts w:ascii="Proxima Nova Light" w:eastAsia="Times New Roman" w:hAnsi="Proxima Nova Light" w:cs="Times New Roman"/>
      <w:color w:val="auto"/>
      <w:szCs w:val="20"/>
      <w:bdr w:val="none" w:sz="0" w:space="0" w:color="auto"/>
      <w:lang w:eastAsia="ar-SA"/>
    </w:rPr>
  </w:style>
  <w:style w:type="character" w:customStyle="1" w:styleId="40">
    <w:name w:val="Заголовок 4 Знак"/>
    <w:basedOn w:val="a1"/>
    <w:link w:val="4"/>
    <w:uiPriority w:val="9"/>
    <w:semiHidden/>
    <w:rsid w:val="00FA51A3"/>
    <w:rPr>
      <w:rFonts w:eastAsiaTheme="majorEastAsia" w:cstheme="majorBidi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FA51A3"/>
    <w:rPr>
      <w:rFonts w:eastAsiaTheme="majorEastAsia" w:cstheme="majorBidi"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FA51A3"/>
    <w:rPr>
      <w:rFonts w:eastAsiaTheme="majorEastAsia" w:cstheme="majorBidi"/>
      <w:i/>
      <w:iCs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FA51A3"/>
    <w:rPr>
      <w:rFonts w:eastAsiaTheme="majorEastAsia" w:cstheme="majorBidi"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FA51A3"/>
    <w:rPr>
      <w:rFonts w:eastAsiaTheme="majorEastAsia" w:cstheme="majorBidi"/>
      <w:i/>
      <w:iCs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FA51A3"/>
    <w:rPr>
      <w:rFonts w:eastAsiaTheme="majorEastAsia" w:cstheme="majorBidi"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paragraph" w:styleId="aa">
    <w:name w:val="Subtitle"/>
    <w:basedOn w:val="a0"/>
    <w:next w:val="a0"/>
    <w:link w:val="ab"/>
    <w:uiPriority w:val="11"/>
    <w:qFormat/>
    <w:rsid w:val="00FA51A3"/>
    <w:pPr>
      <w:numPr>
        <w:ilvl w:val="1"/>
      </w:numPr>
      <w:spacing w:after="160"/>
      <w:ind w:left="2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FA51A3"/>
    <w:rPr>
      <w:rFonts w:eastAsiaTheme="majorEastAsia" w:cstheme="majorBidi"/>
      <w:color w:val="595959" w:themeColor="text1" w:themeTint="A6"/>
      <w:spacing w:val="15"/>
      <w:kern w:val="0"/>
      <w:sz w:val="28"/>
      <w:szCs w:val="28"/>
      <w:u w:color="000000"/>
      <w:bdr w:val="nil"/>
      <w:lang w:val="ru-RU"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FA5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A51A3"/>
    <w:rPr>
      <w:rFonts w:ascii="Proxima Nova" w:eastAsia="Arial Unicode MS" w:hAnsi="Proxima Nova" w:cs="Arial Unicode MS"/>
      <w:i/>
      <w:iCs/>
      <w:color w:val="404040" w:themeColor="text1" w:themeTint="BF"/>
      <w:kern w:val="0"/>
      <w:szCs w:val="22"/>
      <w:u w:color="000000"/>
      <w:bdr w:val="nil"/>
      <w:lang w:val="ru-RU" w:eastAsia="ru-RU"/>
      <w14:ligatures w14:val="none"/>
    </w:rPr>
  </w:style>
  <w:style w:type="character" w:styleId="ac">
    <w:name w:val="Intense Emphasis"/>
    <w:basedOn w:val="a1"/>
    <w:uiPriority w:val="21"/>
    <w:qFormat/>
    <w:rsid w:val="00FA51A3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A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FA51A3"/>
    <w:rPr>
      <w:rFonts w:ascii="Proxima Nova" w:eastAsia="Arial Unicode MS" w:hAnsi="Proxima Nova" w:cs="Arial Unicode MS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styleId="af">
    <w:name w:val="Intense Reference"/>
    <w:basedOn w:val="a1"/>
    <w:uiPriority w:val="32"/>
    <w:qFormat/>
    <w:rsid w:val="00FA51A3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0"/>
    <w:uiPriority w:val="99"/>
    <w:semiHidden/>
    <w:unhideWhenUsed/>
    <w:rsid w:val="00FA51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Cs w:val="24"/>
      <w:bdr w:val="none" w:sz="0" w:space="0" w:color="auto"/>
      <w:lang w:val="en-US" w:eastAsia="en-US"/>
    </w:rPr>
  </w:style>
  <w:style w:type="character" w:customStyle="1" w:styleId="apple-converted-space">
    <w:name w:val="apple-converted-space"/>
    <w:basedOn w:val="a1"/>
    <w:rsid w:val="00FA51A3"/>
  </w:style>
  <w:style w:type="paragraph" w:styleId="af1">
    <w:name w:val="footer"/>
    <w:basedOn w:val="a0"/>
    <w:link w:val="af2"/>
    <w:uiPriority w:val="99"/>
    <w:unhideWhenUsed/>
    <w:rsid w:val="00FA51A3"/>
    <w:pPr>
      <w:tabs>
        <w:tab w:val="center" w:pos="4680"/>
        <w:tab w:val="right" w:pos="9360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FA51A3"/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character" w:styleId="af3">
    <w:name w:val="page number"/>
    <w:basedOn w:val="a1"/>
    <w:uiPriority w:val="99"/>
    <w:semiHidden/>
    <w:unhideWhenUsed/>
    <w:rsid w:val="00FA51A3"/>
  </w:style>
  <w:style w:type="table" w:styleId="af4">
    <w:name w:val="Table Grid"/>
    <w:basedOn w:val="a2"/>
    <w:uiPriority w:val="39"/>
    <w:rsid w:val="00A76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0"/>
    <w:rsid w:val="008114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509108-1F4E-434F-99C8-33821BF6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3078</Words>
  <Characters>17546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</cp:lastModifiedBy>
  <cp:revision>12</cp:revision>
  <dcterms:created xsi:type="dcterms:W3CDTF">2026-06-27T12:43:00Z</dcterms:created>
  <dcterms:modified xsi:type="dcterms:W3CDTF">2026-07-15T12:50:00Z</dcterms:modified>
</cp:coreProperties>
</file>