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Projeto de interface da</w:t>
        <w:br/>
        <w:t>FLUXO DE CLIENTES</w:t>
      </w:r>
    </w:p>
    <w:p>
      <w:pPr>
        <w:pStyle w:val="Subtitle"/>
      </w:pPr>
      <w:r>
        <w:t>Landing page e padrões da aplicação web</w:t>
      </w:r>
    </w:p>
    <w:p>
      <w:r>
        <w:t>A página principal apresenta marketing, atendimento, funil, automação e IA como partes da mesma operação. A ação principal é solicitar uma demonstração, enquanto clientes acessam sua conta pelo botão Entrar.</w:t>
      </w:r>
    </w:p>
    <w:p>
      <w:r>
        <w:t>Este projeto define a aparência, o conteúdo, os caminhos de navegação e o comportamento esperado das telas. As rotas são propostas para implementação e devem ser compatibilizadas com a estrutura atual da aplicação.</w:t>
      </w:r>
    </w:p>
    <w:p>
      <w:r>
        <w:drawing>
          <wp:inline xmlns:a="http://schemas.openxmlformats.org/drawingml/2006/main" xmlns:pic="http://schemas.openxmlformats.org/drawingml/2006/picture">
            <wp:extent cx="6446520" cy="4240693"/>
            <wp:docPr id="1" name="Picture 1" descr="Proposta visual com landing page em tema escuro no computador e tema claro no celula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87fba159-ba3d-4f92-b459-ce0f152164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240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Referência visual de tema e adaptação para celular, com dados demonstrativos.</w:t>
      </w:r>
    </w:p>
    <w:p>
      <w:pPr>
        <w:pStyle w:val="Heading2"/>
      </w:pPr>
      <w:r>
        <w:t>Mensagem principal</w:t>
      </w:r>
    </w:p>
    <w:p>
      <w:r>
        <w:rPr>
          <w:b/>
        </w:rPr>
        <w:t xml:space="preserve">Título da página </w:t>
      </w:r>
      <w:r>
        <w:t>Marketing, atendimento e dados no mesmo lugar.</w:t>
      </w:r>
    </w:p>
    <w:p>
      <w:r>
        <w:rPr>
          <w:b/>
        </w:rPr>
        <w:t xml:space="preserve">Texto de apoio </w:t>
      </w:r>
      <w:r>
        <w:t>Organize conversas, acompanhe o funil e use IA para apoiar a próxima decisão.</w:t>
      </w:r>
    </w:p>
    <w:p>
      <w:r>
        <w:rPr>
          <w:b/>
        </w:rPr>
        <w:t xml:space="preserve">Direção visual </w:t>
      </w:r>
      <w:r>
        <w:t>Grafite oliva, superfícies claras, coral nos destaques, cartões arredondados e telas do produto como elemento central.</w:t>
      </w:r>
    </w:p>
    <w:p>
      <w:pPr>
        <w:pStyle w:val="Heading1"/>
        <w:pageBreakBefore/>
      </w:pPr>
      <w:r>
        <w:t>Mapa da landing page principal</w:t>
      </w:r>
    </w:p>
    <w:p>
      <w:r>
        <w:t>A rota / reúne as seções abaixo, nesta ordem. Os endereços com # levam a uma parte da própria página. O cabeçalho permanece acessível durante a rolagem, com espaço reservado para não cobrir os títulos.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2"/>
        <w:gridCol w:w="2520"/>
        <w:gridCol w:w="6912"/>
      </w:tblGrid>
      <w:tr>
        <w:trPr>
          <w:tblHeader/>
          <w:cantSplit/>
        </w:trPr>
        <w:tc>
          <w:tcPr>
            <w:tcW w:type="dxa" w:w="792"/>
            <w:vAlign w:val="center"/>
            <w:shd w:fill="333333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Nº</w:t>
            </w:r>
          </w:p>
        </w:tc>
        <w:tc>
          <w:tcPr>
            <w:tcW w:type="dxa" w:w="2520"/>
            <w:vAlign w:val="center"/>
            <w:shd w:fill="333333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Seção e endereço</w:t>
            </w:r>
          </w:p>
        </w:tc>
        <w:tc>
          <w:tcPr>
            <w:tcW w:type="dxa" w:w="6912"/>
            <w:vAlign w:val="center"/>
            <w:shd w:fill="333333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Conteúdo e ação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 w:val="0"/>
                <w:color w:val="252820"/>
                <w:sz w:val="20"/>
              </w:rPr>
              <w:t>01</w:t>
            </w:r>
          </w:p>
        </w:tc>
        <w:tc>
          <w:tcPr>
            <w:tcW w:type="dxa" w:w="25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Cabeçalho</w:t>
              <w:br/>
              <w:t>/</w:t>
            </w:r>
          </w:p>
        </w:tc>
        <w:tc>
          <w:tcPr>
            <w:tcW w:type="dxa" w:w="69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Marca, Plataforma, Soluções, Como funciona e Perguntas. Entrar abre /entrar, Solicitar demonstração abre /demonstracao.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 w:val="0"/>
                <w:color w:val="252820"/>
                <w:sz w:val="20"/>
              </w:rPr>
              <w:t>02</w:t>
            </w:r>
          </w:p>
        </w:tc>
        <w:tc>
          <w:tcPr>
            <w:tcW w:type="dxa" w:w="2520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Abertura</w:t>
              <w:br/>
              <w:t>/#inicio</w:t>
            </w:r>
          </w:p>
        </w:tc>
        <w:tc>
          <w:tcPr>
            <w:tcW w:type="dxa" w:w="6912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Título principal, texto de apoio e prévia do painel. Solicitar demonstração abre o formulário, Explorar a plataforma leva a /#plataforma.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 w:val="0"/>
                <w:color w:val="252820"/>
                <w:sz w:val="20"/>
              </w:rPr>
              <w:t>03</w:t>
            </w:r>
          </w:p>
        </w:tc>
        <w:tc>
          <w:tcPr>
            <w:tcW w:type="dxa" w:w="25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Recursos</w:t>
              <w:br/>
              <w:t>/#plataforma</w:t>
            </w:r>
          </w:p>
        </w:tc>
        <w:tc>
          <w:tcPr>
            <w:tcW w:type="dxa" w:w="69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Seis cartões apresentam marketing, funil, atendimento, IA, automações e análise. Cada cartão explica uma função com linguagem simples.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 w:val="0"/>
                <w:color w:val="252820"/>
                <w:sz w:val="20"/>
              </w:rPr>
              <w:t>04</w:t>
            </w:r>
          </w:p>
        </w:tc>
        <w:tc>
          <w:tcPr>
            <w:tcW w:type="dxa" w:w="2520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Funil e atendimento</w:t>
              <w:br/>
              <w:t>/#funil</w:t>
            </w:r>
          </w:p>
        </w:tc>
        <w:tc>
          <w:tcPr>
            <w:tcW w:type="dxa" w:w="6912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Título Entenda onde as conversas param, tela de etapas e explicação de origem, responsável e histórico. Conhecer o funil abre /demonstracao?interesse=funil.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 w:val="0"/>
                <w:color w:val="252820"/>
                <w:sz w:val="20"/>
              </w:rPr>
              <w:t>05</w:t>
            </w:r>
          </w:p>
        </w:tc>
        <w:tc>
          <w:tcPr>
            <w:tcW w:type="dxa" w:w="25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IA e automação</w:t>
              <w:br/>
              <w:t>/#inteligencia</w:t>
            </w:r>
          </w:p>
        </w:tc>
        <w:tc>
          <w:tcPr>
            <w:tcW w:type="dxa" w:w="69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Título IA que ajuda a equipe a agir, exemplo de sugestão e explicação do controle da equipe. Revisar sugestões pertence à prévia ilustrativa do produto.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 w:val="0"/>
                <w:color w:val="252820"/>
                <w:sz w:val="20"/>
              </w:rPr>
              <w:t>06</w:t>
            </w:r>
          </w:p>
        </w:tc>
        <w:tc>
          <w:tcPr>
            <w:tcW w:type="dxa" w:w="2520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Como funciona</w:t>
              <w:br/>
              <w:t>/#como-funciona</w:t>
            </w:r>
          </w:p>
        </w:tc>
        <w:tc>
          <w:tcPr>
            <w:tcW w:type="dxa" w:w="6912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Conecte seus canais, Organize a operação, Acompanhe e ajuste. Cada passo explica o início de uso e as configurações necessárias.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 w:val="0"/>
                <w:color w:val="252820"/>
                <w:sz w:val="20"/>
              </w:rPr>
              <w:t>07</w:t>
            </w:r>
          </w:p>
        </w:tc>
        <w:tc>
          <w:tcPr>
            <w:tcW w:type="dxa" w:w="25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Públicos atendidos</w:t>
              <w:br/>
              <w:t>/#solucoes</w:t>
            </w:r>
          </w:p>
        </w:tc>
        <w:tc>
          <w:tcPr>
            <w:tcW w:type="dxa" w:w="69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Negócios locais, Agências e consultores, Equipes comerciais. Se clicáveis, os cartões abrem a demonstração com o perfil preenchido.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 w:val="0"/>
                <w:color w:val="252820"/>
                <w:sz w:val="20"/>
              </w:rPr>
              <w:t>08</w:t>
            </w:r>
          </w:p>
        </w:tc>
        <w:tc>
          <w:tcPr>
            <w:tcW w:type="dxa" w:w="2520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Perguntas frequentes</w:t>
              <w:br/>
              <w:t>/#perguntas</w:t>
            </w:r>
          </w:p>
        </w:tc>
        <w:tc>
          <w:tcPr>
            <w:tcW w:type="dxa" w:w="6912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Três respostas curtas em itens expansíveis. O ícone de mais indica abrir, o de menos indica fechar.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 w:val="0"/>
                <w:color w:val="252820"/>
                <w:sz w:val="20"/>
              </w:rPr>
              <w:t>09</w:t>
            </w:r>
          </w:p>
        </w:tc>
        <w:tc>
          <w:tcPr>
            <w:tcW w:type="dxa" w:w="25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Convite final</w:t>
              <w:br/>
              <w:t>/#demonstracao</w:t>
            </w:r>
          </w:p>
        </w:tc>
        <w:tc>
          <w:tcPr>
            <w:tcW w:type="dxa" w:w="69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Título Vamos organizar o seu fluxo, frase de apoio e botão Solicitar demonstração. O botão mantém o mesmo destino do cabeçalho.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 w:val="0"/>
                <w:color w:val="252820"/>
                <w:sz w:val="20"/>
              </w:rPr>
              <w:t>10</w:t>
            </w:r>
          </w:p>
        </w:tc>
        <w:tc>
          <w:tcPr>
            <w:tcW w:type="dxa" w:w="2520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Rodapé</w:t>
              <w:br/>
              <w:t>/#rodape</w:t>
            </w:r>
          </w:p>
        </w:tc>
        <w:tc>
          <w:tcPr>
            <w:tcW w:type="dxa" w:w="6912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Marca e links para Plataforma, Demonstração, Contato, Privacidade e Termos. Mostrar apenas canais e informações institucionais publicados.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t>Padrões de navegação</w:t>
      </w:r>
    </w:p>
    <w:p>
      <w:r>
        <w:t>A marca volta ao início. Links de seção usam o mesmo nome no computador e no celular. O menu móvel fecha após a seleção. O botão voltar do navegador preserva a posição da página e os filtros quando aplicável.</w:t>
      </w:r>
    </w:p>
    <w:p>
      <w:r>
        <w:t>As telas de produto inseridas na landing page recebem a indicação Dados demonstrativos ou Exemplo ilustrativo. Controles desenhados nessas imagens não devem parecer ações funcionais fora de uma demonstração interativa.</w:t>
      </w:r>
    </w:p>
    <w:p>
      <w:pPr>
        <w:pStyle w:val="Heading1"/>
        <w:pageBreakBefore/>
      </w:pPr>
      <w:r>
        <w:t>Rotas públicas e solicitação de demonstração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00"/>
        <w:gridCol w:w="6624"/>
      </w:tblGrid>
      <w:tr>
        <w:trPr>
          <w:tblHeader/>
          <w:cantSplit/>
        </w:trPr>
        <w:tc>
          <w:tcPr>
            <w:tcW w:type="dxa" w:w="3600"/>
            <w:vAlign w:val="center"/>
            <w:shd w:fill="333333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Rota proposta</w:t>
            </w:r>
          </w:p>
        </w:tc>
        <w:tc>
          <w:tcPr>
            <w:tcW w:type="dxa" w:w="6624"/>
            <w:vAlign w:val="center"/>
            <w:shd w:fill="333333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Finalidade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/</w:t>
            </w:r>
          </w:p>
        </w:tc>
        <w:tc>
          <w:tcPr>
            <w:tcW w:type="dxa" w:w="66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Apresentação da plataforma com as dez seções do mapa.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/demonstracao</w:t>
            </w:r>
          </w:p>
        </w:tc>
        <w:tc>
          <w:tcPr>
            <w:tcW w:type="dxa" w:w="6624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Formulário de interesse, com parâmetros opcionais de origem, perfil e recurso.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/demonstracao/recebida</w:t>
            </w:r>
          </w:p>
        </w:tc>
        <w:tc>
          <w:tcPr>
            <w:tcW w:type="dxa" w:w="66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Confirmação após o servidor registrar a solicitação, com opção de voltar à página inicial.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/contato</w:t>
            </w:r>
          </w:p>
        </w:tc>
        <w:tc>
          <w:tcPr>
            <w:tcW w:type="dxa" w:w="6624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Canais reais de atendimento comercial e suporte, com finalidade identificada.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/entrar</w:t>
            </w:r>
          </w:p>
        </w:tc>
        <w:tc>
          <w:tcPr>
            <w:tcW w:type="dxa" w:w="66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Acesso à conta e recuperação de acesso, seguindo a autenticação existente.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/recuperar-acesso</w:t>
              <w:br/>
              <w:t>/redefinir-senha</w:t>
            </w:r>
          </w:p>
        </w:tc>
        <w:tc>
          <w:tcPr>
            <w:tcW w:type="dxa" w:w="6624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Pedido de recuperação e definição de nova senha, quando esse método estiver disponível.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/aceitar-convite</w:t>
            </w:r>
          </w:p>
        </w:tc>
        <w:tc>
          <w:tcPr>
            <w:tcW w:type="dxa" w:w="66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Entrada de pessoa convidada para uma equipe, com validação do convite.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/privacidade</w:t>
              <w:br/>
              <w:t>/termos</w:t>
            </w:r>
          </w:p>
        </w:tc>
        <w:tc>
          <w:tcPr>
            <w:tcW w:type="dxa" w:w="6624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Documentos vigentes, com data de atualização e contatos institucionais.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Endereço inexistente</w:t>
            </w:r>
          </w:p>
        </w:tc>
        <w:tc>
          <w:tcPr>
            <w:tcW w:type="dxa" w:w="66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Página de erro 404 com retorno à página inicial ou ao painel, conforme a sessão.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t>Formulário de demonstração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00"/>
        <w:gridCol w:w="6624"/>
      </w:tblGrid>
      <w:tr>
        <w:trPr>
          <w:tblHeader/>
          <w:cantSplit/>
        </w:trPr>
        <w:tc>
          <w:tcPr>
            <w:tcW w:type="dxa" w:w="3600"/>
            <w:vAlign w:val="center"/>
            <w:shd w:fill="333333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624"/>
            <w:vAlign w:val="center"/>
            <w:shd w:fill="333333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Regra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Nome</w:t>
            </w:r>
          </w:p>
        </w:tc>
        <w:tc>
          <w:tcPr>
            <w:tcW w:type="dxa" w:w="66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Obrigatório, identificação de quem solicita.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Empresa</w:t>
            </w:r>
          </w:p>
        </w:tc>
        <w:tc>
          <w:tcPr>
            <w:tcW w:type="dxa" w:w="6624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Obrigatório, nome usado no atendimento.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E-mail</w:t>
            </w:r>
          </w:p>
        </w:tc>
        <w:tc>
          <w:tcPr>
            <w:tcW w:type="dxa" w:w="66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Obrigatório, validar formato e mostrar erro junto ao campo.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Telefone</w:t>
            </w:r>
          </w:p>
        </w:tc>
        <w:tc>
          <w:tcPr>
            <w:tcW w:type="dxa" w:w="6624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Opcional, com código do país e formato compreensível.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Principal necessidade</w:t>
            </w:r>
          </w:p>
        </w:tc>
        <w:tc>
          <w:tcPr>
            <w:tcW w:type="dxa" w:w="66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Escolha entre atendimento, funil, automação, análise e IA. Campo opcional para detalhes.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Texto de apoio: Preencha os dados para a equipe entender sua operação. Botão: Solicitar demonstração. Após o envio confirmado: Recebemos sua solicitação, nossa equipe vai entrar em contato pelo e-mail informado.</w:t>
      </w:r>
    </w:p>
    <w:p>
      <w:r>
        <w:t>Durante o envio, mostrar Enviando e impedir duplicidade. Em erro, manter os dados e permitir tentar novamente. Apresentar o link de privacidade junto ao formulário e separar eventual opção de receber comunicações promocionais.</w:t>
      </w:r>
    </w:p>
    <w:p>
      <w:r>
        <w:rPr>
          <w:b/>
        </w:rPr>
        <w:t xml:space="preserve">Expansão prevista </w:t>
      </w:r>
      <w:r>
        <w:t>Reservar /solucoes/:slug, /recursos/:slug, /integracoes, /planos e /ajuda para conteúdos, conexões e condições comerciais confirmados. Ativar os links conforme a entrega.</w:t>
      </w:r>
    </w:p>
    <w:p>
      <w:pPr>
        <w:pStyle w:val="Heading1"/>
        <w:pageBreakBefore/>
      </w:pPr>
      <w:r>
        <w:t>Rotas internas da aplicação</w:t>
      </w:r>
    </w:p>
    <w:p>
      <w:r>
        <w:t>Todas as rotas /app exigem sessão válida e acesso à empresa selecionada. Os nomes entre dois-pontos representam o identificador do registro, por exemplo :contatoId. A validação de acesso também ocorre no servidor.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435"/>
        <w:gridCol w:w="5789"/>
      </w:tblGrid>
      <w:tr>
        <w:trPr>
          <w:tblHeader/>
          <w:cantSplit/>
        </w:trPr>
        <w:tc>
          <w:tcPr>
            <w:tcW w:type="dxa" w:w="4435"/>
            <w:vAlign w:val="center"/>
            <w:shd w:fill="333333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Rota proposta</w:t>
            </w:r>
          </w:p>
        </w:tc>
        <w:tc>
          <w:tcPr>
            <w:tcW w:type="dxa" w:w="5789"/>
            <w:vAlign w:val="center"/>
            <w:shd w:fill="333333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Tela e função</w:t>
            </w:r>
          </w:p>
        </w:tc>
      </w:tr>
      <w:tr>
        <w:trPr>
          <w:cantSplit/>
        </w:trPr>
        <w:tc>
          <w:tcPr>
            <w:tcW w:type="dxa" w:w="44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/app</w:t>
            </w:r>
          </w:p>
        </w:tc>
        <w:tc>
          <w:tcPr>
            <w:tcW w:type="dxa" w:w="578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Encaminha para /app/visao-geral.</w:t>
            </w:r>
          </w:p>
        </w:tc>
      </w:tr>
      <w:tr>
        <w:trPr>
          <w:cantSplit/>
        </w:trPr>
        <w:tc>
          <w:tcPr>
            <w:tcW w:type="dxa" w:w="4435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/app/boas-vindas</w:t>
            </w:r>
          </w:p>
        </w:tc>
        <w:tc>
          <w:tcPr>
            <w:tcW w:type="dxa" w:w="5789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Configuração inicial da empresa, dos canais e da equipe.</w:t>
            </w:r>
          </w:p>
        </w:tc>
      </w:tr>
      <w:tr>
        <w:trPr>
          <w:cantSplit/>
        </w:trPr>
        <w:tc>
          <w:tcPr>
            <w:tcW w:type="dxa" w:w="44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/app/visao-geral</w:t>
            </w:r>
          </w:p>
        </w:tc>
        <w:tc>
          <w:tcPr>
            <w:tcW w:type="dxa" w:w="578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Indicadores, pendências e próximos passos, com período e atualização visíveis.</w:t>
            </w:r>
          </w:p>
        </w:tc>
      </w:tr>
      <w:tr>
        <w:trPr>
          <w:cantSplit/>
        </w:trPr>
        <w:tc>
          <w:tcPr>
            <w:tcW w:type="dxa" w:w="4435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/app/contatos</w:t>
            </w:r>
          </w:p>
        </w:tc>
        <w:tc>
          <w:tcPr>
            <w:tcW w:type="dxa" w:w="5789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Lista de pessoas, busca, filtros e criação conforme permissão.</w:t>
            </w:r>
          </w:p>
        </w:tc>
      </w:tr>
      <w:tr>
        <w:trPr>
          <w:cantSplit/>
        </w:trPr>
        <w:tc>
          <w:tcPr>
            <w:tcW w:type="dxa" w:w="44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/app/contatos/:contatoId</w:t>
            </w:r>
          </w:p>
        </w:tc>
        <w:tc>
          <w:tcPr>
            <w:tcW w:type="dxa" w:w="578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Origem, histórico, dados e responsável pelo contato.</w:t>
            </w:r>
          </w:p>
        </w:tc>
      </w:tr>
      <w:tr>
        <w:trPr>
          <w:cantSplit/>
        </w:trPr>
        <w:tc>
          <w:tcPr>
            <w:tcW w:type="dxa" w:w="4435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/app/atendimento</w:t>
            </w:r>
          </w:p>
        </w:tc>
        <w:tc>
          <w:tcPr>
            <w:tcW w:type="dxa" w:w="5789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Caixa de conversas e fila de atendimento.</w:t>
            </w:r>
          </w:p>
        </w:tc>
      </w:tr>
      <w:tr>
        <w:trPr>
          <w:cantSplit/>
        </w:trPr>
        <w:tc>
          <w:tcPr>
            <w:tcW w:type="dxa" w:w="44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/app/atendimento/:conversaId</w:t>
            </w:r>
          </w:p>
        </w:tc>
        <w:tc>
          <w:tcPr>
            <w:tcW w:type="dxa" w:w="578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Conversa selecionada, contexto e ações de atendimento.</w:t>
            </w:r>
          </w:p>
        </w:tc>
      </w:tr>
      <w:tr>
        <w:trPr>
          <w:cantSplit/>
        </w:trPr>
        <w:tc>
          <w:tcPr>
            <w:tcW w:type="dxa" w:w="4435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/app/funil</w:t>
            </w:r>
          </w:p>
        </w:tc>
        <w:tc>
          <w:tcPr>
            <w:tcW w:type="dxa" w:w="5789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Etapas, responsáveis e oportunidades, em quadro ou lista.</w:t>
            </w:r>
          </w:p>
        </w:tc>
      </w:tr>
      <w:tr>
        <w:trPr>
          <w:cantSplit/>
        </w:trPr>
        <w:tc>
          <w:tcPr>
            <w:tcW w:type="dxa" w:w="44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/app/marketing</w:t>
            </w:r>
          </w:p>
        </w:tc>
        <w:tc>
          <w:tcPr>
            <w:tcW w:type="dxa" w:w="578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Origem dos contatos e contexto de campanhas conectadas.</w:t>
            </w:r>
          </w:p>
        </w:tc>
      </w:tr>
      <w:tr>
        <w:trPr>
          <w:cantSplit/>
        </w:trPr>
        <w:tc>
          <w:tcPr>
            <w:tcW w:type="dxa" w:w="4435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/app/relatorios</w:t>
            </w:r>
          </w:p>
        </w:tc>
        <w:tc>
          <w:tcPr>
            <w:tcW w:type="dxa" w:w="5789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Comparações, conversões e exportações autorizadas.</w:t>
            </w:r>
          </w:p>
        </w:tc>
      </w:tr>
      <w:tr>
        <w:trPr>
          <w:cantSplit/>
        </w:trPr>
        <w:tc>
          <w:tcPr>
            <w:tcW w:type="dxa" w:w="44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/app/automacoes</w:t>
            </w:r>
          </w:p>
        </w:tc>
        <w:tc>
          <w:tcPr>
            <w:tcW w:type="dxa" w:w="578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Lista de fluxos, situação e histórico de execução.</w:t>
            </w:r>
          </w:p>
        </w:tc>
      </w:tr>
      <w:tr>
        <w:trPr>
          <w:cantSplit/>
        </w:trPr>
        <w:tc>
          <w:tcPr>
            <w:tcW w:type="dxa" w:w="4435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/app/automacoes/nova</w:t>
              <w:br/>
              <w:t>/app/automacoes/:automacaoId</w:t>
            </w:r>
          </w:p>
        </w:tc>
        <w:tc>
          <w:tcPr>
            <w:tcW w:type="dxa" w:w="5789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Criação e edição de automação, com teste, publicação e pausa.</w:t>
            </w:r>
          </w:p>
        </w:tc>
      </w:tr>
      <w:tr>
        <w:trPr>
          <w:cantSplit/>
        </w:trPr>
        <w:tc>
          <w:tcPr>
            <w:tcW w:type="dxa" w:w="44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/app/ia</w:t>
            </w:r>
          </w:p>
        </w:tc>
        <w:tc>
          <w:tcPr>
            <w:tcW w:type="dxa" w:w="578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Análises, resumos e sugestões com fontes e período.</w:t>
            </w:r>
          </w:p>
        </w:tc>
      </w:tr>
      <w:tr>
        <w:trPr>
          <w:cantSplit/>
        </w:trPr>
        <w:tc>
          <w:tcPr>
            <w:tcW w:type="dxa" w:w="4435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/app/ia/agentes</w:t>
              <w:br/>
              <w:t>/app/ia/agentes/:agenteId</w:t>
            </w:r>
          </w:p>
        </w:tc>
        <w:tc>
          <w:tcPr>
            <w:tcW w:type="dxa" w:w="5789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Agentes disponíveis e suas configurações, permissões e histórico.</w:t>
            </w:r>
          </w:p>
        </w:tc>
      </w:tr>
      <w:tr>
        <w:trPr>
          <w:cantSplit/>
        </w:trPr>
        <w:tc>
          <w:tcPr>
            <w:tcW w:type="dxa" w:w="44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/app/integracoes</w:t>
              <w:br/>
              <w:t>/app/integracoes/:integracaoId</w:t>
            </w:r>
          </w:p>
        </w:tc>
        <w:tc>
          <w:tcPr>
            <w:tcW w:type="dxa" w:w="578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Conexões, estado, reconexão e escopo de acesso.</w:t>
            </w:r>
          </w:p>
        </w:tc>
      </w:tr>
      <w:tr>
        <w:trPr>
          <w:cantSplit/>
        </w:trPr>
        <w:tc>
          <w:tcPr>
            <w:tcW w:type="dxa" w:w="4435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/app/configuracoes/empresa</w:t>
            </w:r>
          </w:p>
        </w:tc>
        <w:tc>
          <w:tcPr>
            <w:tcW w:type="dxa" w:w="5789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Dados da empresa, fuso horário e preferências gerais.</w:t>
            </w:r>
          </w:p>
        </w:tc>
      </w:tr>
      <w:tr>
        <w:trPr>
          <w:cantSplit/>
        </w:trPr>
        <w:tc>
          <w:tcPr>
            <w:tcW w:type="dxa" w:w="44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/app/configuracoes/equipe</w:t>
            </w:r>
          </w:p>
        </w:tc>
        <w:tc>
          <w:tcPr>
            <w:tcW w:type="dxa" w:w="578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Pessoas, convites e permissões de acesso.</w:t>
            </w:r>
          </w:p>
        </w:tc>
      </w:tr>
      <w:tr>
        <w:trPr>
          <w:cantSplit/>
        </w:trPr>
        <w:tc>
          <w:tcPr>
            <w:tcW w:type="dxa" w:w="4435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/app/configuracoes/perfil</w:t>
            </w:r>
          </w:p>
        </w:tc>
        <w:tc>
          <w:tcPr>
            <w:tcW w:type="dxa" w:w="5789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Dados pessoais, tema e preferências da própria conta.</w:t>
            </w:r>
          </w:p>
        </w:tc>
      </w:tr>
      <w:tr>
        <w:trPr>
          <w:cantSplit/>
        </w:trPr>
        <w:tc>
          <w:tcPr>
            <w:tcW w:type="dxa" w:w="44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/app/configuracoes/assinatura</w:t>
            </w:r>
          </w:p>
        </w:tc>
        <w:tc>
          <w:tcPr>
            <w:tcW w:type="dxa" w:w="578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Condições e cobrança, quando esse módulo estiver definido.</w:t>
            </w:r>
          </w:p>
        </w:tc>
      </w:tr>
      <w:tr>
        <w:trPr>
          <w:cantSplit/>
        </w:trPr>
        <w:tc>
          <w:tcPr>
            <w:tcW w:type="dxa" w:w="4435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/app/ajuda</w:t>
            </w:r>
          </w:p>
        </w:tc>
        <w:tc>
          <w:tcPr>
            <w:tcW w:type="dxa" w:w="5789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Orientações de uso e canal de suporte disponível.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t>Organização do menu</w:t>
      </w:r>
    </w:p>
    <w:p>
      <w:r>
        <w:t>Operação reúne visão geral, contatos, atendimento e funil. Inteligência reúne marketing, relatórios, IA e automações. Administração reúne integrações, empresa e equipe. Perfil e ajuda ficam acessíveis no menu da conta.</w:t>
      </w:r>
    </w:p>
    <w:p>
      <w:r>
        <w:t>Exemplo de filtro compartilhável: /app/contatos?etapa=qualificado&amp;pagina=2. Alterar a empresa ativa atualiza todas as telas e limpa dados e filtros que não pertencem à nova empresa.</w:t>
      </w:r>
    </w:p>
    <w:p>
      <w:pPr>
        <w:pStyle w:val="Heading1"/>
        <w:pageBreakBefore/>
      </w:pPr>
      <w:r>
        <w:t>Paleta de cores e aplicação dos temas</w:t>
      </w:r>
    </w:p>
    <w:p>
      <w:r>
        <w:t>Os valores abaixo preservam a paleta fornecida. O tema altera funções de cor, mantendo a mesma hierarquia de conteúdo. A preferência pode seguir o dispositivo ou ser definida como Claro ou Escuro.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3996"/>
        <w:gridCol w:w="3996"/>
      </w:tblGrid>
      <w:tr>
        <w:trPr>
          <w:tblHeader/>
          <w:cantSplit/>
        </w:trPr>
        <w:tc>
          <w:tcPr>
            <w:tcW w:type="dxa" w:w="2232"/>
            <w:vAlign w:val="center"/>
            <w:shd w:fill="333333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Função</w:t>
            </w:r>
          </w:p>
        </w:tc>
        <w:tc>
          <w:tcPr>
            <w:tcW w:type="dxa" w:w="3996"/>
            <w:vAlign w:val="center"/>
            <w:shd w:fill="333333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Modo claro</w:t>
            </w:r>
          </w:p>
        </w:tc>
        <w:tc>
          <w:tcPr>
            <w:tcW w:type="dxa" w:w="3996"/>
            <w:vAlign w:val="center"/>
            <w:shd w:fill="333333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Modo escuro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Primária</w:t>
            </w:r>
          </w:p>
        </w:tc>
        <w:tc>
          <w:tcPr>
            <w:tcW w:type="dxa" w:w="39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Grafite oliva</w:t>
              <w:br/>
              <w:t>#252820</w:t>
            </w:r>
          </w:p>
        </w:tc>
        <w:tc>
          <w:tcPr>
            <w:tcW w:type="dxa" w:w="39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Marfim suave</w:t>
              <w:br/>
              <w:t>#F2F4ED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Secundária</w:t>
            </w:r>
          </w:p>
        </w:tc>
        <w:tc>
          <w:tcPr>
            <w:tcW w:type="dxa" w:w="3996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Sálvia pálida</w:t>
              <w:br/>
              <w:t>#E8EBE3</w:t>
            </w:r>
          </w:p>
        </w:tc>
        <w:tc>
          <w:tcPr>
            <w:tcW w:type="dxa" w:w="3996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Oliva profundo</w:t>
              <w:br/>
              <w:t>#343B2F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Destaque</w:t>
            </w:r>
          </w:p>
        </w:tc>
        <w:tc>
          <w:tcPr>
            <w:tcW w:type="dxa" w:w="39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Laranja coral</w:t>
              <w:br/>
              <w:t>#F2673D</w:t>
            </w:r>
          </w:p>
        </w:tc>
        <w:tc>
          <w:tcPr>
            <w:tcW w:type="dxa" w:w="39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Coral suave</w:t>
              <w:br/>
              <w:t>#FF8A65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Aviso</w:t>
            </w:r>
          </w:p>
        </w:tc>
        <w:tc>
          <w:tcPr>
            <w:tcW w:type="dxa" w:w="3996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Âmbar fechado</w:t>
              <w:br/>
              <w:t>#946200</w:t>
            </w:r>
          </w:p>
        </w:tc>
        <w:tc>
          <w:tcPr>
            <w:tcW w:type="dxa" w:w="3996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Âmbar claro</w:t>
              <w:br/>
              <w:t>#F2C066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Negativa</w:t>
            </w:r>
          </w:p>
        </w:tc>
        <w:tc>
          <w:tcPr>
            <w:tcW w:type="dxa" w:w="39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Vermelho framboesa</w:t>
              <w:br/>
              <w:t>#C43D4B</w:t>
            </w:r>
          </w:p>
        </w:tc>
        <w:tc>
          <w:tcPr>
            <w:tcW w:type="dxa" w:w="39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Rosa coral</w:t>
              <w:br/>
              <w:t>#FF8793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Positiva</w:t>
            </w:r>
          </w:p>
        </w:tc>
        <w:tc>
          <w:tcPr>
            <w:tcW w:type="dxa" w:w="3996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Verde folha</w:t>
              <w:br/>
              <w:t>#287A50</w:t>
            </w:r>
          </w:p>
        </w:tc>
        <w:tc>
          <w:tcPr>
            <w:tcW w:type="dxa" w:w="3996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Verde menta</w:t>
              <w:br/>
              <w:t>#78C99A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Neutra</w:t>
            </w:r>
          </w:p>
        </w:tc>
        <w:tc>
          <w:tcPr>
            <w:tcW w:type="dxa" w:w="39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Cinza musgo</w:t>
              <w:br/>
              <w:t>#62685D</w:t>
            </w:r>
          </w:p>
        </w:tc>
        <w:tc>
          <w:tcPr>
            <w:tcW w:type="dxa" w:w="39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Sálvia acinzentada</w:t>
              <w:br/>
              <w:t>#ABB3A4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Clara</w:t>
            </w:r>
          </w:p>
        </w:tc>
        <w:tc>
          <w:tcPr>
            <w:tcW w:type="dxa" w:w="3996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Branco puro</w:t>
              <w:br/>
              <w:t>#FFFFFF</w:t>
            </w:r>
          </w:p>
        </w:tc>
        <w:tc>
          <w:tcPr>
            <w:tcW w:type="dxa" w:w="3996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Oliva elevado</w:t>
              <w:br/>
              <w:t>#282E24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3996"/>
        <w:gridCol w:w="3996"/>
      </w:tblGrid>
      <w:tr>
        <w:trPr>
          <w:tblHeader/>
          <w:cantSplit/>
        </w:trPr>
        <w:tc>
          <w:tcPr>
            <w:tcW w:type="dxa" w:w="2232"/>
            <w:vAlign w:val="center"/>
            <w:shd w:fill="333333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3996"/>
            <w:vAlign w:val="center"/>
            <w:shd w:fill="333333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Modo claro</w:t>
            </w:r>
          </w:p>
        </w:tc>
        <w:tc>
          <w:tcPr>
            <w:tcW w:type="dxa" w:w="3996"/>
            <w:vAlign w:val="center"/>
            <w:shd w:fill="333333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Modo escuro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Fundo da tela</w:t>
            </w:r>
          </w:p>
        </w:tc>
        <w:tc>
          <w:tcPr>
            <w:tcW w:type="dxa" w:w="39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Cinza névoa #F4F5F2</w:t>
            </w:r>
          </w:p>
        </w:tc>
        <w:tc>
          <w:tcPr>
            <w:tcW w:type="dxa" w:w="39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Carvão oliva #171A15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Cartões e menu</w:t>
            </w:r>
          </w:p>
        </w:tc>
        <w:tc>
          <w:tcPr>
            <w:tcW w:type="dxa" w:w="3996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Branco puro #FFFFFF</w:t>
            </w:r>
          </w:p>
        </w:tc>
        <w:tc>
          <w:tcPr>
            <w:tcW w:type="dxa" w:w="3996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Oliva carvão #21261E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Texto principal</w:t>
            </w:r>
          </w:p>
        </w:tc>
        <w:tc>
          <w:tcPr>
            <w:tcW w:type="dxa" w:w="39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Grafite oliva #252820</w:t>
            </w:r>
          </w:p>
        </w:tc>
        <w:tc>
          <w:tcPr>
            <w:tcW w:type="dxa" w:w="39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Marfim suave #F2F4ED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Texto secundário</w:t>
            </w:r>
          </w:p>
        </w:tc>
        <w:tc>
          <w:tcPr>
            <w:tcW w:type="dxa" w:w="3996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Cinza musgo #62685D</w:t>
            </w:r>
          </w:p>
        </w:tc>
        <w:tc>
          <w:tcPr>
            <w:tcW w:type="dxa" w:w="3996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Sálvia acinzentada #ABB3A4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Divisórias</w:t>
            </w:r>
          </w:p>
        </w:tc>
        <w:tc>
          <w:tcPr>
            <w:tcW w:type="dxa" w:w="39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Cinza pedra #DFE3D9</w:t>
            </w:r>
          </w:p>
        </w:tc>
        <w:tc>
          <w:tcPr>
            <w:tcW w:type="dxa" w:w="39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Oliva ardósia #3A4233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Contorno dos campos</w:t>
            </w:r>
          </w:p>
        </w:tc>
        <w:tc>
          <w:tcPr>
            <w:tcW w:type="dxa" w:w="3996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Cinza vegetal #858D7D</w:t>
            </w:r>
          </w:p>
        </w:tc>
        <w:tc>
          <w:tcPr>
            <w:tcW w:type="dxa" w:w="3996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Oliva médio #6F7965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Foco e links</w:t>
            </w:r>
          </w:p>
        </w:tc>
        <w:tc>
          <w:tcPr>
            <w:tcW w:type="dxa" w:w="39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Terracota #B8441E</w:t>
            </w:r>
          </w:p>
        </w:tc>
        <w:tc>
          <w:tcPr>
            <w:tcW w:type="dxa" w:w="39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Coral suave #FF8A65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t>Regras de combinação</w:t>
      </w:r>
    </w:p>
    <w:p>
      <w:r>
        <w:t>Botão primário claro: grafite com texto branco, botão primário escuro: marfim com texto grafite. Preenchimentos em coral recebem texto grafite. Reservar cores de status para mensagens acompanhadas de palavras e ícones.</w:t>
      </w:r>
    </w:p>
    <w:p>
      <w:r>
        <w:t>Para texto destacado sobre o fundo névoa, usar terracota #B8441E, contraste de 4,94:1. Coral #F2673D sobre esse fundo atinge 2,83:1, portanto deve ficar em detalhes decorativos ou em outra combinação validada. Os códigos e regras desta especificação orientam a implementação das imagens conceituais.</w:t>
      </w:r>
    </w:p>
    <w:p>
      <w:pPr>
        <w:pStyle w:val="Heading1"/>
        <w:pageBreakBefore/>
      </w:pPr>
      <w:r>
        <w:t>Padrões de interface e adaptação de tela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8064"/>
      </w:tblGrid>
      <w:tr>
        <w:trPr>
          <w:tblHeader/>
          <w:cantSplit/>
        </w:trPr>
        <w:tc>
          <w:tcPr>
            <w:tcW w:type="dxa" w:w="2160"/>
            <w:vAlign w:val="center"/>
            <w:shd w:fill="333333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8064"/>
            <w:vAlign w:val="center"/>
            <w:shd w:fill="333333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Padrão proposto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Tipografia</w:t>
            </w:r>
          </w:p>
        </w:tc>
        <w:tc>
          <w:tcPr>
            <w:tcW w:type="dxa" w:w="80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Fonte sem serifa, preferencialmente Inter ou a fonte do sistema. Corpo 16 px, entrelinha 1,5, texto auxiliar 14 px. Títulos com peso 600 ou 700.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Hierarquia</w:t>
            </w:r>
          </w:p>
        </w:tc>
        <w:tc>
          <w:tcPr>
            <w:tcW w:type="dxa" w:w="8064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Um título H1 por página. Abertura entre 48 e 64 px no computador e 32 a 40 px no celular. Seções entre 28 e 40 px, conforme a largura.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Estrutura</w:t>
            </w:r>
          </w:p>
        </w:tc>
        <w:tc>
          <w:tcPr>
            <w:tcW w:type="dxa" w:w="80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Conteúdo central com largura máxima de 1200 px. Grade de 12 colunas no computador, 8 no tablet e 4 no celular, sem limitar o crescimento do texto.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Espaçamento</w:t>
            </w:r>
          </w:p>
        </w:tc>
        <w:tc>
          <w:tcPr>
            <w:tcW w:type="dxa" w:w="8064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Escala 4, 8, 12, 16, 24, 32, 48, 64 e 96 px. Laterais de 20 px no celular e de 32 a 48 px em telas maiores.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Cartões e superfícies</w:t>
            </w:r>
          </w:p>
        </w:tc>
        <w:tc>
          <w:tcPr>
            <w:tcW w:type="dxa" w:w="80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Cantos de 20 px nos cartões e 12 px em campos e botões. Borda discreta de 1 px, sombras leves nas superfícies elevadas.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Botões</w:t>
            </w:r>
          </w:p>
        </w:tc>
        <w:tc>
          <w:tcPr>
            <w:tcW w:type="dxa" w:w="8064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Altura preferencial de 48 px, ícone opcional e verbo explícito. Uma ação principal por área. Estados normal, foco, pressionado, carregando e indisponível.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Campos</w:t>
            </w:r>
          </w:p>
        </w:tc>
        <w:tc>
          <w:tcPr>
            <w:tcW w:type="dxa" w:w="80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Rótulo sempre visível, ajuda curta e erro junto ao campo. Exemplos de preenchimento complementam o rótulo. Não apagar dados após falha.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Navegação</w:t>
            </w:r>
          </w:p>
        </w:tc>
        <w:tc>
          <w:tcPr>
            <w:tcW w:type="dxa" w:w="8064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Item ativo com nome e indicador visual. Ícones isolados recebem nome acessível. Menu lateral recolhível na aplicação e menu compacto no celular.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Tabelas e quadros</w:t>
            </w:r>
          </w:p>
        </w:tc>
        <w:tc>
          <w:tcPr>
            <w:tcW w:type="dxa" w:w="80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Cabeçalhos claros, busca, filtros e paginação quando necessários. No celular, priorizar campos essenciais e abrir detalhes sob demanda.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Gráficos</w:t>
            </w:r>
          </w:p>
        </w:tc>
        <w:tc>
          <w:tcPr>
            <w:tcW w:type="dxa" w:w="8064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Coral como série principal e grafite ou marfim na comparação. Usar rótulos, legenda e alternativa tabular. Cor sozinha não comunica diferença.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Movimento</w:t>
            </w:r>
          </w:p>
        </w:tc>
        <w:tc>
          <w:tcPr>
            <w:tcW w:type="dxa" w:w="80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Transições curtas de 150 a 200 ms, sem bloquear interação. Respeitar a preferência de movimento reduzido do dispositivo.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t>Comportamento responsivo</w:t>
      </w:r>
    </w:p>
    <w:p>
      <w:r>
        <w:t>Até 767 px, organizar conteúdo em uma coluna, empilhar os botões da abertura e mostrar os cartões por ordem de leitura. De 768 a 1023 px, usar duas colunas quando houver espaço. A partir de 1024 px, usar a composição de computador. No celular, o quadro de funil oferece uma lista equivalente.</w:t>
      </w:r>
    </w:p>
    <w:p>
      <w:pPr>
        <w:pStyle w:val="Heading2"/>
      </w:pPr>
      <w:r>
        <w:t>Acessibilidade da implementação</w:t>
      </w:r>
    </w:p>
    <w:p>
      <w:r>
        <w:t xml:space="preserve">Meta de projeto: WCAG 2.2 nível AA, a validar na interface funcional. Textos comuns precisam de contraste mínimo de 4,5:1, textos grandes de 3:1. </w:t>
      </w:r>
      <w:hyperlink r:id="rId11">
        <w:r>
          <w:rPr>
            <w:color w:val="B8441E"/>
            <w:u w:val="single"/>
          </w:rPr>
          <w:t>Referência de contraste de texto</w:t>
        </w:r>
      </w:hyperlink>
    </w:p>
    <w:p>
      <w:r>
        <w:t xml:space="preserve">Elementos visuais necessários para identificar controles e compreender gráficos precisam de contraste adequado de 3:1. Implementar foco visível, teclado e rótulos acessíveis. </w:t>
      </w:r>
      <w:hyperlink r:id="rId12">
        <w:r>
          <w:rPr>
            <w:color w:val="B8441E"/>
            <w:u w:val="single"/>
          </w:rPr>
          <w:t>Referência de contraste não textual</w:t>
        </w:r>
      </w:hyperlink>
    </w:p>
    <w:p>
      <w:r>
        <w:t xml:space="preserve">Adotar alvos de toque de pelo menos 44 × 44 px como padrão deste projeto e validar a leitura em largura de 320 px, sem rolagem horizontal da página. </w:t>
      </w:r>
      <w:hyperlink r:id="rId13">
        <w:r>
          <w:rPr>
            <w:color w:val="B8441E"/>
            <w:u w:val="single"/>
          </w:rPr>
          <w:t>Referência de adaptação de conteúdo</w:t>
        </w:r>
      </w:hyperlink>
    </w:p>
    <w:p>
      <w:pPr>
        <w:pStyle w:val="Heading1"/>
        <w:pageBreakBefore/>
      </w:pPr>
      <w:r>
        <w:t>Textos das seções e perguntas frequentes</w:t>
      </w:r>
    </w:p>
    <w:p>
      <w:pPr>
        <w:pStyle w:val="Heading2"/>
      </w:pPr>
      <w:r>
        <w:t>Cartões de recursos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200"/>
      </w:tblGrid>
      <w:tr>
        <w:trPr>
          <w:tblHeader/>
          <w:cantSplit/>
        </w:trPr>
        <w:tc>
          <w:tcPr>
            <w:tcW w:type="dxa" w:w="3024"/>
            <w:vAlign w:val="center"/>
            <w:shd w:fill="333333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Recurso</w:t>
            </w:r>
          </w:p>
        </w:tc>
        <w:tc>
          <w:tcPr>
            <w:tcW w:type="dxa" w:w="7200"/>
            <w:vAlign w:val="center"/>
            <w:shd w:fill="333333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Texto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1"/>
              </w:rPr>
              <w:t>Marketing</w:t>
            </w:r>
          </w:p>
        </w:tc>
        <w:tc>
          <w:tcPr>
            <w:tcW w:type="dxa" w:w="72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1"/>
              </w:rPr>
              <w:t>Veja a origem dos contatos.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1"/>
              </w:rPr>
              <w:t>Funil de clientes</w:t>
            </w:r>
          </w:p>
        </w:tc>
        <w:tc>
          <w:tcPr>
            <w:tcW w:type="dxa" w:w="7200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1"/>
              </w:rPr>
              <w:t>Acompanhe cada etapa.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1"/>
              </w:rPr>
              <w:t>Atendimento</w:t>
            </w:r>
          </w:p>
        </w:tc>
        <w:tc>
          <w:tcPr>
            <w:tcW w:type="dxa" w:w="72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1"/>
              </w:rPr>
              <w:t>Organize conversas e responsáveis.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1"/>
              </w:rPr>
              <w:t>IA para negócios</w:t>
            </w:r>
          </w:p>
        </w:tc>
        <w:tc>
          <w:tcPr>
            <w:tcW w:type="dxa" w:w="7200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1"/>
              </w:rPr>
              <w:t>Encontre pontos de atenção.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1"/>
              </w:rPr>
              <w:t>Automações</w:t>
            </w:r>
          </w:p>
        </w:tc>
        <w:tc>
          <w:tcPr>
            <w:tcW w:type="dxa" w:w="72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1"/>
              </w:rPr>
              <w:t>Agilize tarefas recorrentes.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1"/>
              </w:rPr>
              <w:t>Análise e decisão</w:t>
            </w:r>
          </w:p>
        </w:tc>
        <w:tc>
          <w:tcPr>
            <w:tcW w:type="dxa" w:w="7200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1"/>
              </w:rPr>
              <w:t>Use os dados para escolher o próximo passo.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t>Etapas de uso</w:t>
      </w:r>
    </w:p>
    <w:p>
      <w:r>
        <w:rPr>
          <w:b/>
        </w:rPr>
        <w:t xml:space="preserve">Conecte seus canais </w:t>
      </w:r>
      <w:r>
        <w:t>Escolha os canais disponíveis e conclua as configurações de acesso.</w:t>
      </w:r>
    </w:p>
    <w:p>
      <w:r>
        <w:rPr>
          <w:b/>
        </w:rPr>
        <w:t xml:space="preserve">Organize a operação </w:t>
      </w:r>
      <w:r>
        <w:t>Defina etapas, responsáveis e regras do seu processo.</w:t>
      </w:r>
    </w:p>
    <w:p>
      <w:r>
        <w:rPr>
          <w:b/>
        </w:rPr>
        <w:t xml:space="preserve">Acompanhe e ajuste </w:t>
      </w:r>
      <w:r>
        <w:t>Use os dados da operação para identificar o que precisa de atenção.</w:t>
      </w:r>
    </w:p>
    <w:p>
      <w:pPr>
        <w:pStyle w:val="Heading2"/>
      </w:pPr>
      <w:r>
        <w:t>Públicos da plataforma</w:t>
      </w:r>
    </w:p>
    <w:p>
      <w:r>
        <w:rPr>
          <w:b/>
        </w:rPr>
        <w:t xml:space="preserve">Negócios locais </w:t>
      </w:r>
      <w:r>
        <w:t>Organize o atendimento e acompanhe os contatos do dia a dia.</w:t>
      </w:r>
    </w:p>
    <w:p>
      <w:r>
        <w:rPr>
          <w:b/>
        </w:rPr>
        <w:t xml:space="preserve">Agências e consultores </w:t>
      </w:r>
      <w:r>
        <w:t>Relacione a origem dos contatos ao que acontece no atendimento.</w:t>
      </w:r>
    </w:p>
    <w:p>
      <w:r>
        <w:rPr>
          <w:b/>
        </w:rPr>
        <w:t xml:space="preserve">Equipes comerciais </w:t>
      </w:r>
      <w:r>
        <w:t>Acompanhe o funil e mantenha a equipe informada sobre os próximos passos.</w:t>
      </w:r>
    </w:p>
    <w:p>
      <w:pPr>
        <w:pStyle w:val="Heading2"/>
      </w:pPr>
      <w:r>
        <w:t>Respostas das perguntas frequentes</w:t>
      </w:r>
    </w:p>
    <w:p>
      <w:r>
        <w:rPr>
          <w:b/>
        </w:rPr>
        <w:t xml:space="preserve">Como a plataforma ajuda no atendimento? </w:t>
      </w:r>
      <w:r>
        <w:t>A proposta reúne conversas, responsáveis e histórico para facilitar o acompanhamento de cada contato. Na demonstração, a equipe apresenta os recursos disponíveis para sua operação.</w:t>
      </w:r>
    </w:p>
    <w:p>
      <w:r>
        <w:rPr>
          <w:b/>
        </w:rPr>
        <w:t xml:space="preserve">A IA pode apoiar a minha equipe? </w:t>
      </w:r>
      <w:r>
        <w:t>Ela pode ajudar com resumos, pontos de atenção e sugestões a partir dos dados disponíveis. As ações seguem as permissões e regras definidas para a operação.</w:t>
      </w:r>
    </w:p>
    <w:p>
      <w:r>
        <w:rPr>
          <w:b/>
        </w:rPr>
        <w:t xml:space="preserve">Como conhecer os recursos disponíveis? </w:t>
      </w:r>
      <w:r>
        <w:t>Solicite uma demonstração e informe o que precisa organizar, a equipe vai apresentar as possibilidades para o seu caso.</w:t>
      </w:r>
    </w:p>
    <w:p>
      <w:pPr>
        <w:pStyle w:val="Heading2"/>
      </w:pPr>
      <w:r>
        <w:t>Convite final</w:t>
      </w:r>
    </w:p>
    <w:p>
      <w:r>
        <w:rPr>
          <w:b/>
        </w:rPr>
        <w:t xml:space="preserve">Título </w:t>
      </w:r>
      <w:r>
        <w:t>Vamos organizar o seu fluxo?</w:t>
      </w:r>
    </w:p>
    <w:p>
      <w:r>
        <w:rPr>
          <w:b/>
        </w:rPr>
        <w:t xml:space="preserve">Apoio </w:t>
      </w:r>
      <w:r>
        <w:t>Conheça a plataforma e veja o que faz sentido para sua operação.</w:t>
      </w:r>
    </w:p>
    <w:p>
      <w:r>
        <w:rPr>
          <w:b/>
        </w:rPr>
        <w:t xml:space="preserve">Botão </w:t>
      </w:r>
      <w:r>
        <w:t>Solicitar demonstração</w:t>
      </w:r>
    </w:p>
    <w:p>
      <w:r>
        <w:t>Na publicação, os textos devem refletir os módulos efetivamente disponíveis. Valores, avaliações, depoimentos, integrações e números de clientes entram na página quando houver informações verificadas para apresentá-los.</w:t>
      </w:r>
    </w:p>
    <w:p>
      <w:pPr>
        <w:pStyle w:val="Heading1"/>
        <w:pageBreakBefore/>
      </w:pPr>
      <w:r>
        <w:t>Comportamentos e permissões da aplicação</w:t>
      </w:r>
    </w:p>
    <w:p>
      <w:pPr>
        <w:pStyle w:val="Heading2"/>
      </w:pPr>
      <w:r>
        <w:t>Percursos principais</w:t>
      </w:r>
    </w:p>
    <w:p>
      <w:r>
        <w:rPr>
          <w:b/>
        </w:rPr>
        <w:t xml:space="preserve">Pessoa interessada </w:t>
      </w:r>
      <w:r>
        <w:t>Abre a página, explora os recursos, solicita demonstração e recebe a confirmação do envio.</w:t>
      </w:r>
    </w:p>
    <w:p>
      <w:r>
        <w:rPr>
          <w:b/>
        </w:rPr>
        <w:t xml:space="preserve">Cliente com conta </w:t>
      </w:r>
      <w:r>
        <w:t>Entra, escolhe a empresa quando necessário e acessa a visão geral. Se faltar configuração inicial, recebe orientação em Boas-vindas.</w:t>
      </w:r>
    </w:p>
    <w:p>
      <w:r>
        <w:rPr>
          <w:b/>
        </w:rPr>
        <w:t xml:space="preserve">Equipe de atendimento </w:t>
      </w:r>
      <w:r>
        <w:t>Abre a fila, seleciona a conversa, consulta o histórico e registra a próxima ação. Alterações de responsável e etapa ficam no histórico.</w:t>
      </w:r>
    </w:p>
    <w:p>
      <w:r>
        <w:rPr>
          <w:b/>
        </w:rPr>
        <w:t xml:space="preserve">Gestão </w:t>
      </w:r>
      <w:r>
        <w:t>Escolhe o período, identifica um ponto de atenção e abre os registros que sustentam o indicador. A análise por IA informa o contexto e permite revisão.</w:t>
      </w:r>
    </w:p>
    <w:p>
      <w:pPr>
        <w:pStyle w:val="Heading2"/>
      </w:pPr>
      <w:r>
        <w:t>Perfis de acesso propostos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8064"/>
      </w:tblGrid>
      <w:tr>
        <w:trPr>
          <w:tblHeader/>
          <w:cantSplit/>
        </w:trPr>
        <w:tc>
          <w:tcPr>
            <w:tcW w:type="dxa" w:w="2160"/>
            <w:vAlign w:val="center"/>
            <w:shd w:fill="333333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Perfil</w:t>
            </w:r>
          </w:p>
        </w:tc>
        <w:tc>
          <w:tcPr>
            <w:tcW w:type="dxa" w:w="8064"/>
            <w:vAlign w:val="center"/>
            <w:shd w:fill="333333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Escopo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Administrador</w:t>
            </w:r>
          </w:p>
        </w:tc>
        <w:tc>
          <w:tcPr>
            <w:tcW w:type="dxa" w:w="80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Configura empresa, integrações, convites e permissões, conforme a política da conta.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Gestor</w:t>
            </w:r>
          </w:p>
        </w:tc>
        <w:tc>
          <w:tcPr>
            <w:tcW w:type="dxa" w:w="8064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Acompanha indicadores e equipe, organiza funil e regras autorizadas.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Atendente</w:t>
            </w:r>
          </w:p>
        </w:tc>
        <w:tc>
          <w:tcPr>
            <w:tcW w:type="dxa" w:w="80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Acessa conversas e contatos permitidos, registra atividades e próximos passos.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Analista</w:t>
            </w:r>
          </w:p>
        </w:tc>
        <w:tc>
          <w:tcPr>
            <w:tcW w:type="dxa" w:w="8064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Consulta informações e relatórios autorizados, com exportação controlada.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A aplicação verifica empresa, perfil e acesso ao registro em cada consulta ou alteração. O endereço direto de uma tela segue as mesmas regras de acesso do menu.</w:t>
      </w:r>
    </w:p>
    <w:p>
      <w:pPr>
        <w:pStyle w:val="Heading2"/>
      </w:pPr>
      <w:r>
        <w:t>Estados de interface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8064"/>
      </w:tblGrid>
      <w:tr>
        <w:trPr>
          <w:tblHeader/>
          <w:cantSplit/>
        </w:trPr>
        <w:tc>
          <w:tcPr>
            <w:tcW w:type="dxa" w:w="2160"/>
            <w:vAlign w:val="center"/>
            <w:shd w:fill="333333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Situação</w:t>
            </w:r>
          </w:p>
        </w:tc>
        <w:tc>
          <w:tcPr>
            <w:tcW w:type="dxa" w:w="8064"/>
            <w:vAlign w:val="center"/>
            <w:shd w:fill="333333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Resposta esperada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Carregando</w:t>
            </w:r>
          </w:p>
        </w:tc>
        <w:tc>
          <w:tcPr>
            <w:tcW w:type="dxa" w:w="80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Mostrar uma estrutura temporária discreta, mantendo a estabilidade do layout.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Sem dados</w:t>
            </w:r>
          </w:p>
        </w:tc>
        <w:tc>
          <w:tcPr>
            <w:tcW w:type="dxa" w:w="8064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Explicar o motivo e oferecer uma ação útil, como conectar um canal ou ajustar o período.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Nenhum resultado</w:t>
            </w:r>
          </w:p>
        </w:tc>
        <w:tc>
          <w:tcPr>
            <w:tcW w:type="dxa" w:w="80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Mostrar os filtros aplicados e permitir limpar a busca.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Erro</w:t>
            </w:r>
          </w:p>
        </w:tc>
        <w:tc>
          <w:tcPr>
            <w:tcW w:type="dxa" w:w="8064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Dizer o que falhou, preservar o trabalho e oferecer tentar novamente.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Ação concluída</w:t>
            </w:r>
          </w:p>
        </w:tc>
        <w:tc>
          <w:tcPr>
            <w:tcW w:type="dxa" w:w="80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Confirmar com texto curto e atualizar o registro afetado.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Acesso indisponível</w:t>
            </w:r>
          </w:p>
        </w:tc>
        <w:tc>
          <w:tcPr>
            <w:tcW w:type="dxa" w:w="8064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Explicar a restrição e oferecer retorno a uma área permitida.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Sessão expirada</w:t>
            </w:r>
          </w:p>
        </w:tc>
        <w:tc>
          <w:tcPr>
            <w:tcW w:type="dxa" w:w="80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Solicitar acesso novamente e recuperar o destino interno após autenticação.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Alterações pendentes</w:t>
            </w:r>
          </w:p>
        </w:tc>
        <w:tc>
          <w:tcPr>
            <w:tcW w:type="dxa" w:w="8064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Avisar antes de sair e oferecer salvar, continuar editando ou descartar.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Janelas sobrepostas recebem o foco ao abrir, permitem fechar pelo teclado e devolvem o foco ao controle de origem. Ações de exclusão identificam o registro e suas consequências antes da confirmação.</w:t>
      </w:r>
    </w:p>
    <w:p>
      <w:pPr>
        <w:pStyle w:val="Heading1"/>
        <w:pageBreakBefore/>
      </w:pPr>
      <w:r>
        <w:t>Dados e critérios para implementação</w:t>
      </w:r>
    </w:p>
    <w:p>
      <w:pPr>
        <w:pStyle w:val="Heading2"/>
      </w:pPr>
      <w:r>
        <w:t>Indicadores e automações</w:t>
      </w:r>
    </w:p>
    <w:p>
      <w:r>
        <w:t>Cada indicador informa período, origem e horário da última atualização. Novos contatos conta pessoas únicas criadas no intervalo. Em atendimento indica o estoque atual de conversas abertas, com esse rótulo explícito. Qualificados segue uma regra documentada de qualificação, com período compatível com a análise.</w:t>
      </w:r>
    </w:p>
    <w:p>
      <w:r>
        <w:t>Uma conversão de funil deve usar a mesma população de contatos na origem e no destino. Se um dado estiver ausente, mostrar Indisponível, preservando a diferença entre ausência de informação e resultado zero. Exemplos visuais não definem metas comerciais.</w:t>
      </w:r>
    </w:p>
    <w:p>
      <w:r>
        <w:t>Uma automação mostra evento de início, condições, ações, estado e histórico. A equipe pode testar antes de ativar e pausar quando necessário. A IA informa quais dados sustentam a sugestão, sinaliza falta de informação e distingue sugestão, execução em andamento e ação concluída.</w:t>
      </w:r>
    </w:p>
    <w:p>
      <w:pPr>
        <w:pStyle w:val="Heading2"/>
      </w:pPr>
      <w:r>
        <w:t>Medição da landing page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96"/>
        <w:gridCol w:w="7128"/>
      </w:tblGrid>
      <w:tr>
        <w:trPr>
          <w:tblHeader/>
          <w:cantSplit/>
        </w:trPr>
        <w:tc>
          <w:tcPr>
            <w:tcW w:type="dxa" w:w="3096"/>
            <w:vAlign w:val="center"/>
            <w:shd w:fill="333333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Evento proposto</w:t>
            </w:r>
          </w:p>
        </w:tc>
        <w:tc>
          <w:tcPr>
            <w:tcW w:type="dxa" w:w="7128"/>
            <w:vAlign w:val="center"/>
            <w:shd w:fill="333333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Quando registrar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demo_cta_click</w:t>
            </w:r>
          </w:p>
        </w:tc>
        <w:tc>
          <w:tcPr>
            <w:tcW w:type="dxa" w:w="71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Clique em Solicitar demonstração, com posição do botão.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demo_form_start</w:t>
            </w:r>
          </w:p>
        </w:tc>
        <w:tc>
          <w:tcPr>
            <w:tcW w:type="dxa" w:w="7128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Primeira interação com o formulário.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demo_form_error</w:t>
            </w:r>
          </w:p>
        </w:tc>
        <w:tc>
          <w:tcPr>
            <w:tcW w:type="dxa" w:w="71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Falha de validação ou envio, com código da falha.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demo_request_success</w:t>
            </w:r>
          </w:p>
        </w:tc>
        <w:tc>
          <w:tcPr>
            <w:tcW w:type="dxa" w:w="7128"/>
            <w:vAlign w:val="center"/>
            <w:shd w:fill="F4F5F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Confirmação do servidor, uma única vez por solicitação.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login_click</w:t>
            </w:r>
          </w:p>
        </w:tc>
        <w:tc>
          <w:tcPr>
            <w:tcW w:type="dxa" w:w="71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252820"/>
                <w:sz w:val="20"/>
              </w:rPr>
              <w:t>Clique em Entrar, separado dos pedidos comerciais.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Preservar parâmetros de campanha durante a navegação. Não enviar nome, telefone, e-mail ou conteúdo de conversas aos eventos de análise. Configurar os controles de privacidade conforme as ferramentas adotadas.</w:t>
      </w:r>
    </w:p>
    <w:p>
      <w:pPr>
        <w:pStyle w:val="Heading2"/>
      </w:pPr>
      <w:r>
        <w:t>Critérios de aceite</w:t>
      </w:r>
    </w:p>
    <w:p>
      <w:pPr>
        <w:pStyle w:val="ListBullet"/>
        <w:spacing w:after="80"/>
      </w:pPr>
      <w:r>
        <w:t>Todos os botões e links levam aos destinos descritos, e a navegação pelo teclado é completa.</w:t>
      </w:r>
    </w:p>
    <w:p>
      <w:pPr>
        <w:pStyle w:val="ListBullet"/>
        <w:spacing w:after="80"/>
      </w:pPr>
      <w:r>
        <w:t>Os dois temas aplicam as funções de cor, com contraste verificado na interface renderizada.</w:t>
      </w:r>
    </w:p>
    <w:p>
      <w:pPr>
        <w:pStyle w:val="ListBullet"/>
        <w:spacing w:after="80"/>
      </w:pPr>
      <w:r>
        <w:t>A página funciona em 320, 390, 768, 1024 e 1440 px, com textos ampliados e sem conteúdo cortado.</w:t>
      </w:r>
    </w:p>
    <w:p>
      <w:pPr>
        <w:pStyle w:val="ListBullet"/>
        <w:spacing w:after="80"/>
      </w:pPr>
      <w:r>
        <w:t>O formulário confirma somente envios registrados e preserva os dados após falhas.</w:t>
      </w:r>
    </w:p>
    <w:p>
      <w:pPr>
        <w:pStyle w:val="ListBullet"/>
        <w:spacing w:after="80"/>
      </w:pPr>
      <w:r>
        <w:t>As rotas internas respeitam sessão, empresa e permissão, inclusive por acesso direto.</w:t>
      </w:r>
    </w:p>
    <w:p>
      <w:pPr>
        <w:pStyle w:val="ListBullet"/>
        <w:spacing w:after="80"/>
      </w:pPr>
      <w:r>
        <w:t>Indicadores, exemplos, sugestões de IA e estados de automação têm contexto visível.</w:t>
      </w:r>
    </w:p>
    <w:p>
      <w:pPr>
        <w:pStyle w:val="ListBullet"/>
        <w:spacing w:after="80"/>
      </w:pPr>
      <w:r>
        <w:t>As imagens têm descrição adequada, conteúdo decorativo não atrapalha a leitura e o movimento reduzido é respeitado.</w:t>
      </w:r>
    </w:p>
    <w:p>
      <w:pPr>
        <w:pStyle w:val="Heading2"/>
      </w:pPr>
      <w:r>
        <w:t>Referências do projeto</w:t>
      </w:r>
    </w:p>
    <w:p>
      <w:r>
        <w:t>Paleta de Cores Dashboard, documento fornecido. Imagem 16242.jpg, referência de composição. Os modelos visuais acompanham este projeto e usam números ilustrativos. As referências de acessibilidade estão vinculadas na seção de padrões de interface.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FLUXO DE CLIENTES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Arial" w:hAnsi="Arial"/>
      <w:b/>
      <w:bCs/>
      <w:i w:val="0"/>
      <w:color w:val="000000"/>
      <w:sz w:val="18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www.w3.org/WAI/WCAG22/Understanding/contrast-minimum.html" TargetMode="External"/><Relationship Id="rId12" Type="http://schemas.openxmlformats.org/officeDocument/2006/relationships/hyperlink" Target="https://www.w3.org/WAI/WCAG22/Understanding/non-text-contrast.html" TargetMode="External"/><Relationship Id="rId13" Type="http://schemas.openxmlformats.org/officeDocument/2006/relationships/hyperlink" Target="https://www.w3.org/WAI/WCAG22/Understanding/reflow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de interface da FLUXO DE CLIENTES</dc:title>
  <dc:subject>Landing page, mapa do site, rotas e padrões da aplicação web</dc:subject>
  <dc:creator>FLUXO DE CLIENTES</dc:creator>
  <cp:keywords>UI UX, landing page, mapa do site, rotas, temas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