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12211F"/>
          <w:sz w:val="76"/>
        </w:rPr>
        <w:t>Warrant</w:t>
      </w:r>
    </w:p>
    <w:p>
      <w:r>
        <w:rPr>
          <w:rFonts w:ascii="Georgia" w:hAnsi="Georgia"/>
          <w:color w:val="2C7A87"/>
          <w:sz w:val="30"/>
        </w:rPr>
        <w:t>Verified-fact estate settlement, built for Alix</w:t>
      </w:r>
    </w:p>
    <w:p>
      <w:r>
        <w:rPr>
          <w:i w:val="0"/>
          <w:color w:val="3F5654"/>
          <w:sz w:val="22"/>
        </w:rPr>
        <w:t>Every fact carries the sentence that justifies it. Verification is deterministic — no model is ever asked whether a model told the truth.</w:t>
      </w:r>
    </w:p>
    <w:tbl>
      <w:tblPr>
        <w:tblStyle w:val="LightGrid-Accent1"/>
        <w:tblW w:type="auto" w:w="0"/>
        <w:jc w:val="left"/>
        <w:tblLook w:firstColumn="1" w:firstRow="1" w:lastColumn="0" w:lastRow="0" w:noHBand="0" w:noVBand="1" w:val="04A0"/>
      </w:tblPr>
      <w:tblGrid>
        <w:gridCol w:w="4824"/>
        <w:gridCol w:w="4824"/>
      </w:tblGrid>
      <w:tr>
        <w:tc>
          <w:tcPr>
            <w:tcW w:type="dxa" w:w="2016"/>
          </w:tcPr>
          <w:p>
            <w:pPr>
              <w:spacing w:after="40"/>
            </w:pPr>
            <w:r/>
            <w:r>
              <w:rPr>
                <w:b w:val="0"/>
                <w:color w:val="3F5654"/>
                <w:sz w:val="17"/>
              </w:rPr>
              <w:t>Team</w:t>
            </w:r>
          </w:p>
        </w:tc>
        <w:tc>
          <w:tcPr>
            <w:tcW w:type="dxa" w:w="7200"/>
          </w:tcPr>
          <w:p>
            <w:pPr>
              <w:spacing w:after="40"/>
            </w:pPr>
            <w:r/>
            <w:r>
              <w:rPr>
                <w:b w:val="0"/>
                <w:color w:val="3F5654"/>
                <w:sz w:val="17"/>
              </w:rPr>
              <w:t>Mitansh and Egor</w:t>
            </w:r>
          </w:p>
        </w:tc>
      </w:tr>
      <w:tr>
        <w:tc>
          <w:tcPr>
            <w:tcW w:type="dxa" w:w="2016"/>
          </w:tcPr>
          <w:p>
            <w:pPr>
              <w:spacing w:after="40"/>
            </w:pPr>
            <w:r/>
            <w:r>
              <w:rPr>
                <w:b w:val="0"/>
                <w:color w:val="3F5654"/>
                <w:sz w:val="17"/>
              </w:rPr>
              <w:t>Built for</w:t>
            </w:r>
          </w:p>
        </w:tc>
        <w:tc>
          <w:tcPr>
            <w:tcW w:type="dxa" w:w="7200"/>
          </w:tcPr>
          <w:p>
            <w:pPr>
              <w:spacing w:after="40"/>
            </w:pPr>
            <w:r/>
            <w:r>
              <w:rPr>
                <w:b w:val="0"/>
                <w:color w:val="3F5654"/>
                <w:sz w:val="17"/>
              </w:rPr>
              <w:t>Alix — Agents of Administration, Track 3 (with Track 1 intact)</w:t>
            </w:r>
          </w:p>
        </w:tc>
      </w:tr>
      <w:tr>
        <w:tc>
          <w:tcPr>
            <w:tcW w:type="dxa" w:w="2016"/>
          </w:tcPr>
          <w:p>
            <w:pPr>
              <w:spacing w:after="40"/>
            </w:pPr>
            <w:r/>
            <w:r>
              <w:rPr>
                <w:b w:val="0"/>
                <w:color w:val="3F5654"/>
                <w:sz w:val="17"/>
              </w:rPr>
              <w:t>Repository</w:t>
            </w:r>
          </w:p>
        </w:tc>
        <w:tc>
          <w:tcPr>
            <w:tcW w:type="dxa" w:w="7200"/>
          </w:tcPr>
          <w:p>
            <w:pPr>
              <w:spacing w:after="40"/>
            </w:pPr>
            <w:r/>
            <w:r>
              <w:rPr>
                <w:b w:val="0"/>
                <w:color w:val="3F5654"/>
                <w:sz w:val="17"/>
              </w:rPr>
              <w:t>github.com/mit37/warrant</w:t>
            </w:r>
          </w:p>
        </w:tc>
      </w:tr>
      <w:tr>
        <w:tc>
          <w:tcPr>
            <w:tcW w:type="dxa" w:w="2016"/>
          </w:tcPr>
          <w:p>
            <w:pPr>
              <w:spacing w:after="40"/>
            </w:pPr>
            <w:r/>
            <w:r>
              <w:rPr>
                <w:b w:val="0"/>
                <w:color w:val="3F5654"/>
                <w:sz w:val="17"/>
              </w:rPr>
              <w:t>Date</w:t>
            </w:r>
          </w:p>
        </w:tc>
        <w:tc>
          <w:tcPr>
            <w:tcW w:type="dxa" w:w="7200"/>
          </w:tcPr>
          <w:p>
            <w:pPr>
              <w:spacing w:after="40"/>
            </w:pPr>
            <w:r/>
            <w:r>
              <w:rPr>
                <w:b w:val="0"/>
                <w:color w:val="3F5654"/>
                <w:sz w:val="17"/>
              </w:rPr>
              <w:t>28 July 2026</w:t>
            </w:r>
          </w:p>
        </w:tc>
      </w:tr>
      <w:tr>
        <w:tc>
          <w:tcPr>
            <w:tcW w:type="dxa" w:w="2016"/>
          </w:tcPr>
          <w:p>
            <w:pPr>
              <w:spacing w:after="40"/>
            </w:pPr>
            <w:r/>
            <w:r>
              <w:rPr>
                <w:b w:val="0"/>
                <w:color w:val="3F5654"/>
                <w:sz w:val="17"/>
              </w:rPr>
              <w:t>Status</w:t>
            </w:r>
          </w:p>
        </w:tc>
        <w:tc>
          <w:tcPr>
            <w:tcW w:type="dxa" w:w="7200"/>
          </w:tcPr>
          <w:p>
            <w:pPr>
              <w:spacing w:after="40"/>
            </w:pPr>
            <w:r/>
            <w:r>
              <w:rPr>
                <w:b w:val="0"/>
                <w:color w:val="3F5654"/>
                <w:sz w:val="17"/>
              </w:rPr>
              <w:t>463 tests. Anvil live. Extraction run against a real model.</w:t>
            </w:r>
          </w:p>
        </w:tc>
      </w:tr>
    </w:tbl>
    <w:p/>
    <w:p>
      <w:r>
        <w:br w:type="page"/>
      </w:r>
    </w:p>
    <w:p>
      <w:pPr>
        <w:pStyle w:val="Heading1"/>
      </w:pPr>
      <w:r>
        <w:rPr>
          <w:rFonts w:ascii="Georgia" w:hAnsi="Georgia"/>
          <w:color w:val="12211F"/>
          <w:sz w:val="38"/>
        </w:rPr>
        <w:t>What this is, in one page</w:t>
      </w:r>
    </w:p>
    <w:p>
      <w:r>
        <w:rPr>
          <w:i w:val="0"/>
          <w:color w:val="3F5654"/>
          <w:sz w:val="22"/>
        </w:rPr>
        <w:t>Warrant is a decision engine for estate settlement in which no claim reaches a filed document without evidence behind it. A model may propose any fact it likes; it cannot get that fact into a decision without producing a verbatim quotation that a deterministic checker locates in a document we actually hold. Facts that fail are quarantined — visible to a reviewer, unreachable by the rules engine.</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930"/>
          </w:tcPr>
          <w:p>
            <w:pPr>
              <w:spacing w:after="40"/>
            </w:pPr>
            <w:r/>
            <w:r>
              <w:rPr>
                <w:b w:val="0"/>
                <w:color w:val="3F5654"/>
                <w:sz w:val="17"/>
              </w:rPr>
              <w:t>463 tests</w:t>
            </w:r>
          </w:p>
        </w:tc>
        <w:tc>
          <w:tcPr>
            <w:tcW w:type="dxa" w:w="1930"/>
          </w:tcPr>
          <w:p>
            <w:pPr>
              <w:spacing w:after="40"/>
            </w:pPr>
            <w:r/>
            <w:r>
              <w:rPr>
                <w:b w:val="0"/>
                <w:color w:val="3F5654"/>
                <w:sz w:val="17"/>
              </w:rPr>
              <w:t>4 state packs</w:t>
            </w:r>
          </w:p>
        </w:tc>
        <w:tc>
          <w:tcPr>
            <w:tcW w:type="dxa" w:w="1930"/>
          </w:tcPr>
          <w:p>
            <w:pPr>
              <w:spacing w:after="40"/>
            </w:pPr>
            <w:r/>
            <w:r>
              <w:rPr>
                <w:b w:val="0"/>
                <w:color w:val="3F5654"/>
                <w:sz w:val="17"/>
              </w:rPr>
              <w:t>58 CA counties</w:t>
            </w:r>
          </w:p>
        </w:tc>
        <w:tc>
          <w:tcPr>
            <w:tcW w:type="dxa" w:w="1930"/>
          </w:tcPr>
          <w:p>
            <w:pPr>
              <w:spacing w:after="40"/>
            </w:pPr>
            <w:r/>
            <w:r>
              <w:rPr>
                <w:b w:val="0"/>
                <w:color w:val="3F5654"/>
                <w:sz w:val="17"/>
              </w:rPr>
              <w:t>171 field mappings</w:t>
            </w:r>
          </w:p>
        </w:tc>
        <w:tc>
          <w:tcPr>
            <w:tcW w:type="dxa" w:w="1930"/>
          </w:tcPr>
          <w:p>
            <w:pPr>
              <w:spacing w:after="40"/>
            </w:pPr>
            <w:r/>
            <w:r>
              <w:rPr>
                <w:b w:val="0"/>
                <w:color w:val="3F5654"/>
                <w:sz w:val="17"/>
              </w:rPr>
              <w:t>41/41 verified</w:t>
            </w:r>
          </w:p>
        </w:tc>
      </w:tr>
    </w:tbl>
    <w:p/>
    <w:p>
      <w:pPr>
        <w:pStyle w:val="Heading2"/>
      </w:pPr>
      <w:r>
        <w:rPr>
          <w:rFonts w:ascii="Calibri" w:hAnsi="Calibri"/>
          <w:color w:val="2C7A87"/>
          <w:sz w:val="24"/>
        </w:rPr>
        <w:t>The four invariants</w:t>
      </w:r>
    </w:p>
    <w:p>
      <w:pPr>
        <w:pStyle w:val="ListBullet"/>
      </w:pPr>
      <w:r>
        <w:rPr>
          <w:b/>
          <w:color w:val="12211F"/>
        </w:rPr>
        <w:t xml:space="preserve">No fact without a warrant. </w:t>
      </w:r>
      <w:r>
        <w:rPr>
          <w:color w:val="3F5654"/>
        </w:rPr>
        <w:t>A quotation the checker cannot locate is quarantined.</w:t>
      </w:r>
    </w:p>
    <w:p>
      <w:pPr>
        <w:pStyle w:val="ListBullet"/>
      </w:pPr>
      <w:r>
        <w:rPr>
          <w:b/>
          <w:color w:val="12211F"/>
        </w:rPr>
        <w:t xml:space="preserve">No model in the decision path. </w:t>
      </w:r>
      <w:r>
        <w:rPr>
          <w:color w:val="3F5654"/>
        </w:rPr>
        <w:t>Models extract. Rules decide. The evaluator is pure.</w:t>
      </w:r>
    </w:p>
    <w:p>
      <w:pPr>
        <w:pStyle w:val="ListBullet"/>
      </w:pPr>
      <w:r>
        <w:rPr>
          <w:b/>
          <w:color w:val="12211F"/>
        </w:rPr>
        <w:t xml:space="preserve">No model arithmetic. </w:t>
      </w:r>
      <w:r>
        <w:rPr>
          <w:color w:val="3F5654"/>
        </w:rPr>
        <w:t>Totals are computed in code under a cited statutory rule.</w:t>
      </w:r>
    </w:p>
    <w:p>
      <w:pPr>
        <w:pStyle w:val="ListBullet"/>
      </w:pPr>
      <w:r>
        <w:rPr>
          <w:b/>
          <w:color w:val="12211F"/>
        </w:rPr>
        <w:t xml:space="preserve">Three-valued logic. </w:t>
      </w:r>
      <w:r>
        <w:rPr>
          <w:color w:val="3F5654"/>
        </w:rPr>
        <w:t>A predicate over a fact we do not hold is unknown, never false. A blocked rule names what it needs, so gap detection is free rather than a feature.</w:t>
      </w:r>
    </w:p>
    <w:p>
      <w:pPr>
        <w:pStyle w:val="Heading2"/>
      </w:pPr>
      <w:r>
        <w:rPr>
          <w:rFonts w:ascii="Calibri" w:hAnsi="Calibri"/>
          <w:color w:val="2C7A87"/>
          <w:sz w:val="24"/>
        </w:rPr>
        <w:t>What it does that nothing else here does</w:t>
      </w:r>
    </w:p>
    <w:p>
      <w:pPr>
        <w:pStyle w:val="ListBullet"/>
      </w:pPr>
      <w:r>
        <w:rPr>
          <w:b/>
          <w:color w:val="12211F"/>
        </w:rPr>
        <w:t xml:space="preserve">Onboards a government form it has never seen — </w:t>
      </w:r>
      <w:r>
        <w:rPr>
          <w:color w:val="3F5654"/>
        </w:rPr>
        <w:t>reads the words printed around each field geometrically, has a model propose the mapping, and refuses any mapping whose claimed label is not on the page.</w:t>
      </w:r>
    </w:p>
    <w:p>
      <w:pPr>
        <w:pStyle w:val="ListBullet"/>
      </w:pPr>
      <w:r>
        <w:rPr>
          <w:b/>
          <w:color w:val="12211F"/>
        </w:rPr>
        <w:t xml:space="preserve">Finds assets nobody mentioned — </w:t>
      </w:r>
      <w:r>
        <w:rPr>
          <w:color w:val="3F5654"/>
        </w:rPr>
        <w:t>infers a life policy from a $14.32 monthly debit that appears in no document.</w:t>
      </w:r>
    </w:p>
    <w:p>
      <w:pPr>
        <w:pStyle w:val="ListBullet"/>
      </w:pPr>
      <w:r>
        <w:rPr>
          <w:b/>
          <w:color w:val="12211F"/>
        </w:rPr>
        <w:t xml:space="preserve">Knows when its own answers expire — </w:t>
      </w:r>
      <w:r>
        <w:rPr>
          <w:color w:val="3F5654"/>
        </w:rPr>
        <w:t>every citation carries a re-check horizon, and where a statute publishes its amendment cycle, the exact date.</w:t>
      </w:r>
    </w:p>
    <w:p>
      <w:pPr>
        <w:pStyle w:val="ListBullet"/>
      </w:pPr>
      <w:r>
        <w:rPr>
          <w:b/>
          <w:color w:val="12211F"/>
        </w:rPr>
        <w:t xml:space="preserve">Declines, with a reason — </w:t>
      </w:r>
      <w:r>
        <w:rPr>
          <w:color w:val="3F5654"/>
        </w:rPr>
        <w:t>of twenty form/estate pairs, six are correctly withheld and one is blocked rather than answered.</w:t>
      </w:r>
    </w:p>
    <w:p>
      <w:r>
        <w:br w:type="page"/>
      </w:r>
    </w:p>
    <w:p>
      <w:pPr>
        <w:pStyle w:val="Heading1"/>
      </w:pPr>
      <w:r>
        <w:rPr>
          <w:rFonts w:ascii="Georgia" w:hAnsi="Georgia"/>
          <w:color w:val="12211F"/>
          <w:sz w:val="38"/>
        </w:rPr>
        <w:t>Functionality, in full</w:t>
      </w:r>
    </w:p>
    <w:p>
      <w:pPr>
        <w:pStyle w:val="Heading2"/>
      </w:pPr>
      <w:r>
        <w:rPr>
          <w:rFonts w:ascii="Calibri" w:hAnsi="Calibri"/>
          <w:color w:val="2C7A87"/>
          <w:sz w:val="24"/>
        </w:rPr>
        <w:t>Extraction and verification</w:t>
      </w:r>
    </w:p>
    <w:tbl>
      <w:tblPr>
        <w:tblStyle w:val="LightGrid-Accent1"/>
        <w:tblW w:type="auto" w:w="0"/>
        <w:jc w:val="left"/>
        <w:tblLook w:firstColumn="1" w:firstRow="1" w:lastColumn="0" w:lastRow="0" w:noHBand="0" w:noVBand="1" w:val="04A0"/>
      </w:tblPr>
      <w:tblGrid>
        <w:gridCol w:w="3216"/>
        <w:gridCol w:w="3216"/>
        <w:gridCol w:w="3216"/>
      </w:tblGrid>
      <w:tr>
        <w:tc>
          <w:tcPr>
            <w:tcW w:type="dxa" w:w="1872"/>
          </w:tcPr>
          <w:p>
            <w:pPr>
              <w:spacing w:after="40"/>
            </w:pPr>
            <w:r/>
            <w:r>
              <w:rPr>
                <w:b/>
                <w:color w:val="12211F"/>
                <w:sz w:val="17"/>
              </w:rPr>
              <w:t>Capability</w:t>
            </w:r>
          </w:p>
        </w:tc>
        <w:tc>
          <w:tcPr>
            <w:tcW w:type="dxa" w:w="4176"/>
          </w:tcPr>
          <w:p>
            <w:pPr>
              <w:spacing w:after="40"/>
            </w:pPr>
            <w:r/>
            <w:r>
              <w:rPr>
                <w:b/>
                <w:color w:val="12211F"/>
                <w:sz w:val="17"/>
              </w:rPr>
              <w:t>What it does</w:t>
            </w:r>
          </w:p>
        </w:tc>
        <w:tc>
          <w:tcPr>
            <w:tcW w:type="dxa" w:w="3168"/>
          </w:tcPr>
          <w:p>
            <w:pPr>
              <w:spacing w:after="40"/>
            </w:pPr>
            <w:r/>
            <w:r>
              <w:rPr>
                <w:b/>
                <w:color w:val="12211F"/>
                <w:sz w:val="17"/>
              </w:rPr>
              <w:t>State</w:t>
            </w:r>
          </w:p>
        </w:tc>
      </w:tr>
      <w:tr>
        <w:tc>
          <w:tcPr>
            <w:tcW w:type="dxa" w:w="1872"/>
          </w:tcPr>
          <w:p>
            <w:pPr>
              <w:spacing w:after="40"/>
            </w:pPr>
            <w:r/>
            <w:r>
              <w:rPr>
                <w:b w:val="0"/>
                <w:color w:val="3F5654"/>
                <w:sz w:val="17"/>
              </w:rPr>
              <w:t>Live extraction</w:t>
            </w:r>
          </w:p>
        </w:tc>
        <w:tc>
          <w:tcPr>
            <w:tcW w:type="dxa" w:w="4176"/>
          </w:tcPr>
          <w:p>
            <w:pPr>
              <w:spacing w:after="40"/>
            </w:pPr>
            <w:r/>
            <w:r>
              <w:rPr>
                <w:b w:val="0"/>
                <w:color w:val="3F5654"/>
                <w:sz w:val="17"/>
              </w:rPr>
              <w:t>Documents to candidate facts, each with the sentence it rests on</w:t>
            </w:r>
          </w:p>
        </w:tc>
        <w:tc>
          <w:tcPr>
            <w:tcW w:type="dxa" w:w="3168"/>
          </w:tcPr>
          <w:p>
            <w:pPr>
              <w:spacing w:after="40"/>
            </w:pPr>
            <w:r/>
            <w:r>
              <w:rPr>
                <w:b w:val="0"/>
                <w:color w:val="3F5654"/>
                <w:sz w:val="17"/>
              </w:rPr>
              <w:t>Run: 9 docs, 41 facts, 41 verified, $0.08</w:t>
            </w:r>
          </w:p>
        </w:tc>
      </w:tr>
      <w:tr>
        <w:tc>
          <w:tcPr>
            <w:tcW w:type="dxa" w:w="1872"/>
          </w:tcPr>
          <w:p>
            <w:pPr>
              <w:spacing w:after="40"/>
            </w:pPr>
            <w:r/>
            <w:r>
              <w:rPr>
                <w:b w:val="0"/>
                <w:color w:val="3F5654"/>
                <w:sz w:val="17"/>
              </w:rPr>
              <w:t>Deterministic verifier</w:t>
            </w:r>
          </w:p>
        </w:tc>
        <w:tc>
          <w:tcPr>
            <w:tcW w:type="dxa" w:w="4176"/>
          </w:tcPr>
          <w:p>
            <w:pPr>
              <w:spacing w:after="40"/>
            </w:pPr>
            <w:r/>
            <w:r>
              <w:rPr>
                <w:b w:val="0"/>
                <w:color w:val="3F5654"/>
                <w:sz w:val="17"/>
              </w:rPr>
              <w:t>Normalised exact match, then n-gram coverage. No model involved</w:t>
            </w:r>
          </w:p>
        </w:tc>
        <w:tc>
          <w:tcPr>
            <w:tcW w:type="dxa" w:w="3168"/>
          </w:tcPr>
          <w:p>
            <w:pPr>
              <w:spacing w:after="40"/>
            </w:pPr>
            <w:r/>
            <w:r>
              <w:rPr>
                <w:b w:val="0"/>
                <w:color w:val="3F5654"/>
                <w:sz w:val="17"/>
              </w:rPr>
              <w:t>Inherited, unchanged, load-bearing</w:t>
            </w:r>
          </w:p>
        </w:tc>
      </w:tr>
      <w:tr>
        <w:tc>
          <w:tcPr>
            <w:tcW w:type="dxa" w:w="1872"/>
          </w:tcPr>
          <w:p>
            <w:pPr>
              <w:spacing w:after="40"/>
            </w:pPr>
            <w:r/>
            <w:r>
              <w:rPr>
                <w:b w:val="0"/>
                <w:color w:val="3F5654"/>
                <w:sz w:val="17"/>
              </w:rPr>
              <w:t>Numeric guard</w:t>
            </w:r>
          </w:p>
        </w:tc>
        <w:tc>
          <w:tcPr>
            <w:tcW w:type="dxa" w:w="4176"/>
          </w:tcPr>
          <w:p>
            <w:pPr>
              <w:spacing w:after="40"/>
            </w:pPr>
            <w:r/>
            <w:r>
              <w:rPr>
                <w:b w:val="0"/>
                <w:color w:val="3F5654"/>
                <w:sz w:val="17"/>
              </w:rPr>
              <w:t>A quote whose figures are not in the document cannot verify</w:t>
            </w:r>
          </w:p>
        </w:tc>
        <w:tc>
          <w:tcPr>
            <w:tcW w:type="dxa" w:w="3168"/>
          </w:tcPr>
          <w:p>
            <w:pPr>
              <w:spacing w:after="40"/>
            </w:pPr>
            <w:r/>
            <w:r>
              <w:rPr>
                <w:b w:val="0"/>
                <w:color w:val="3F5654"/>
                <w:sz w:val="17"/>
              </w:rPr>
              <w:t>Added after a fabricated fee passed</w:t>
            </w:r>
          </w:p>
        </w:tc>
      </w:tr>
      <w:tr>
        <w:tc>
          <w:tcPr>
            <w:tcW w:type="dxa" w:w="1872"/>
          </w:tcPr>
          <w:p>
            <w:pPr>
              <w:spacing w:after="40"/>
            </w:pPr>
            <w:r/>
            <w:r>
              <w:rPr>
                <w:b w:val="0"/>
                <w:color w:val="3F5654"/>
                <w:sz w:val="17"/>
              </w:rPr>
              <w:t>Quarantine</w:t>
            </w:r>
          </w:p>
        </w:tc>
        <w:tc>
          <w:tcPr>
            <w:tcW w:type="dxa" w:w="4176"/>
          </w:tcPr>
          <w:p>
            <w:pPr>
              <w:spacing w:after="40"/>
            </w:pPr>
            <w:r/>
            <w:r>
              <w:rPr>
                <w:b w:val="0"/>
                <w:color w:val="3F5654"/>
                <w:sz w:val="17"/>
              </w:rPr>
              <w:t>Failed facts are visible and structurally unreachable by rules</w:t>
            </w:r>
          </w:p>
        </w:tc>
        <w:tc>
          <w:tcPr>
            <w:tcW w:type="dxa" w:w="3168"/>
          </w:tcPr>
          <w:p>
            <w:pPr>
              <w:spacing w:after="40"/>
            </w:pPr>
            <w:r/>
            <w:r>
              <w:rPr>
                <w:b w:val="0"/>
                <w:color w:val="3F5654"/>
                <w:sz w:val="17"/>
              </w:rPr>
              <w:t>Enforced by type</w:t>
            </w:r>
          </w:p>
        </w:tc>
      </w:tr>
      <w:tr>
        <w:tc>
          <w:tcPr>
            <w:tcW w:type="dxa" w:w="1872"/>
          </w:tcPr>
          <w:p>
            <w:pPr>
              <w:spacing w:after="40"/>
            </w:pPr>
            <w:r/>
            <w:r>
              <w:rPr>
                <w:b w:val="0"/>
                <w:color w:val="3F5654"/>
                <w:sz w:val="17"/>
              </w:rPr>
              <w:t>Record warrants</w:t>
            </w:r>
          </w:p>
        </w:tc>
        <w:tc>
          <w:tcPr>
            <w:tcW w:type="dxa" w:w="4176"/>
          </w:tcPr>
          <w:p>
            <w:pPr>
              <w:spacing w:after="40"/>
            </w:pPr>
            <w:r/>
            <w:r>
              <w:rPr>
                <w:b w:val="0"/>
                <w:color w:val="3F5654"/>
                <w:sz w:val="17"/>
              </w:rPr>
              <w:t>Imported facts cite system, record and field path</w:t>
            </w:r>
          </w:p>
        </w:tc>
        <w:tc>
          <w:tcPr>
            <w:tcW w:type="dxa" w:w="3168"/>
          </w:tcPr>
          <w:p>
            <w:pPr>
              <w:spacing w:after="40"/>
            </w:pPr>
            <w:r/>
            <w:r>
              <w:rPr>
                <w:b w:val="0"/>
                <w:color w:val="3F5654"/>
                <w:sz w:val="17"/>
              </w:rPr>
              <w:t>Checked on admission</w:t>
            </w:r>
          </w:p>
        </w:tc>
      </w:tr>
    </w:tbl>
    <w:p/>
    <w:p>
      <w:pPr>
        <w:pStyle w:val="Heading2"/>
      </w:pPr>
      <w:r>
        <w:rPr>
          <w:rFonts w:ascii="Calibri" w:hAnsi="Calibri"/>
          <w:color w:val="2C7A87"/>
          <w:sz w:val="24"/>
        </w:rPr>
        <w:t>Jurisdiction</w:t>
      </w:r>
    </w:p>
    <w:tbl>
      <w:tblPr>
        <w:tblStyle w:val="LightGrid-Accent1"/>
        <w:tblW w:type="auto" w:w="0"/>
        <w:jc w:val="left"/>
        <w:tblLook w:firstColumn="1" w:firstRow="1" w:lastColumn="0" w:lastRow="0" w:noHBand="0" w:noVBand="1" w:val="04A0"/>
      </w:tblPr>
      <w:tblGrid>
        <w:gridCol w:w="4824"/>
        <w:gridCol w:w="4824"/>
      </w:tblGrid>
      <w:tr>
        <w:tc>
          <w:tcPr>
            <w:tcW w:type="dxa" w:w="1872"/>
          </w:tcPr>
          <w:p>
            <w:pPr>
              <w:spacing w:after="40"/>
            </w:pPr>
            <w:r/>
            <w:r>
              <w:rPr>
                <w:b/>
                <w:color w:val="12211F"/>
                <w:sz w:val="17"/>
              </w:rPr>
              <w:t>Capability</w:t>
            </w:r>
          </w:p>
        </w:tc>
        <w:tc>
          <w:tcPr>
            <w:tcW w:type="dxa" w:w="7344"/>
          </w:tcPr>
          <w:p>
            <w:pPr>
              <w:spacing w:after="40"/>
            </w:pPr>
            <w:r/>
            <w:r>
              <w:rPr>
                <w:b/>
                <w:color w:val="12211F"/>
                <w:sz w:val="17"/>
              </w:rPr>
              <w:t>Detail</w:t>
            </w:r>
          </w:p>
        </w:tc>
      </w:tr>
      <w:tr>
        <w:tc>
          <w:tcPr>
            <w:tcW w:type="dxa" w:w="1872"/>
          </w:tcPr>
          <w:p>
            <w:pPr>
              <w:spacing w:after="40"/>
            </w:pPr>
            <w:r/>
            <w:r>
              <w:rPr>
                <w:b w:val="0"/>
                <w:color w:val="3F5654"/>
                <w:sz w:val="17"/>
              </w:rPr>
              <w:t>Rule packs</w:t>
            </w:r>
          </w:p>
        </w:tc>
        <w:tc>
          <w:tcPr>
            <w:tcW w:type="dxa" w:w="7344"/>
          </w:tcPr>
          <w:p>
            <w:pPr>
              <w:spacing w:after="40"/>
            </w:pPr>
            <w:r/>
            <w:r>
              <w:rPr>
                <w:b w:val="0"/>
                <w:color w:val="3F5654"/>
                <w:sz w:val="17"/>
              </w:rPr>
              <w:t>California, New York, Pennsylvania, Texas — each sourced to the state's own legislature</w:t>
            </w:r>
          </w:p>
        </w:tc>
      </w:tr>
      <w:tr>
        <w:tc>
          <w:tcPr>
            <w:tcW w:type="dxa" w:w="1872"/>
          </w:tcPr>
          <w:p>
            <w:pPr>
              <w:spacing w:after="40"/>
            </w:pPr>
            <w:r/>
            <w:r>
              <w:rPr>
                <w:b w:val="0"/>
                <w:color w:val="3F5654"/>
                <w:sz w:val="17"/>
              </w:rPr>
              <w:t>County pack</w:t>
            </w:r>
          </w:p>
        </w:tc>
        <w:tc>
          <w:tcPr>
            <w:tcW w:type="dxa" w:w="7344"/>
          </w:tcPr>
          <w:p>
            <w:pPr>
              <w:spacing w:after="40"/>
            </w:pPr>
            <w:r/>
            <w:r>
              <w:rPr>
                <w:b w:val="0"/>
                <w:color w:val="3F5654"/>
                <w:sz w:val="17"/>
              </w:rPr>
              <w:t>All 58 California counties, with fee variation (San Francisco is $450, not $435)</w:t>
            </w:r>
          </w:p>
        </w:tc>
      </w:tr>
      <w:tr>
        <w:tc>
          <w:tcPr>
            <w:tcW w:type="dxa" w:w="1872"/>
          </w:tcPr>
          <w:p>
            <w:pPr>
              <w:spacing w:after="40"/>
            </w:pPr>
            <w:r/>
            <w:r>
              <w:rPr>
                <w:b w:val="0"/>
                <w:color w:val="3F5654"/>
                <w:sz w:val="17"/>
              </w:rPr>
              <w:t>Honest gaps</w:t>
            </w:r>
          </w:p>
        </w:tc>
        <w:tc>
          <w:tcPr>
            <w:tcW w:type="dxa" w:w="7344"/>
          </w:tcPr>
          <w:p>
            <w:pPr>
              <w:spacing w:after="40"/>
            </w:pPr>
            <w:r/>
            <w:r>
              <w:rPr>
                <w:b w:val="0"/>
                <w:color w:val="3F5654"/>
                <w:sz w:val="17"/>
              </w:rPr>
              <w:t>Each pack carries an explicit list of what could NOT be sourced</w:t>
            </w:r>
          </w:p>
        </w:tc>
      </w:tr>
      <w:tr>
        <w:tc>
          <w:tcPr>
            <w:tcW w:type="dxa" w:w="1872"/>
          </w:tcPr>
          <w:p>
            <w:pPr>
              <w:spacing w:after="40"/>
            </w:pPr>
            <w:r/>
            <w:r>
              <w:rPr>
                <w:b w:val="0"/>
                <w:color w:val="3F5654"/>
                <w:sz w:val="17"/>
              </w:rPr>
              <w:t>No fallback</w:t>
            </w:r>
          </w:p>
        </w:tc>
        <w:tc>
          <w:tcPr>
            <w:tcW w:type="dxa" w:w="7344"/>
          </w:tcPr>
          <w:p>
            <w:pPr>
              <w:spacing w:after="40"/>
            </w:pPr>
            <w:r/>
            <w:r>
              <w:rPr>
                <w:b w:val="0"/>
                <w:color w:val="3F5654"/>
                <w:sz w:val="17"/>
              </w:rPr>
              <w:t>An uncovered state gets 'no rule pack' and a hold, never another state's answers</w:t>
            </w:r>
          </w:p>
        </w:tc>
      </w:tr>
      <w:tr>
        <w:tc>
          <w:tcPr>
            <w:tcW w:type="dxa" w:w="1872"/>
          </w:tcPr>
          <w:p>
            <w:pPr>
              <w:spacing w:after="40"/>
            </w:pPr>
            <w:r/>
            <w:r>
              <w:rPr>
                <w:b w:val="0"/>
                <w:color w:val="3F5654"/>
                <w:sz w:val="17"/>
              </w:rPr>
              <w:t>Freshness</w:t>
            </w:r>
          </w:p>
        </w:tc>
        <w:tc>
          <w:tcPr>
            <w:tcW w:type="dxa" w:w="7344"/>
          </w:tcPr>
          <w:p>
            <w:pPr>
              <w:spacing w:after="40"/>
            </w:pPr>
            <w:r/>
            <w:r>
              <w:rPr>
                <w:b w:val="0"/>
                <w:color w:val="3F5654"/>
                <w:sz w:val="17"/>
              </w:rPr>
              <w:t>Every citation has a re-check horizon; scheduled statutory changes beat observed stability</w:t>
            </w:r>
          </w:p>
        </w:tc>
      </w:tr>
      <w:tr>
        <w:tc>
          <w:tcPr>
            <w:tcW w:type="dxa" w:w="1872"/>
          </w:tcPr>
          <w:p>
            <w:pPr>
              <w:spacing w:after="40"/>
            </w:pPr>
            <w:r/>
            <w:r>
              <w:rPr>
                <w:b w:val="0"/>
                <w:color w:val="3F5654"/>
                <w:sz w:val="17"/>
              </w:rPr>
              <w:t>Compiler</w:t>
            </w:r>
          </w:p>
        </w:tc>
        <w:tc>
          <w:tcPr>
            <w:tcW w:type="dxa" w:w="7344"/>
          </w:tcPr>
          <w:p>
            <w:pPr>
              <w:spacing w:after="40"/>
            </w:pPr>
            <w:r/>
            <w:r>
              <w:rPr>
                <w:b w:val="0"/>
                <w:color w:val="3F5654"/>
                <w:sz w:val="17"/>
              </w:rPr>
              <w:t>New counties compile from their own published text, model-proposed and quote-verified</w:t>
            </w:r>
          </w:p>
        </w:tc>
      </w:tr>
    </w:tbl>
    <w:p/>
    <w:p>
      <w:pPr>
        <w:pStyle w:val="Heading2"/>
      </w:pPr>
      <w:r>
        <w:rPr>
          <w:rFonts w:ascii="Calibri" w:hAnsi="Calibri"/>
          <w:color w:val="2C7A87"/>
          <w:sz w:val="24"/>
        </w:rPr>
        <w:t>Forms — Track 3</w:t>
      </w:r>
    </w:p>
    <w:tbl>
      <w:tblPr>
        <w:tblStyle w:val="LightGrid-Accent1"/>
        <w:tblW w:type="auto" w:w="0"/>
        <w:jc w:val="left"/>
        <w:tblLook w:firstColumn="1" w:firstRow="1" w:lastColumn="0" w:lastRow="0" w:noHBand="0" w:noVBand="1" w:val="04A0"/>
      </w:tblPr>
      <w:tblGrid>
        <w:gridCol w:w="4824"/>
        <w:gridCol w:w="4824"/>
      </w:tblGrid>
      <w:tr>
        <w:tc>
          <w:tcPr>
            <w:tcW w:type="dxa" w:w="1872"/>
          </w:tcPr>
          <w:p>
            <w:pPr>
              <w:spacing w:after="40"/>
            </w:pPr>
            <w:r/>
            <w:r>
              <w:rPr>
                <w:b/>
                <w:color w:val="12211F"/>
                <w:sz w:val="17"/>
              </w:rPr>
              <w:t>Capability</w:t>
            </w:r>
          </w:p>
        </w:tc>
        <w:tc>
          <w:tcPr>
            <w:tcW w:type="dxa" w:w="7344"/>
          </w:tcPr>
          <w:p>
            <w:pPr>
              <w:spacing w:after="40"/>
            </w:pPr>
            <w:r/>
            <w:r>
              <w:rPr>
                <w:b/>
                <w:color w:val="12211F"/>
                <w:sz w:val="17"/>
              </w:rPr>
              <w:t>Detail</w:t>
            </w:r>
          </w:p>
        </w:tc>
      </w:tr>
      <w:tr>
        <w:tc>
          <w:tcPr>
            <w:tcW w:type="dxa" w:w="1872"/>
          </w:tcPr>
          <w:p>
            <w:pPr>
              <w:spacing w:after="40"/>
            </w:pPr>
            <w:r/>
            <w:r>
              <w:rPr>
                <w:b w:val="0"/>
                <w:color w:val="3F5654"/>
                <w:sz w:val="17"/>
              </w:rPr>
              <w:t>Geometry extraction</w:t>
            </w:r>
          </w:p>
        </w:tc>
        <w:tc>
          <w:tcPr>
            <w:tcW w:type="dxa" w:w="7344"/>
          </w:tcPr>
          <w:p>
            <w:pPr>
              <w:spacing w:after="40"/>
            </w:pPr>
            <w:r/>
            <w:r>
              <w:rPr>
                <w:b w:val="0"/>
                <w:color w:val="3F5654"/>
                <w:sz w:val="17"/>
              </w:rPr>
              <w:t>Widget rectangles plus the words printed around each, read off the page</w:t>
            </w:r>
          </w:p>
        </w:tc>
      </w:tr>
      <w:tr>
        <w:tc>
          <w:tcPr>
            <w:tcW w:type="dxa" w:w="1872"/>
          </w:tcPr>
          <w:p>
            <w:pPr>
              <w:spacing w:after="40"/>
            </w:pPr>
            <w:r/>
            <w:r>
              <w:rPr>
                <w:b w:val="0"/>
                <w:color w:val="3F5654"/>
                <w:sz w:val="17"/>
              </w:rPr>
              <w:t>Discovered mapping</w:t>
            </w:r>
          </w:p>
        </w:tc>
        <w:tc>
          <w:tcPr>
            <w:tcW w:type="dxa" w:w="7344"/>
          </w:tcPr>
          <w:p>
            <w:pPr>
              <w:spacing w:after="40"/>
            </w:pPr>
            <w:r/>
            <w:r>
              <w:rPr>
                <w:b w:val="0"/>
                <w:color w:val="3F5654"/>
                <w:sz w:val="17"/>
              </w:rPr>
              <w:t>Model proposes; the same matcher that checks facts checks the cited label</w:t>
            </w:r>
          </w:p>
        </w:tc>
      </w:tr>
      <w:tr>
        <w:tc>
          <w:tcPr>
            <w:tcW w:type="dxa" w:w="1872"/>
          </w:tcPr>
          <w:p>
            <w:pPr>
              <w:spacing w:after="40"/>
            </w:pPr>
            <w:r/>
            <w:r>
              <w:rPr>
                <w:b w:val="0"/>
                <w:color w:val="3F5654"/>
                <w:sz w:val="17"/>
              </w:rPr>
              <w:t>Refusal</w:t>
            </w:r>
          </w:p>
        </w:tc>
        <w:tc>
          <w:tcPr>
            <w:tcW w:type="dxa" w:w="7344"/>
          </w:tcPr>
          <w:p>
            <w:pPr>
              <w:spacing w:after="40"/>
            </w:pPr>
            <w:r/>
            <w:r>
              <w:rPr>
                <w:b w:val="0"/>
                <w:color w:val="3F5654"/>
                <w:sz w:val="17"/>
              </w:rPr>
              <w:t>Two proposals cited labels not printed where they claimed. Recorded, not deleted</w:t>
            </w:r>
          </w:p>
        </w:tc>
      </w:tr>
      <w:tr>
        <w:tc>
          <w:tcPr>
            <w:tcW w:type="dxa" w:w="1872"/>
          </w:tcPr>
          <w:p>
            <w:pPr>
              <w:spacing w:after="40"/>
            </w:pPr>
            <w:r/>
            <w:r>
              <w:rPr>
                <w:b w:val="0"/>
                <w:color w:val="3F5654"/>
                <w:sz w:val="17"/>
              </w:rPr>
              <w:t>Adjudications</w:t>
            </w:r>
          </w:p>
        </w:tc>
        <w:tc>
          <w:tcPr>
            <w:tcW w:type="dxa" w:w="7344"/>
          </w:tcPr>
          <w:p>
            <w:pPr>
              <w:spacing w:after="40"/>
            </w:pPr>
            <w:r/>
            <w:r>
              <w:rPr>
                <w:b w:val="0"/>
                <w:color w:val="3F5654"/>
                <w:sz w:val="17"/>
              </w:rPr>
              <w:t>Human corrections live in an override layer, re-applied and re-verified</w:t>
            </w:r>
          </w:p>
        </w:tc>
      </w:tr>
      <w:tr>
        <w:tc>
          <w:tcPr>
            <w:tcW w:type="dxa" w:w="1872"/>
          </w:tcPr>
          <w:p>
            <w:pPr>
              <w:spacing w:after="40"/>
            </w:pPr>
            <w:r/>
            <w:r>
              <w:rPr>
                <w:b w:val="0"/>
                <w:color w:val="3F5654"/>
                <w:sz w:val="17"/>
              </w:rPr>
              <w:t>Applicability</w:t>
            </w:r>
          </w:p>
        </w:tc>
        <w:tc>
          <w:tcPr>
            <w:tcW w:type="dxa" w:w="7344"/>
          </w:tcPr>
          <w:p>
            <w:pPr>
              <w:spacing w:after="40"/>
            </w:pPr>
            <w:r/>
            <w:r>
              <w:rPr>
                <w:b w:val="0"/>
                <w:color w:val="3F5654"/>
                <w:sz w:val="17"/>
              </w:rPr>
              <w:t>Which forms apply is a rule with a citation, not a hardcode</w:t>
            </w:r>
          </w:p>
        </w:tc>
      </w:tr>
      <w:tr>
        <w:tc>
          <w:tcPr>
            <w:tcW w:type="dxa" w:w="1872"/>
          </w:tcPr>
          <w:p>
            <w:pPr>
              <w:spacing w:after="40"/>
            </w:pPr>
            <w:r/>
            <w:r>
              <w:rPr>
                <w:b w:val="0"/>
                <w:color w:val="3F5654"/>
                <w:sz w:val="17"/>
              </w:rPr>
              <w:t>Local fill</w:t>
            </w:r>
          </w:p>
        </w:tc>
        <w:tc>
          <w:tcPr>
            <w:tcW w:type="dxa" w:w="7344"/>
          </w:tcPr>
          <w:p>
            <w:pPr>
              <w:spacing w:after="40"/>
            </w:pPr>
            <w:r/>
            <w:r>
              <w:rPr>
                <w:b w:val="0"/>
                <w:color w:val="3F5654"/>
                <w:sz w:val="17"/>
              </w:rPr>
              <w:t>Real filled PDFs, every field read back</w:t>
            </w:r>
          </w:p>
        </w:tc>
      </w:tr>
      <w:tr>
        <w:tc>
          <w:tcPr>
            <w:tcW w:type="dxa" w:w="1872"/>
          </w:tcPr>
          <w:p>
            <w:pPr>
              <w:spacing w:after="40"/>
            </w:pPr>
            <w:r/>
            <w:r>
              <w:rPr>
                <w:b w:val="0"/>
                <w:color w:val="3F5654"/>
                <w:sz w:val="17"/>
              </w:rPr>
              <w:t>Anvil</w:t>
            </w:r>
          </w:p>
        </w:tc>
        <w:tc>
          <w:tcPr>
            <w:tcW w:type="dxa" w:w="7344"/>
          </w:tcPr>
          <w:p>
            <w:pPr>
              <w:spacing w:after="40"/>
            </w:pPr>
            <w:r/>
            <w:r>
              <w:rPr>
                <w:b w:val="0"/>
                <w:color w:val="3F5654"/>
                <w:sz w:val="17"/>
              </w:rPr>
              <w:t>Live. 139/139 bindings joined on three forms; values confirmed on the page</w:t>
            </w:r>
          </w:p>
        </w:tc>
      </w:tr>
    </w:tbl>
    <w:p/>
    <w:p>
      <w:pPr>
        <w:pStyle w:val="Heading2"/>
      </w:pPr>
      <w:r>
        <w:rPr>
          <w:rFonts w:ascii="Calibri" w:hAnsi="Calibri"/>
          <w:color w:val="2C7A87"/>
          <w:sz w:val="24"/>
        </w:rPr>
        <w:t>Discovery, dispatch and audit</w:t>
      </w:r>
    </w:p>
    <w:tbl>
      <w:tblPr>
        <w:tblStyle w:val="LightGrid-Accent1"/>
        <w:tblW w:type="auto" w:w="0"/>
        <w:jc w:val="left"/>
        <w:tblLook w:firstColumn="1" w:firstRow="1" w:lastColumn="0" w:lastRow="0" w:noHBand="0" w:noVBand="1" w:val="04A0"/>
      </w:tblPr>
      <w:tblGrid>
        <w:gridCol w:w="4824"/>
        <w:gridCol w:w="4824"/>
      </w:tblGrid>
      <w:tr>
        <w:tc>
          <w:tcPr>
            <w:tcW w:type="dxa" w:w="1872"/>
          </w:tcPr>
          <w:p>
            <w:pPr>
              <w:spacing w:after="40"/>
            </w:pPr>
            <w:r/>
            <w:r>
              <w:rPr>
                <w:b/>
                <w:color w:val="12211F"/>
                <w:sz w:val="17"/>
              </w:rPr>
              <w:t>Capability</w:t>
            </w:r>
          </w:p>
        </w:tc>
        <w:tc>
          <w:tcPr>
            <w:tcW w:type="dxa" w:w="7344"/>
          </w:tcPr>
          <w:p>
            <w:pPr>
              <w:spacing w:after="40"/>
            </w:pPr>
            <w:r/>
            <w:r>
              <w:rPr>
                <w:b/>
                <w:color w:val="12211F"/>
                <w:sz w:val="17"/>
              </w:rPr>
              <w:t>Detail</w:t>
            </w:r>
          </w:p>
        </w:tc>
      </w:tr>
      <w:tr>
        <w:tc>
          <w:tcPr>
            <w:tcW w:type="dxa" w:w="1872"/>
          </w:tcPr>
          <w:p>
            <w:pPr>
              <w:spacing w:after="40"/>
            </w:pPr>
            <w:r/>
            <w:r>
              <w:rPr>
                <w:b w:val="0"/>
                <w:color w:val="3F5654"/>
                <w:sz w:val="17"/>
              </w:rPr>
              <w:t>Recurring detection</w:t>
            </w:r>
          </w:p>
        </w:tc>
        <w:tc>
          <w:tcPr>
            <w:tcW w:type="dxa" w:w="7344"/>
          </w:tcPr>
          <w:p>
            <w:pPr>
              <w:spacing w:after="40"/>
            </w:pPr>
            <w:r/>
            <w:r>
              <w:rPr>
                <w:b w:val="0"/>
                <w:color w:val="3F5654"/>
                <w:sz w:val="17"/>
              </w:rPr>
              <w:t>157 transactions to 12 recurring charges, across descriptor drift</w:t>
            </w:r>
          </w:p>
        </w:tc>
      </w:tr>
      <w:tr>
        <w:tc>
          <w:tcPr>
            <w:tcW w:type="dxa" w:w="1872"/>
          </w:tcPr>
          <w:p>
            <w:pPr>
              <w:spacing w:after="40"/>
            </w:pPr>
            <w:r/>
            <w:r>
              <w:rPr>
                <w:b w:val="0"/>
                <w:color w:val="3F5654"/>
                <w:sz w:val="17"/>
              </w:rPr>
              <w:t>Asset inference</w:t>
            </w:r>
          </w:p>
        </w:tc>
        <w:tc>
          <w:tcPr>
            <w:tcW w:type="dxa" w:w="7344"/>
          </w:tcPr>
          <w:p>
            <w:pPr>
              <w:spacing w:after="40"/>
            </w:pPr>
            <w:r/>
            <w:r>
              <w:rPr>
                <w:b w:val="0"/>
                <w:color w:val="3F5654"/>
                <w:sz w:val="17"/>
              </w:rPr>
              <w:t>Three assets found in no document: life policy, property policy, safe deposit box</w:t>
            </w:r>
          </w:p>
        </w:tc>
      </w:tr>
      <w:tr>
        <w:tc>
          <w:tcPr>
            <w:tcW w:type="dxa" w:w="1872"/>
          </w:tcPr>
          <w:p>
            <w:pPr>
              <w:spacing w:after="40"/>
            </w:pPr>
            <w:r/>
            <w:r>
              <w:rPr>
                <w:b w:val="0"/>
                <w:color w:val="3F5654"/>
                <w:sz w:val="17"/>
              </w:rPr>
              <w:t>Suppression</w:t>
            </w:r>
          </w:p>
        </w:tc>
        <w:tc>
          <w:tcPr>
            <w:tcW w:type="dxa" w:w="7344"/>
          </w:tcPr>
          <w:p>
            <w:pPr>
              <w:spacing w:after="40"/>
            </w:pPr>
            <w:r/>
            <w:r>
              <w:rPr>
                <w:b w:val="0"/>
                <w:color w:val="3F5654"/>
                <w:sz w:val="17"/>
              </w:rPr>
              <w:t>An insurer already in the ledger is deliberately not re-reported</w:t>
            </w:r>
          </w:p>
        </w:tc>
      </w:tr>
      <w:tr>
        <w:tc>
          <w:tcPr>
            <w:tcW w:type="dxa" w:w="1872"/>
          </w:tcPr>
          <w:p>
            <w:pPr>
              <w:spacing w:after="40"/>
            </w:pPr>
            <w:r/>
            <w:r>
              <w:rPr>
                <w:b w:val="0"/>
                <w:color w:val="3F5654"/>
                <w:sz w:val="17"/>
              </w:rPr>
              <w:t>Hold detection</w:t>
            </w:r>
          </w:p>
        </w:tc>
        <w:tc>
          <w:tcPr>
            <w:tcW w:type="dxa" w:w="7344"/>
          </w:tcPr>
          <w:p>
            <w:pPr>
              <w:spacing w:after="40"/>
            </w:pPr>
            <w:r/>
            <w:r>
              <w:rPr>
                <w:b w:val="0"/>
                <w:color w:val="3F5654"/>
                <w:sz w:val="17"/>
              </w:rPr>
              <w:t>Classifies the line from audio; transcription starts only when a person speaks</w:t>
            </w:r>
          </w:p>
        </w:tc>
      </w:tr>
      <w:tr>
        <w:tc>
          <w:tcPr>
            <w:tcW w:type="dxa" w:w="1872"/>
          </w:tcPr>
          <w:p>
            <w:pPr>
              <w:spacing w:after="40"/>
            </w:pPr>
            <w:r/>
            <w:r>
              <w:rPr>
                <w:b w:val="0"/>
                <w:color w:val="3F5654"/>
                <w:sz w:val="17"/>
              </w:rPr>
              <w:t>Bounded speech</w:t>
            </w:r>
          </w:p>
        </w:tc>
        <w:tc>
          <w:tcPr>
            <w:tcW w:type="dxa" w:w="7344"/>
          </w:tcPr>
          <w:p>
            <w:pPr>
              <w:spacing w:after="40"/>
            </w:pPr>
            <w:r/>
            <w:r>
              <w:rPr>
                <w:b w:val="0"/>
                <w:color w:val="3F5654"/>
                <w:sz w:val="17"/>
              </w:rPr>
              <w:t>The agent may state only verified facts within the prepared scope</w:t>
            </w:r>
          </w:p>
        </w:tc>
      </w:tr>
      <w:tr>
        <w:tc>
          <w:tcPr>
            <w:tcW w:type="dxa" w:w="1872"/>
          </w:tcPr>
          <w:p>
            <w:pPr>
              <w:spacing w:after="40"/>
            </w:pPr>
            <w:r/>
            <w:r>
              <w:rPr>
                <w:b w:val="0"/>
                <w:color w:val="3F5654"/>
                <w:sz w:val="17"/>
              </w:rPr>
              <w:t>Dependency replay</w:t>
            </w:r>
          </w:p>
        </w:tc>
        <w:tc>
          <w:tcPr>
            <w:tcW w:type="dxa" w:w="7344"/>
          </w:tcPr>
          <w:p>
            <w:pPr>
              <w:spacing w:after="40"/>
            </w:pPr>
            <w:r/>
            <w:r>
              <w:rPr>
                <w:b w:val="0"/>
                <w:color w:val="3F5654"/>
                <w:sz w:val="17"/>
              </w:rPr>
              <w:t>Supersede one fact; only decisions that read it are re-evaluated</w:t>
            </w:r>
          </w:p>
        </w:tc>
      </w:tr>
      <w:tr>
        <w:tc>
          <w:tcPr>
            <w:tcW w:type="dxa" w:w="1872"/>
          </w:tcPr>
          <w:p>
            <w:pPr>
              <w:spacing w:after="40"/>
            </w:pPr>
            <w:r/>
            <w:r>
              <w:rPr>
                <w:b w:val="0"/>
                <w:color w:val="3F5654"/>
                <w:sz w:val="17"/>
              </w:rPr>
              <w:t>Approval gate</w:t>
            </w:r>
          </w:p>
        </w:tc>
        <w:tc>
          <w:tcPr>
            <w:tcW w:type="dxa" w:w="7344"/>
          </w:tcPr>
          <w:p>
            <w:pPr>
              <w:spacing w:after="40"/>
            </w:pPr>
            <w:r/>
            <w:r>
              <w:rPr>
                <w:b w:val="0"/>
                <w:color w:val="3F5654"/>
                <w:sz w:val="17"/>
              </w:rPr>
              <w:t>Keyed on reversibility and blast radius, not a blanket confidence score</w:t>
            </w:r>
          </w:p>
        </w:tc>
      </w:tr>
    </w:tbl>
    <w:p/>
    <w:p>
      <w:r>
        <w:br w:type="page"/>
      </w:r>
    </w:p>
    <w:p>
      <w:pPr>
        <w:pStyle w:val="Heading1"/>
      </w:pPr>
      <w:r>
        <w:rPr>
          <w:rFonts w:ascii="Georgia" w:hAnsi="Georgia"/>
          <w:color w:val="12211F"/>
          <w:sz w:val="38"/>
        </w:rPr>
        <w:t>What has actually run</w:t>
      </w:r>
    </w:p>
    <w:p>
      <w:r>
        <w:rPr>
          <w:i w:val="0"/>
          <w:color w:val="3F5654"/>
          <w:sz w:val="22"/>
        </w:rPr>
        <w:t>Measured means a command in the repository produced it. Modelled means it was calculated from assumptions that are named. Nothing here is an estimate presented as an observation.</w:t>
      </w:r>
    </w:p>
    <w:tbl>
      <w:tblPr>
        <w:tblStyle w:val="LightGrid-Accent1"/>
        <w:tblW w:type="auto" w:w="0"/>
        <w:jc w:val="left"/>
        <w:tblLook w:firstColumn="1" w:firstRow="1" w:lastColumn="0" w:lastRow="0" w:noHBand="0" w:noVBand="1" w:val="04A0"/>
      </w:tblPr>
      <w:tblGrid>
        <w:gridCol w:w="3216"/>
        <w:gridCol w:w="3216"/>
        <w:gridCol w:w="3216"/>
      </w:tblGrid>
      <w:tr>
        <w:tc>
          <w:tcPr>
            <w:tcW w:type="dxa" w:w="2304"/>
          </w:tcPr>
          <w:p>
            <w:pPr>
              <w:spacing w:after="40"/>
            </w:pPr>
            <w:r/>
            <w:r>
              <w:rPr>
                <w:b/>
                <w:color w:val="12211F"/>
                <w:sz w:val="17"/>
              </w:rPr>
              <w:t>Result</w:t>
            </w:r>
          </w:p>
        </w:tc>
        <w:tc>
          <w:tcPr>
            <w:tcW w:type="dxa" w:w="3456"/>
          </w:tcPr>
          <w:p>
            <w:pPr>
              <w:spacing w:after="40"/>
            </w:pPr>
            <w:r/>
            <w:r>
              <w:rPr>
                <w:b/>
                <w:color w:val="12211F"/>
                <w:sz w:val="17"/>
              </w:rPr>
              <w:t>Figure</w:t>
            </w:r>
          </w:p>
        </w:tc>
        <w:tc>
          <w:tcPr>
            <w:tcW w:type="dxa" w:w="3456"/>
          </w:tcPr>
          <w:p>
            <w:pPr>
              <w:spacing w:after="40"/>
            </w:pPr>
            <w:r/>
            <w:r>
              <w:rPr>
                <w:b/>
                <w:color w:val="12211F"/>
                <w:sz w:val="17"/>
              </w:rPr>
              <w:t>Evidence</w:t>
            </w:r>
          </w:p>
        </w:tc>
      </w:tr>
      <w:tr>
        <w:tc>
          <w:tcPr>
            <w:tcW w:type="dxa" w:w="2304"/>
          </w:tcPr>
          <w:p>
            <w:pPr>
              <w:spacing w:after="40"/>
            </w:pPr>
            <w:r/>
            <w:r>
              <w:rPr>
                <w:b w:val="0"/>
                <w:color w:val="3F5654"/>
                <w:sz w:val="17"/>
              </w:rPr>
              <w:t>Live extraction</w:t>
            </w:r>
          </w:p>
        </w:tc>
        <w:tc>
          <w:tcPr>
            <w:tcW w:type="dxa" w:w="3456"/>
          </w:tcPr>
          <w:p>
            <w:pPr>
              <w:spacing w:after="40"/>
            </w:pPr>
            <w:r/>
            <w:r>
              <w:rPr>
                <w:b w:val="0"/>
                <w:color w:val="3F5654"/>
                <w:sz w:val="17"/>
              </w:rPr>
              <w:t>41 proposed, 41 verified, 0 quarantined</w:t>
            </w:r>
          </w:p>
        </w:tc>
        <w:tc>
          <w:tcPr>
            <w:tcW w:type="dxa" w:w="3456"/>
          </w:tcPr>
          <w:p>
            <w:pPr>
              <w:spacing w:after="40"/>
            </w:pPr>
            <w:r/>
            <w:r>
              <w:rPr>
                <w:b w:val="0"/>
                <w:color w:val="3F5654"/>
                <w:sz w:val="17"/>
              </w:rPr>
              <w:t>measured, replayable</w:t>
            </w:r>
          </w:p>
        </w:tc>
      </w:tr>
      <w:tr>
        <w:tc>
          <w:tcPr>
            <w:tcW w:type="dxa" w:w="2304"/>
          </w:tcPr>
          <w:p>
            <w:pPr>
              <w:spacing w:after="40"/>
            </w:pPr>
            <w:r/>
            <w:r>
              <w:rPr>
                <w:b w:val="0"/>
                <w:color w:val="3F5654"/>
                <w:sz w:val="17"/>
              </w:rPr>
              <w:t>Extraction cost</w:t>
            </w:r>
          </w:p>
        </w:tc>
        <w:tc>
          <w:tcPr>
            <w:tcW w:type="dxa" w:w="3456"/>
          </w:tcPr>
          <w:p>
            <w:pPr>
              <w:spacing w:after="40"/>
            </w:pPr>
            <w:r/>
            <w:r>
              <w:rPr>
                <w:b w:val="0"/>
                <w:color w:val="3F5654"/>
                <w:sz w:val="17"/>
              </w:rPr>
              <w:t>$0.08 for nine documents</w:t>
            </w:r>
          </w:p>
        </w:tc>
        <w:tc>
          <w:tcPr>
            <w:tcW w:type="dxa" w:w="3456"/>
          </w:tcPr>
          <w:p>
            <w:pPr>
              <w:spacing w:after="40"/>
            </w:pPr>
            <w:r/>
            <w:r>
              <w:rPr>
                <w:b w:val="0"/>
                <w:color w:val="3F5654"/>
                <w:sz w:val="17"/>
              </w:rPr>
              <w:t>measured</w:t>
            </w:r>
          </w:p>
        </w:tc>
      </w:tr>
      <w:tr>
        <w:tc>
          <w:tcPr>
            <w:tcW w:type="dxa" w:w="2304"/>
          </w:tcPr>
          <w:p>
            <w:pPr>
              <w:spacing w:after="40"/>
            </w:pPr>
            <w:r/>
            <w:r>
              <w:rPr>
                <w:b w:val="0"/>
                <w:color w:val="3F5654"/>
                <w:sz w:val="17"/>
              </w:rPr>
              <w:t>Field mappings</w:t>
            </w:r>
          </w:p>
        </w:tc>
        <w:tc>
          <w:tcPr>
            <w:tcW w:type="dxa" w:w="3456"/>
          </w:tcPr>
          <w:p>
            <w:pPr>
              <w:spacing w:after="40"/>
            </w:pPr>
            <w:r/>
            <w:r>
              <w:rPr>
                <w:b w:val="0"/>
                <w:color w:val="3F5654"/>
                <w:sz w:val="17"/>
              </w:rPr>
              <w:t>171 verified across 4 forms, 3 refused</w:t>
            </w:r>
          </w:p>
        </w:tc>
        <w:tc>
          <w:tcPr>
            <w:tcW w:type="dxa" w:w="3456"/>
          </w:tcPr>
          <w:p>
            <w:pPr>
              <w:spacing w:after="40"/>
            </w:pPr>
            <w:r/>
            <w:r>
              <w:rPr>
                <w:b w:val="0"/>
                <w:color w:val="3F5654"/>
                <w:sz w:val="17"/>
              </w:rPr>
              <w:t>measured</w:t>
            </w:r>
          </w:p>
        </w:tc>
      </w:tr>
      <w:tr>
        <w:tc>
          <w:tcPr>
            <w:tcW w:type="dxa" w:w="2304"/>
          </w:tcPr>
          <w:p>
            <w:pPr>
              <w:spacing w:after="40"/>
            </w:pPr>
            <w:r/>
            <w:r>
              <w:rPr>
                <w:b w:val="0"/>
                <w:color w:val="3F5654"/>
                <w:sz w:val="17"/>
              </w:rPr>
              <w:t>Anvil chain</w:t>
            </w:r>
          </w:p>
        </w:tc>
        <w:tc>
          <w:tcPr>
            <w:tcW w:type="dxa" w:w="3456"/>
          </w:tcPr>
          <w:p>
            <w:pPr>
              <w:spacing w:after="40"/>
            </w:pPr>
            <w:r/>
            <w:r>
              <w:rPr>
                <w:b w:val="0"/>
                <w:color w:val="3F5654"/>
                <w:sz w:val="17"/>
              </w:rPr>
              <w:t>139/139 bindings, values read back</w:t>
            </w:r>
          </w:p>
        </w:tc>
        <w:tc>
          <w:tcPr>
            <w:tcW w:type="dxa" w:w="3456"/>
          </w:tcPr>
          <w:p>
            <w:pPr>
              <w:spacing w:after="40"/>
            </w:pPr>
            <w:r/>
            <w:r>
              <w:rPr>
                <w:b w:val="0"/>
                <w:color w:val="3F5654"/>
                <w:sz w:val="17"/>
              </w:rPr>
              <w:t>measured, live API</w:t>
            </w:r>
          </w:p>
        </w:tc>
      </w:tr>
      <w:tr>
        <w:tc>
          <w:tcPr>
            <w:tcW w:type="dxa" w:w="2304"/>
          </w:tcPr>
          <w:p>
            <w:pPr>
              <w:spacing w:after="40"/>
            </w:pPr>
            <w:r/>
            <w:r>
              <w:rPr>
                <w:b w:val="0"/>
                <w:color w:val="3F5654"/>
                <w:sz w:val="17"/>
              </w:rPr>
              <w:t>Filled PDFs</w:t>
            </w:r>
          </w:p>
        </w:tc>
        <w:tc>
          <w:tcPr>
            <w:tcW w:type="dxa" w:w="3456"/>
          </w:tcPr>
          <w:p>
            <w:pPr>
              <w:spacing w:after="40"/>
            </w:pPr>
            <w:r/>
            <w:r>
              <w:rPr>
                <w:b w:val="0"/>
                <w:color w:val="3F5654"/>
                <w:sz w:val="17"/>
              </w:rPr>
              <w:t>14 documents, 270 fields</w:t>
            </w:r>
          </w:p>
        </w:tc>
        <w:tc>
          <w:tcPr>
            <w:tcW w:type="dxa" w:w="3456"/>
          </w:tcPr>
          <w:p>
            <w:pPr>
              <w:spacing w:after="40"/>
            </w:pPr>
            <w:r/>
            <w:r>
              <w:rPr>
                <w:b w:val="0"/>
                <w:color w:val="3F5654"/>
                <w:sz w:val="17"/>
              </w:rPr>
              <w:t>measured</w:t>
            </w:r>
          </w:p>
        </w:tc>
      </w:tr>
      <w:tr>
        <w:tc>
          <w:tcPr>
            <w:tcW w:type="dxa" w:w="2304"/>
          </w:tcPr>
          <w:p>
            <w:pPr>
              <w:spacing w:after="40"/>
            </w:pPr>
            <w:r/>
            <w:r>
              <w:rPr>
                <w:b w:val="0"/>
                <w:color w:val="3F5654"/>
                <w:sz w:val="17"/>
              </w:rPr>
              <w:t>Forms correctly withheld</w:t>
            </w:r>
          </w:p>
        </w:tc>
        <w:tc>
          <w:tcPr>
            <w:tcW w:type="dxa" w:w="3456"/>
          </w:tcPr>
          <w:p>
            <w:pPr>
              <w:spacing w:after="40"/>
            </w:pPr>
            <w:r/>
            <w:r>
              <w:rPr>
                <w:b w:val="0"/>
                <w:color w:val="3F5654"/>
                <w:sz w:val="17"/>
              </w:rPr>
              <w:t>6 of 20 pairs, each with a reason</w:t>
            </w:r>
          </w:p>
        </w:tc>
        <w:tc>
          <w:tcPr>
            <w:tcW w:type="dxa" w:w="3456"/>
          </w:tcPr>
          <w:p>
            <w:pPr>
              <w:spacing w:after="40"/>
            </w:pPr>
            <w:r/>
            <w:r>
              <w:rPr>
                <w:b w:val="0"/>
                <w:color w:val="3F5654"/>
                <w:sz w:val="17"/>
              </w:rPr>
              <w:t>measured</w:t>
            </w:r>
          </w:p>
        </w:tc>
      </w:tr>
      <w:tr>
        <w:tc>
          <w:tcPr>
            <w:tcW w:type="dxa" w:w="2304"/>
          </w:tcPr>
          <w:p>
            <w:pPr>
              <w:spacing w:after="40"/>
            </w:pPr>
            <w:r/>
            <w:r>
              <w:rPr>
                <w:b w:val="0"/>
                <w:color w:val="3F5654"/>
                <w:sz w:val="17"/>
              </w:rPr>
              <w:t>Model agreement</w:t>
            </w:r>
          </w:p>
        </w:tc>
        <w:tc>
          <w:tcPr>
            <w:tcW w:type="dxa" w:w="3456"/>
          </w:tcPr>
          <w:p>
            <w:pPr>
              <w:spacing w:after="40"/>
            </w:pPr>
            <w:r/>
            <w:r>
              <w:rPr>
                <w:b w:val="0"/>
                <w:color w:val="3F5654"/>
                <w:sz w:val="17"/>
              </w:rPr>
              <w:t>87 of 94; 3 of 7 disagreements were real errors</w:t>
            </w:r>
          </w:p>
        </w:tc>
        <w:tc>
          <w:tcPr>
            <w:tcW w:type="dxa" w:w="3456"/>
          </w:tcPr>
          <w:p>
            <w:pPr>
              <w:spacing w:after="40"/>
            </w:pPr>
            <w:r/>
            <w:r>
              <w:rPr>
                <w:b w:val="0"/>
                <w:color w:val="3F5654"/>
                <w:sz w:val="17"/>
              </w:rPr>
              <w:t>measured</w:t>
            </w:r>
          </w:p>
        </w:tc>
      </w:tr>
      <w:tr>
        <w:tc>
          <w:tcPr>
            <w:tcW w:type="dxa" w:w="2304"/>
          </w:tcPr>
          <w:p>
            <w:pPr>
              <w:spacing w:after="40"/>
            </w:pPr>
            <w:r/>
            <w:r>
              <w:rPr>
                <w:b w:val="0"/>
                <w:color w:val="3F5654"/>
                <w:sz w:val="17"/>
              </w:rPr>
              <w:t>Recurring bleed found</w:t>
            </w:r>
          </w:p>
        </w:tc>
        <w:tc>
          <w:tcPr>
            <w:tcW w:type="dxa" w:w="3456"/>
          </w:tcPr>
          <w:p>
            <w:pPr>
              <w:spacing w:after="40"/>
            </w:pPr>
            <w:r/>
            <w:r>
              <w:rPr>
                <w:b w:val="0"/>
                <w:color w:val="3F5654"/>
                <w:sz w:val="17"/>
              </w:rPr>
              <w:t>$11,963/yr still leaving the estate</w:t>
            </w:r>
          </w:p>
        </w:tc>
        <w:tc>
          <w:tcPr>
            <w:tcW w:type="dxa" w:w="3456"/>
          </w:tcPr>
          <w:p>
            <w:pPr>
              <w:spacing w:after="40"/>
            </w:pPr>
            <w:r/>
            <w:r>
              <w:rPr>
                <w:b w:val="0"/>
                <w:color w:val="3F5654"/>
                <w:sz w:val="17"/>
              </w:rPr>
              <w:t>measured</w:t>
            </w:r>
          </w:p>
        </w:tc>
      </w:tr>
    </w:tbl>
    <w:p/>
    <w:p>
      <w:pPr>
        <w:pStyle w:val="Heading2"/>
      </w:pPr>
      <w:r>
        <w:rPr>
          <w:rFonts w:ascii="Calibri" w:hAnsi="Calibri"/>
          <w:color w:val="2C7A87"/>
          <w:sz w:val="24"/>
        </w:rPr>
        <w:t>The result we are least comfortable with, stated anyway</w:t>
      </w:r>
    </w:p>
    <w:p>
      <w:r>
        <w:rPr>
          <w:i w:val="0"/>
          <w:color w:val="3F5654"/>
          <w:sz w:val="20"/>
        </w:rPr>
        <w:t>Two mappings passed verification and were still wrong. One put the signer's name in “Title, if applicable”; the other answered “are the assets in the custody of the court?” from a field meaning “does a court case exist”. Both cited labels genuinely printed on the form. Locating a quote proves the model did not invent its evidence; it does not prove the reasoning is right. We found these by rendering the filled PDF and reading it, and they are recorded as adjudications rather than quietly fixed.</w:t>
      </w:r>
    </w:p>
    <w:p>
      <w:r>
        <w:br w:type="page"/>
      </w:r>
    </w:p>
    <w:p>
      <w:pPr>
        <w:pStyle w:val="Heading1"/>
      </w:pPr>
      <w:r>
        <w:rPr>
          <w:rFonts w:ascii="Georgia" w:hAnsi="Georgia"/>
          <w:color w:val="12211F"/>
          <w:sz w:val="38"/>
        </w:rPr>
        <w:t>Financial model</w:t>
      </w:r>
    </w:p>
    <w:p>
      <w:r>
        <w:rPr>
          <w:i w:val="0"/>
          <w:color w:val="3F5654"/>
          <w:sz w:val="22"/>
        </w:rPr>
        <w:t>The widely-quoted 570–900 hours is what the family spends. Alix's P&amp;L turns on what its specialist spends. Reducing the first is marketing; reducing the second is margin. This model addresses the second and says so.</w:t>
      </w:r>
    </w:p>
    <w:p>
      <w:pPr>
        <w:pStyle w:val="Heading2"/>
      </w:pPr>
      <w:r>
        <w:rPr>
          <w:rFonts w:ascii="Calibri" w:hAnsi="Calibri"/>
          <w:color w:val="2C7A87"/>
          <w:sz w:val="24"/>
        </w:rPr>
        <w:t>Inputs</w:t>
      </w:r>
    </w:p>
    <w:tbl>
      <w:tblPr>
        <w:tblStyle w:val="LightGrid-Accent1"/>
        <w:tblW w:type="auto" w:w="0"/>
        <w:jc w:val="left"/>
        <w:tblLook w:firstColumn="1" w:firstRow="1" w:lastColumn="0" w:lastRow="0" w:noHBand="0" w:noVBand="1" w:val="04A0"/>
      </w:tblPr>
      <w:tblGrid>
        <w:gridCol w:w="3216"/>
        <w:gridCol w:w="3216"/>
        <w:gridCol w:w="3216"/>
      </w:tblGrid>
      <w:tr>
        <w:tc>
          <w:tcPr>
            <w:tcW w:type="dxa" w:w="2448"/>
          </w:tcPr>
          <w:p>
            <w:pPr>
              <w:spacing w:after="40"/>
            </w:pPr>
            <w:r/>
            <w:r>
              <w:rPr>
                <w:b/>
                <w:color w:val="12211F"/>
                <w:sz w:val="17"/>
              </w:rPr>
              <w:t>Input</w:t>
            </w:r>
          </w:p>
        </w:tc>
        <w:tc>
          <w:tcPr>
            <w:tcW w:type="dxa" w:w="1296"/>
          </w:tcPr>
          <w:p>
            <w:pPr>
              <w:spacing w:after="40"/>
            </w:pPr>
            <w:r/>
            <w:r>
              <w:rPr>
                <w:b/>
                <w:color w:val="12211F"/>
                <w:sz w:val="17"/>
              </w:rPr>
              <w:t>Value</w:t>
            </w:r>
          </w:p>
        </w:tc>
        <w:tc>
          <w:tcPr>
            <w:tcW w:type="dxa" w:w="5472"/>
          </w:tcPr>
          <w:p>
            <w:pPr>
              <w:spacing w:after="40"/>
            </w:pPr>
            <w:r/>
            <w:r>
              <w:rPr>
                <w:b/>
                <w:color w:val="12211F"/>
                <w:sz w:val="17"/>
              </w:rPr>
              <w:t>Status</w:t>
            </w:r>
          </w:p>
        </w:tc>
      </w:tr>
      <w:tr>
        <w:tc>
          <w:tcPr>
            <w:tcW w:type="dxa" w:w="2448"/>
          </w:tcPr>
          <w:p>
            <w:pPr>
              <w:spacing w:after="40"/>
            </w:pPr>
            <w:r/>
            <w:r>
              <w:rPr>
                <w:b w:val="0"/>
                <w:color w:val="3F5654"/>
                <w:sz w:val="17"/>
              </w:rPr>
              <w:t>Fully-loaded specialist hour</w:t>
            </w:r>
          </w:p>
        </w:tc>
        <w:tc>
          <w:tcPr>
            <w:tcW w:type="dxa" w:w="1296"/>
          </w:tcPr>
          <w:p>
            <w:pPr>
              <w:spacing w:after="40"/>
            </w:pPr>
            <w:r/>
            <w:r>
              <w:rPr>
                <w:b w:val="0"/>
                <w:color w:val="3F5654"/>
                <w:sz w:val="17"/>
              </w:rPr>
              <w:t>$70</w:t>
            </w:r>
          </w:p>
        </w:tc>
        <w:tc>
          <w:tcPr>
            <w:tcW w:type="dxa" w:w="5472"/>
          </w:tcPr>
          <w:p>
            <w:pPr>
              <w:spacing w:after="40"/>
            </w:pPr>
            <w:r/>
            <w:r>
              <w:rPr>
                <w:b w:val="0"/>
                <w:color w:val="3F5654"/>
                <w:sz w:val="17"/>
              </w:rPr>
              <w:t>Alix's own figure — salary, benefits, payroll tax. Corroborated: BLS OEWS wages against the ECEC benefit load give $58 low, $74 central, $102 high</w:t>
            </w:r>
          </w:p>
        </w:tc>
      </w:tr>
      <w:tr>
        <w:tc>
          <w:tcPr>
            <w:tcW w:type="dxa" w:w="2448"/>
          </w:tcPr>
          <w:p>
            <w:pPr>
              <w:spacing w:after="40"/>
            </w:pPr>
            <w:r/>
            <w:r>
              <w:rPr>
                <w:b w:val="0"/>
                <w:color w:val="3F5654"/>
                <w:sz w:val="17"/>
              </w:rPr>
              <w:t>Alix revenue per estate</w:t>
            </w:r>
          </w:p>
        </w:tc>
        <w:tc>
          <w:tcPr>
            <w:tcW w:type="dxa" w:w="1296"/>
          </w:tcPr>
          <w:p>
            <w:pPr>
              <w:spacing w:after="40"/>
            </w:pPr>
            <w:r/>
            <w:r>
              <w:rPr>
                <w:b w:val="0"/>
                <w:color w:val="3F5654"/>
                <w:sz w:val="17"/>
              </w:rPr>
              <w:t>$9,000 min</w:t>
            </w:r>
          </w:p>
        </w:tc>
        <w:tc>
          <w:tcPr>
            <w:tcW w:type="dxa" w:w="5472"/>
          </w:tcPr>
          <w:p>
            <w:pPr>
              <w:spacing w:after="40"/>
            </w:pPr>
            <w:r/>
            <w:r>
              <w:rPr>
                <w:b w:val="0"/>
                <w:color w:val="3F5654"/>
                <w:sz w:val="17"/>
              </w:rPr>
              <w:t>Alix published pricing — 1% of assets, $9,000 floor</w:t>
            </w:r>
          </w:p>
        </w:tc>
      </w:tr>
      <w:tr>
        <w:tc>
          <w:tcPr>
            <w:tcW w:type="dxa" w:w="2448"/>
          </w:tcPr>
          <w:p>
            <w:pPr>
              <w:spacing w:after="40"/>
            </w:pPr>
            <w:r/>
            <w:r>
              <w:rPr>
                <w:b w:val="0"/>
                <w:color w:val="3F5654"/>
                <w:sz w:val="17"/>
              </w:rPr>
              <w:t>Probate referee commission (CA)</w:t>
            </w:r>
          </w:p>
        </w:tc>
        <w:tc>
          <w:tcPr>
            <w:tcW w:type="dxa" w:w="1296"/>
          </w:tcPr>
          <w:p>
            <w:pPr>
              <w:spacing w:after="40"/>
            </w:pPr>
            <w:r/>
            <w:r>
              <w:rPr>
                <w:b w:val="0"/>
                <w:color w:val="3F5654"/>
                <w:sz w:val="17"/>
              </w:rPr>
              <w:t>0.1%</w:t>
            </w:r>
          </w:p>
        </w:tc>
        <w:tc>
          <w:tcPr>
            <w:tcW w:type="dxa" w:w="5472"/>
          </w:tcPr>
          <w:p>
            <w:pPr>
              <w:spacing w:after="40"/>
            </w:pPr>
            <w:r/>
            <w:r>
              <w:rPr>
                <w:b w:val="0"/>
                <w:color w:val="3F5654"/>
                <w:sz w:val="17"/>
              </w:rPr>
              <w:t>Cal. Prob. Code 8961(a); min $75, max $10,000</w:t>
            </w:r>
          </w:p>
        </w:tc>
      </w:tr>
      <w:tr>
        <w:tc>
          <w:tcPr>
            <w:tcW w:type="dxa" w:w="2448"/>
          </w:tcPr>
          <w:p>
            <w:pPr>
              <w:spacing w:after="40"/>
            </w:pPr>
            <w:r/>
            <w:r>
              <w:rPr>
                <w:b w:val="0"/>
                <w:color w:val="3F5654"/>
                <w:sz w:val="17"/>
              </w:rPr>
              <w:t>Hours to onboard one form today</w:t>
            </w:r>
          </w:p>
        </w:tc>
        <w:tc>
          <w:tcPr>
            <w:tcW w:type="dxa" w:w="1296"/>
          </w:tcPr>
          <w:p>
            <w:pPr>
              <w:spacing w:after="40"/>
            </w:pPr>
            <w:r/>
            <w:r>
              <w:rPr>
                <w:b w:val="0"/>
                <w:color w:val="3F5654"/>
                <w:sz w:val="17"/>
              </w:rPr>
              <w:t>4 h</w:t>
            </w:r>
          </w:p>
        </w:tc>
        <w:tc>
          <w:tcPr>
            <w:tcW w:type="dxa" w:w="5472"/>
          </w:tcPr>
          <w:p>
            <w:pPr>
              <w:spacing w:after="40"/>
            </w:pPr>
            <w:r/>
            <w:r>
              <w:rPr>
                <w:b w:val="0"/>
                <w:color w:val="3F5654"/>
                <w:sz w:val="17"/>
              </w:rPr>
              <w:t>ASSUMPTION. Nobody has been timed — the single figure most worth replacing</w:t>
            </w:r>
          </w:p>
        </w:tc>
      </w:tr>
    </w:tbl>
    <w:p/>
    <w:p>
      <w:pPr>
        <w:pStyle w:val="Heading2"/>
      </w:pPr>
      <w:r>
        <w:rPr>
          <w:rFonts w:ascii="Calibri" w:hAnsi="Calibri"/>
          <w:color w:val="2C7A87"/>
          <w:sz w:val="24"/>
        </w:rPr>
        <w:t>Per-estate saving, at $70/hr</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3744"/>
          </w:tcPr>
          <w:p>
            <w:pPr>
              <w:spacing w:after="40"/>
            </w:pPr>
            <w:r/>
            <w:r>
              <w:rPr>
                <w:b/>
                <w:color w:val="12211F"/>
                <w:sz w:val="17"/>
              </w:rPr>
              <w:t>Lever</w:t>
            </w:r>
          </w:p>
        </w:tc>
        <w:tc>
          <w:tcPr>
            <w:tcW w:type="dxa" w:w="1296"/>
          </w:tcPr>
          <w:p>
            <w:pPr>
              <w:spacing w:after="40"/>
            </w:pPr>
            <w:r/>
            <w:r>
              <w:rPr>
                <w:b/>
                <w:color w:val="12211F"/>
                <w:sz w:val="17"/>
              </w:rPr>
              <w:t>Basis</w:t>
            </w:r>
          </w:p>
        </w:tc>
        <w:tc>
          <w:tcPr>
            <w:tcW w:type="dxa" w:w="1152"/>
          </w:tcPr>
          <w:p>
            <w:pPr>
              <w:spacing w:after="40"/>
            </w:pPr>
            <w:r/>
            <w:r>
              <w:rPr>
                <w:b/>
                <w:color w:val="12211F"/>
                <w:sz w:val="17"/>
              </w:rPr>
              <w:t>Hours</w:t>
            </w:r>
          </w:p>
        </w:tc>
        <w:tc>
          <w:tcPr>
            <w:tcW w:type="dxa" w:w="3024"/>
          </w:tcPr>
          <w:p>
            <w:pPr>
              <w:spacing w:after="40"/>
            </w:pPr>
            <w:r/>
            <w:r>
              <w:rPr>
                <w:b/>
                <w:color w:val="12211F"/>
                <w:sz w:val="17"/>
              </w:rPr>
              <w:t>Value</w:t>
            </w:r>
          </w:p>
        </w:tc>
      </w:tr>
      <w:tr>
        <w:tc>
          <w:tcPr>
            <w:tcW w:type="dxa" w:w="3744"/>
          </w:tcPr>
          <w:p>
            <w:pPr>
              <w:spacing w:after="40"/>
            </w:pPr>
            <w:r/>
            <w:r>
              <w:rPr>
                <w:b w:val="0"/>
                <w:color w:val="3F5654"/>
                <w:sz w:val="17"/>
              </w:rPr>
              <w:t>Form filling — 270 fields auto-populated</w:t>
            </w:r>
          </w:p>
        </w:tc>
        <w:tc>
          <w:tcPr>
            <w:tcW w:type="dxa" w:w="1296"/>
          </w:tcPr>
          <w:p>
            <w:pPr>
              <w:spacing w:after="40"/>
            </w:pPr>
            <w:r/>
            <w:r>
              <w:rPr>
                <w:b w:val="0"/>
                <w:color w:val="3F5654"/>
                <w:sz w:val="17"/>
              </w:rPr>
              <w:t>measured</w:t>
            </w:r>
          </w:p>
        </w:tc>
        <w:tc>
          <w:tcPr>
            <w:tcW w:type="dxa" w:w="1152"/>
          </w:tcPr>
          <w:p>
            <w:pPr>
              <w:spacing w:after="40"/>
            </w:pPr>
            <w:r/>
            <w:r>
              <w:rPr>
                <w:b w:val="0"/>
                <w:color w:val="3F5654"/>
                <w:sz w:val="17"/>
              </w:rPr>
              <w:t>2 – 4</w:t>
            </w:r>
          </w:p>
        </w:tc>
        <w:tc>
          <w:tcPr>
            <w:tcW w:type="dxa" w:w="3024"/>
          </w:tcPr>
          <w:p>
            <w:pPr>
              <w:spacing w:after="40"/>
            </w:pPr>
            <w:r/>
            <w:r>
              <w:rPr>
                <w:b w:val="0"/>
                <w:color w:val="3F5654"/>
                <w:sz w:val="17"/>
              </w:rPr>
              <w:t>$140 – 280</w:t>
            </w:r>
          </w:p>
        </w:tc>
      </w:tr>
      <w:tr>
        <w:tc>
          <w:tcPr>
            <w:tcW w:type="dxa" w:w="3744"/>
          </w:tcPr>
          <w:p>
            <w:pPr>
              <w:spacing w:after="40"/>
            </w:pPr>
            <w:r/>
            <w:r>
              <w:rPr>
                <w:b w:val="0"/>
                <w:color w:val="3F5654"/>
                <w:sz w:val="17"/>
              </w:rPr>
              <w:t>Hold time — 34 min per call, ~6 calls</w:t>
            </w:r>
          </w:p>
        </w:tc>
        <w:tc>
          <w:tcPr>
            <w:tcW w:type="dxa" w:w="1296"/>
          </w:tcPr>
          <w:p>
            <w:pPr>
              <w:spacing w:after="40"/>
            </w:pPr>
            <w:r/>
            <w:r>
              <w:rPr>
                <w:b w:val="0"/>
                <w:color w:val="3F5654"/>
                <w:sz w:val="17"/>
              </w:rPr>
              <w:t>modelled</w:t>
            </w:r>
          </w:p>
        </w:tc>
        <w:tc>
          <w:tcPr>
            <w:tcW w:type="dxa" w:w="1152"/>
          </w:tcPr>
          <w:p>
            <w:pPr>
              <w:spacing w:after="40"/>
            </w:pPr>
            <w:r/>
            <w:r>
              <w:rPr>
                <w:b w:val="0"/>
                <w:color w:val="3F5654"/>
                <w:sz w:val="17"/>
              </w:rPr>
              <w:t>3.4</w:t>
            </w:r>
          </w:p>
        </w:tc>
        <w:tc>
          <w:tcPr>
            <w:tcW w:type="dxa" w:w="3024"/>
          </w:tcPr>
          <w:p>
            <w:pPr>
              <w:spacing w:after="40"/>
            </w:pPr>
            <w:r/>
            <w:r>
              <w:rPr>
                <w:b w:val="0"/>
                <w:color w:val="3F5654"/>
                <w:sz w:val="17"/>
              </w:rPr>
              <w:t>$238</w:t>
            </w:r>
          </w:p>
        </w:tc>
      </w:tr>
      <w:tr>
        <w:tc>
          <w:tcPr>
            <w:tcW w:type="dxa" w:w="3744"/>
          </w:tcPr>
          <w:p>
            <w:pPr>
              <w:spacing w:after="40"/>
            </w:pPr>
            <w:r/>
            <w:r>
              <w:rPr>
                <w:b w:val="0"/>
                <w:color w:val="3F5654"/>
                <w:sz w:val="17"/>
              </w:rPr>
              <w:t>Jurisdiction lookup instead of research</w:t>
            </w:r>
          </w:p>
        </w:tc>
        <w:tc>
          <w:tcPr>
            <w:tcW w:type="dxa" w:w="1296"/>
          </w:tcPr>
          <w:p>
            <w:pPr>
              <w:spacing w:after="40"/>
            </w:pPr>
            <w:r/>
            <w:r>
              <w:rPr>
                <w:b w:val="0"/>
                <w:color w:val="3F5654"/>
                <w:sz w:val="17"/>
              </w:rPr>
              <w:t>modelled</w:t>
            </w:r>
          </w:p>
        </w:tc>
        <w:tc>
          <w:tcPr>
            <w:tcW w:type="dxa" w:w="1152"/>
          </w:tcPr>
          <w:p>
            <w:pPr>
              <w:spacing w:after="40"/>
            </w:pPr>
            <w:r/>
            <w:r>
              <w:rPr>
                <w:b w:val="0"/>
                <w:color w:val="3F5654"/>
                <w:sz w:val="17"/>
              </w:rPr>
              <w:t>2 – 5</w:t>
            </w:r>
          </w:p>
        </w:tc>
        <w:tc>
          <w:tcPr>
            <w:tcW w:type="dxa" w:w="3024"/>
          </w:tcPr>
          <w:p>
            <w:pPr>
              <w:spacing w:after="40"/>
            </w:pPr>
            <w:r/>
            <w:r>
              <w:rPr>
                <w:b w:val="0"/>
                <w:color w:val="3F5654"/>
                <w:sz w:val="17"/>
              </w:rPr>
              <w:t>$140 – 350</w:t>
            </w:r>
          </w:p>
        </w:tc>
      </w:tr>
      <w:tr>
        <w:tc>
          <w:tcPr>
            <w:tcW w:type="dxa" w:w="3744"/>
          </w:tcPr>
          <w:p>
            <w:pPr>
              <w:spacing w:after="40"/>
            </w:pPr>
            <w:r/>
            <w:r>
              <w:rPr>
                <w:b w:val="0"/>
                <w:color w:val="3F5654"/>
                <w:sz w:val="17"/>
              </w:rPr>
              <w:t>Recurring-charge shutdown</w:t>
            </w:r>
          </w:p>
        </w:tc>
        <w:tc>
          <w:tcPr>
            <w:tcW w:type="dxa" w:w="1296"/>
          </w:tcPr>
          <w:p>
            <w:pPr>
              <w:spacing w:after="40"/>
            </w:pPr>
            <w:r/>
            <w:r>
              <w:rPr>
                <w:b w:val="0"/>
                <w:color w:val="3F5654"/>
                <w:sz w:val="17"/>
              </w:rPr>
              <w:t>measured</w:t>
            </w:r>
          </w:p>
        </w:tc>
        <w:tc>
          <w:tcPr>
            <w:tcW w:type="dxa" w:w="1152"/>
          </w:tcPr>
          <w:p>
            <w:pPr>
              <w:spacing w:after="40"/>
            </w:pPr>
            <w:r/>
            <w:r>
              <w:rPr>
                <w:b w:val="0"/>
                <w:color w:val="3F5654"/>
                <w:sz w:val="17"/>
              </w:rPr>
              <w:t>1 – 2</w:t>
            </w:r>
          </w:p>
        </w:tc>
        <w:tc>
          <w:tcPr>
            <w:tcW w:type="dxa" w:w="3024"/>
          </w:tcPr>
          <w:p>
            <w:pPr>
              <w:spacing w:after="40"/>
            </w:pPr>
            <w:r/>
            <w:r>
              <w:rPr>
                <w:b w:val="0"/>
                <w:color w:val="3F5654"/>
                <w:sz w:val="17"/>
              </w:rPr>
              <w:t>$70 – 140</w:t>
            </w:r>
          </w:p>
        </w:tc>
      </w:tr>
      <w:tr>
        <w:tc>
          <w:tcPr>
            <w:tcW w:type="dxa" w:w="3744"/>
          </w:tcPr>
          <w:p>
            <w:pPr>
              <w:spacing w:after="40"/>
            </w:pPr>
            <w:r/>
            <w:r>
              <w:rPr>
                <w:b w:val="0"/>
                <w:color w:val="3F5654"/>
                <w:sz w:val="17"/>
              </w:rPr>
              <w:t>Appraisal — cash self-appraised under 8901</w:t>
            </w:r>
          </w:p>
        </w:tc>
        <w:tc>
          <w:tcPr>
            <w:tcW w:type="dxa" w:w="1296"/>
          </w:tcPr>
          <w:p>
            <w:pPr>
              <w:spacing w:after="40"/>
            </w:pPr>
            <w:r/>
            <w:r>
              <w:rPr>
                <w:b w:val="0"/>
                <w:color w:val="3F5654"/>
                <w:sz w:val="17"/>
              </w:rPr>
              <w:t>measured</w:t>
            </w:r>
          </w:p>
        </w:tc>
        <w:tc>
          <w:tcPr>
            <w:tcW w:type="dxa" w:w="1152"/>
          </w:tcPr>
          <w:p>
            <w:pPr>
              <w:spacing w:after="40"/>
            </w:pPr>
            <w:r/>
            <w:r>
              <w:rPr>
                <w:b w:val="0"/>
                <w:color w:val="3F5654"/>
                <w:sz w:val="17"/>
              </w:rPr>
              <w:t>—</w:t>
            </w:r>
          </w:p>
        </w:tc>
        <w:tc>
          <w:tcPr>
            <w:tcW w:type="dxa" w:w="3024"/>
          </w:tcPr>
          <w:p>
            <w:pPr>
              <w:spacing w:after="40"/>
            </w:pPr>
            <w:r/>
            <w:r>
              <w:rPr>
                <w:b w:val="0"/>
                <w:color w:val="3F5654"/>
                <w:sz w:val="17"/>
              </w:rPr>
              <w:t>$460 on the LA sample</w:t>
            </w:r>
          </w:p>
        </w:tc>
      </w:tr>
      <w:tr>
        <w:tc>
          <w:tcPr>
            <w:tcW w:type="dxa" w:w="3744"/>
          </w:tcPr>
          <w:p>
            <w:pPr>
              <w:spacing w:after="40"/>
            </w:pPr>
            <w:r/>
            <w:r>
              <w:rPr>
                <w:b w:val="0"/>
                <w:color w:val="3F5654"/>
                <w:sz w:val="17"/>
              </w:rPr>
              <w:t>Total per estate</w:t>
            </w:r>
          </w:p>
        </w:tc>
        <w:tc>
          <w:tcPr>
            <w:tcW w:type="dxa" w:w="1296"/>
          </w:tcPr>
          <w:p>
            <w:pPr>
              <w:spacing w:after="40"/>
            </w:pPr>
            <w:r/>
            <w:r>
              <w:rPr>
                <w:b w:val="0"/>
                <w:color w:val="3F5654"/>
                <w:sz w:val="17"/>
              </w:rPr>
            </w:r>
          </w:p>
        </w:tc>
        <w:tc>
          <w:tcPr>
            <w:tcW w:type="dxa" w:w="1152"/>
          </w:tcPr>
          <w:p>
            <w:pPr>
              <w:spacing w:after="40"/>
            </w:pPr>
            <w:r/>
            <w:r>
              <w:rPr>
                <w:b w:val="0"/>
                <w:color w:val="3F5654"/>
                <w:sz w:val="17"/>
              </w:rPr>
              <w:t>8 – 14</w:t>
            </w:r>
          </w:p>
        </w:tc>
        <w:tc>
          <w:tcPr>
            <w:tcW w:type="dxa" w:w="3024"/>
          </w:tcPr>
          <w:p>
            <w:pPr>
              <w:spacing w:after="40"/>
            </w:pPr>
            <w:r/>
            <w:r>
              <w:rPr>
                <w:b w:val="0"/>
                <w:color w:val="3F5654"/>
                <w:sz w:val="17"/>
              </w:rPr>
              <w:t>$560 – 980</w:t>
            </w:r>
          </w:p>
        </w:tc>
      </w:tr>
    </w:tbl>
    <w:p/>
    <w:p>
      <w:r>
        <w:rPr>
          <w:i w:val="0"/>
          <w:color w:val="3F5654"/>
          <w:sz w:val="20"/>
        </w:rPr>
        <w:t>Against $9,000 of revenue that is 6 to 11 points of gross margin, on a business whose alternative is hiring. And it compounds: the same rule pack and field map serve every subsequent estate in that jurisdiction at no additional cost, so the second estate in a county is cheaper than the first and the hundredth is nearly free.</w:t>
      </w:r>
    </w:p>
    <w:p>
      <w:pPr>
        <w:pStyle w:val="Heading2"/>
      </w:pPr>
      <w:r>
        <w:rPr>
          <w:rFonts w:ascii="Calibri" w:hAnsi="Calibri"/>
          <w:color w:val="2C7A87"/>
          <w:sz w:val="24"/>
        </w:rPr>
        <w:t>The larger number: form onboarding</w:t>
      </w:r>
    </w:p>
    <w:tbl>
      <w:tblPr>
        <w:tblStyle w:val="LightGrid-Accent1"/>
        <w:tblW w:type="auto" w:w="0"/>
        <w:jc w:val="left"/>
        <w:tblLook w:firstColumn="1" w:firstRow="1" w:lastColumn="0" w:lastRow="0" w:noHBand="0" w:noVBand="1" w:val="04A0"/>
      </w:tblPr>
      <w:tblGrid>
        <w:gridCol w:w="1930"/>
        <w:gridCol w:w="1930"/>
        <w:gridCol w:w="1930"/>
        <w:gridCol w:w="1930"/>
        <w:gridCol w:w="1930"/>
      </w:tblGrid>
      <w:tr>
        <w:tc>
          <w:tcPr>
            <w:tcW w:type="dxa" w:w="1440"/>
          </w:tcPr>
          <w:p>
            <w:pPr>
              <w:spacing w:after="40"/>
            </w:pPr>
            <w:r/>
            <w:r>
              <w:rPr>
                <w:b/>
                <w:color w:val="12211F"/>
                <w:sz w:val="17"/>
              </w:rPr>
              <w:t>Scenario</w:t>
            </w:r>
          </w:p>
        </w:tc>
        <w:tc>
          <w:tcPr>
            <w:tcW w:type="dxa" w:w="1008"/>
          </w:tcPr>
          <w:p>
            <w:pPr>
              <w:spacing w:after="40"/>
            </w:pPr>
            <w:r/>
            <w:r>
              <w:rPr>
                <w:b/>
                <w:color w:val="12211F"/>
                <w:sz w:val="17"/>
              </w:rPr>
              <w:t>New forms</w:t>
            </w:r>
          </w:p>
        </w:tc>
        <w:tc>
          <w:tcPr>
            <w:tcW w:type="dxa" w:w="2016"/>
          </w:tcPr>
          <w:p>
            <w:pPr>
              <w:spacing w:after="40"/>
            </w:pPr>
            <w:r/>
            <w:r>
              <w:rPr>
                <w:b/>
                <w:color w:val="12211F"/>
                <w:sz w:val="17"/>
              </w:rPr>
              <w:t>Specialist time today</w:t>
            </w:r>
          </w:p>
        </w:tc>
        <w:tc>
          <w:tcPr>
            <w:tcW w:type="dxa" w:w="1296"/>
          </w:tcPr>
          <w:p>
            <w:pPr>
              <w:spacing w:after="40"/>
            </w:pPr>
            <w:r/>
            <w:r>
              <w:rPr>
                <w:b/>
                <w:color w:val="12211F"/>
                <w:sz w:val="17"/>
              </w:rPr>
              <w:t>Cost at $70</w:t>
            </w:r>
          </w:p>
        </w:tc>
        <w:tc>
          <w:tcPr>
            <w:tcW w:type="dxa" w:w="3456"/>
          </w:tcPr>
          <w:p>
            <w:pPr>
              <w:spacing w:after="40"/>
            </w:pPr>
            <w:r/>
            <w:r>
              <w:rPr>
                <w:b/>
                <w:color w:val="12211F"/>
                <w:sz w:val="17"/>
              </w:rPr>
              <w:t>With Warrant</w:t>
            </w:r>
          </w:p>
        </w:tc>
      </w:tr>
      <w:tr>
        <w:tc>
          <w:tcPr>
            <w:tcW w:type="dxa" w:w="1440"/>
          </w:tcPr>
          <w:p>
            <w:pPr>
              <w:spacing w:after="40"/>
            </w:pPr>
            <w:r/>
            <w:r>
              <w:rPr>
                <w:b w:val="0"/>
                <w:color w:val="3F5654"/>
                <w:sz w:val="17"/>
              </w:rPr>
              <w:t>Pilot</w:t>
            </w:r>
          </w:p>
        </w:tc>
        <w:tc>
          <w:tcPr>
            <w:tcW w:type="dxa" w:w="1008"/>
          </w:tcPr>
          <w:p>
            <w:pPr>
              <w:spacing w:after="40"/>
            </w:pPr>
            <w:r/>
            <w:r>
              <w:rPr>
                <w:b w:val="0"/>
                <w:color w:val="3F5654"/>
                <w:sz w:val="17"/>
              </w:rPr>
              <w:t>20</w:t>
            </w:r>
          </w:p>
        </w:tc>
        <w:tc>
          <w:tcPr>
            <w:tcW w:type="dxa" w:w="2016"/>
          </w:tcPr>
          <w:p>
            <w:pPr>
              <w:spacing w:after="40"/>
            </w:pPr>
            <w:r/>
            <w:r>
              <w:rPr>
                <w:b w:val="0"/>
                <w:color w:val="3F5654"/>
                <w:sz w:val="17"/>
              </w:rPr>
              <w:t>80 h</w:t>
            </w:r>
          </w:p>
        </w:tc>
        <w:tc>
          <w:tcPr>
            <w:tcW w:type="dxa" w:w="1296"/>
          </w:tcPr>
          <w:p>
            <w:pPr>
              <w:spacing w:after="40"/>
            </w:pPr>
            <w:r/>
            <w:r>
              <w:rPr>
                <w:b w:val="0"/>
                <w:color w:val="3F5654"/>
                <w:sz w:val="17"/>
              </w:rPr>
              <w:t>$5,600</w:t>
            </w:r>
          </w:p>
        </w:tc>
        <w:tc>
          <w:tcPr>
            <w:tcW w:type="dxa" w:w="3456"/>
          </w:tcPr>
          <w:p>
            <w:pPr>
              <w:spacing w:after="40"/>
            </w:pPr>
            <w:r/>
            <w:r>
              <w:rPr>
                <w:b w:val="0"/>
                <w:color w:val="3F5654"/>
                <w:sz w:val="17"/>
              </w:rPr>
              <w:t>model cost + review</w:t>
            </w:r>
          </w:p>
        </w:tc>
      </w:tr>
      <w:tr>
        <w:tc>
          <w:tcPr>
            <w:tcW w:type="dxa" w:w="1440"/>
          </w:tcPr>
          <w:p>
            <w:pPr>
              <w:spacing w:after="40"/>
            </w:pPr>
            <w:r/>
            <w:r>
              <w:rPr>
                <w:b w:val="0"/>
                <w:color w:val="3F5654"/>
                <w:sz w:val="17"/>
              </w:rPr>
              <w:t>Year one</w:t>
            </w:r>
          </w:p>
        </w:tc>
        <w:tc>
          <w:tcPr>
            <w:tcW w:type="dxa" w:w="1008"/>
          </w:tcPr>
          <w:p>
            <w:pPr>
              <w:spacing w:after="40"/>
            </w:pPr>
            <w:r/>
            <w:r>
              <w:rPr>
                <w:b w:val="0"/>
                <w:color w:val="3F5654"/>
                <w:sz w:val="17"/>
              </w:rPr>
              <w:t>200</w:t>
            </w:r>
          </w:p>
        </w:tc>
        <w:tc>
          <w:tcPr>
            <w:tcW w:type="dxa" w:w="2016"/>
          </w:tcPr>
          <w:p>
            <w:pPr>
              <w:spacing w:after="40"/>
            </w:pPr>
            <w:r/>
            <w:r>
              <w:rPr>
                <w:b w:val="0"/>
                <w:color w:val="3F5654"/>
                <w:sz w:val="17"/>
              </w:rPr>
              <w:t>800 h</w:t>
            </w:r>
          </w:p>
        </w:tc>
        <w:tc>
          <w:tcPr>
            <w:tcW w:type="dxa" w:w="1296"/>
          </w:tcPr>
          <w:p>
            <w:pPr>
              <w:spacing w:after="40"/>
            </w:pPr>
            <w:r/>
            <w:r>
              <w:rPr>
                <w:b w:val="0"/>
                <w:color w:val="3F5654"/>
                <w:sz w:val="17"/>
              </w:rPr>
              <w:t>$56,000</w:t>
            </w:r>
          </w:p>
        </w:tc>
        <w:tc>
          <w:tcPr>
            <w:tcW w:type="dxa" w:w="3456"/>
          </w:tcPr>
          <w:p>
            <w:pPr>
              <w:spacing w:after="40"/>
            </w:pPr>
            <w:r/>
            <w:r>
              <w:rPr>
                <w:b w:val="0"/>
                <w:color w:val="3F5654"/>
                <w:sz w:val="17"/>
              </w:rPr>
              <w:t>model cost + review</w:t>
            </w:r>
          </w:p>
        </w:tc>
      </w:tr>
      <w:tr>
        <w:tc>
          <w:tcPr>
            <w:tcW w:type="dxa" w:w="1440"/>
          </w:tcPr>
          <w:p>
            <w:pPr>
              <w:spacing w:after="40"/>
            </w:pPr>
            <w:r/>
            <w:r>
              <w:rPr>
                <w:b w:val="0"/>
                <w:color w:val="3F5654"/>
                <w:sz w:val="17"/>
              </w:rPr>
              <w:t>At scale</w:t>
            </w:r>
          </w:p>
        </w:tc>
        <w:tc>
          <w:tcPr>
            <w:tcW w:type="dxa" w:w="1008"/>
          </w:tcPr>
          <w:p>
            <w:pPr>
              <w:spacing w:after="40"/>
            </w:pPr>
            <w:r/>
            <w:r>
              <w:rPr>
                <w:b w:val="0"/>
                <w:color w:val="3F5654"/>
                <w:sz w:val="17"/>
              </w:rPr>
              <w:t>1,000</w:t>
            </w:r>
          </w:p>
        </w:tc>
        <w:tc>
          <w:tcPr>
            <w:tcW w:type="dxa" w:w="2016"/>
          </w:tcPr>
          <w:p>
            <w:pPr>
              <w:spacing w:after="40"/>
            </w:pPr>
            <w:r/>
            <w:r>
              <w:rPr>
                <w:b w:val="0"/>
                <w:color w:val="3F5654"/>
                <w:sz w:val="17"/>
              </w:rPr>
              <w:t>4,000 h</w:t>
            </w:r>
          </w:p>
        </w:tc>
        <w:tc>
          <w:tcPr>
            <w:tcW w:type="dxa" w:w="1296"/>
          </w:tcPr>
          <w:p>
            <w:pPr>
              <w:spacing w:after="40"/>
            </w:pPr>
            <w:r/>
            <w:r>
              <w:rPr>
                <w:b w:val="0"/>
                <w:color w:val="3F5654"/>
                <w:sz w:val="17"/>
              </w:rPr>
              <w:t>$280,000</w:t>
            </w:r>
          </w:p>
        </w:tc>
        <w:tc>
          <w:tcPr>
            <w:tcW w:type="dxa" w:w="3456"/>
          </w:tcPr>
          <w:p>
            <w:pPr>
              <w:spacing w:after="40"/>
            </w:pPr>
            <w:r/>
            <w:r>
              <w:rPr>
                <w:b w:val="0"/>
                <w:color w:val="3F5654"/>
                <w:sz w:val="17"/>
              </w:rPr>
              <w:t>model cost + review</w:t>
            </w:r>
          </w:p>
        </w:tc>
      </w:tr>
    </w:tbl>
    <w:p/>
    <w:p>
      <w:r>
        <w:rPr>
          <w:i/>
          <w:color w:val="7A908E"/>
          <w:sz w:val="17"/>
        </w:rPr>
        <w:t>Four hours per form is an assumption, not a measurement. Ian is the right person to replace it, and one sentence from him makes this table defensible in a way our own benchmark never will be.</w:t>
      </w:r>
    </w:p>
    <w:p>
      <w:pPr>
        <w:pStyle w:val="Heading2"/>
      </w:pPr>
      <w:r>
        <w:rPr>
          <w:rFonts w:ascii="Calibri" w:hAnsi="Calibri"/>
          <w:color w:val="2C7A87"/>
          <w:sz w:val="24"/>
        </w:rPr>
        <w:t>Three-year shape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3168"/>
          </w:tcPr>
          <w:p>
            <w:pPr>
              <w:spacing w:after="40"/>
            </w:pPr>
            <w:r/>
            <w:r>
              <w:rPr>
                <w:b/>
                <w:color w:val="12211F"/>
                <w:sz w:val="17"/>
              </w:rPr>
            </w:r>
          </w:p>
        </w:tc>
        <w:tc>
          <w:tcPr>
            <w:tcW w:type="dxa" w:w="2016"/>
          </w:tcPr>
          <w:p>
            <w:pPr>
              <w:spacing w:after="40"/>
            </w:pPr>
            <w:r/>
            <w:r>
              <w:rPr>
                <w:b/>
                <w:color w:val="12211F"/>
                <w:sz w:val="17"/>
              </w:rPr>
              <w:t>Year 1</w:t>
            </w:r>
          </w:p>
        </w:tc>
        <w:tc>
          <w:tcPr>
            <w:tcW w:type="dxa" w:w="2016"/>
          </w:tcPr>
          <w:p>
            <w:pPr>
              <w:spacing w:after="40"/>
            </w:pPr>
            <w:r/>
            <w:r>
              <w:rPr>
                <w:b/>
                <w:color w:val="12211F"/>
                <w:sz w:val="17"/>
              </w:rPr>
              <w:t>Year 2</w:t>
            </w:r>
          </w:p>
        </w:tc>
        <w:tc>
          <w:tcPr>
            <w:tcW w:type="dxa" w:w="2016"/>
          </w:tcPr>
          <w:p>
            <w:pPr>
              <w:spacing w:after="40"/>
            </w:pPr>
            <w:r/>
            <w:r>
              <w:rPr>
                <w:b/>
                <w:color w:val="12211F"/>
                <w:sz w:val="17"/>
              </w:rPr>
              <w:t>Year 3</w:t>
            </w:r>
          </w:p>
        </w:tc>
      </w:tr>
      <w:tr>
        <w:tc>
          <w:tcPr>
            <w:tcW w:type="dxa" w:w="3168"/>
          </w:tcPr>
          <w:p>
            <w:pPr>
              <w:spacing w:after="40"/>
            </w:pPr>
            <w:r/>
            <w:r>
              <w:rPr>
                <w:b w:val="0"/>
                <w:color w:val="3F5654"/>
                <w:sz w:val="17"/>
              </w:rPr>
              <w:t>Estates processed</w:t>
            </w:r>
          </w:p>
        </w:tc>
        <w:tc>
          <w:tcPr>
            <w:tcW w:type="dxa" w:w="2016"/>
          </w:tcPr>
          <w:p>
            <w:pPr>
              <w:spacing w:after="40"/>
            </w:pPr>
            <w:r/>
            <w:r>
              <w:rPr>
                <w:b w:val="0"/>
                <w:color w:val="3F5654"/>
                <w:sz w:val="17"/>
              </w:rPr>
              <w:t>250</w:t>
            </w:r>
          </w:p>
        </w:tc>
        <w:tc>
          <w:tcPr>
            <w:tcW w:type="dxa" w:w="2016"/>
          </w:tcPr>
          <w:p>
            <w:pPr>
              <w:spacing w:after="40"/>
            </w:pPr>
            <w:r/>
            <w:r>
              <w:rPr>
                <w:b w:val="0"/>
                <w:color w:val="3F5654"/>
                <w:sz w:val="17"/>
              </w:rPr>
              <w:t>1,200</w:t>
            </w:r>
          </w:p>
        </w:tc>
        <w:tc>
          <w:tcPr>
            <w:tcW w:type="dxa" w:w="2016"/>
          </w:tcPr>
          <w:p>
            <w:pPr>
              <w:spacing w:after="40"/>
            </w:pPr>
            <w:r/>
            <w:r>
              <w:rPr>
                <w:b w:val="0"/>
                <w:color w:val="3F5654"/>
                <w:sz w:val="17"/>
              </w:rPr>
              <w:t>4,000</w:t>
            </w:r>
          </w:p>
        </w:tc>
      </w:tr>
      <w:tr>
        <w:tc>
          <w:tcPr>
            <w:tcW w:type="dxa" w:w="3168"/>
          </w:tcPr>
          <w:p>
            <w:pPr>
              <w:spacing w:after="40"/>
            </w:pPr>
            <w:r/>
            <w:r>
              <w:rPr>
                <w:b w:val="0"/>
                <w:color w:val="3F5654"/>
                <w:sz w:val="17"/>
              </w:rPr>
              <w:t>Per-estate saving at $770 midpoint</w:t>
            </w:r>
          </w:p>
        </w:tc>
        <w:tc>
          <w:tcPr>
            <w:tcW w:type="dxa" w:w="2016"/>
          </w:tcPr>
          <w:p>
            <w:pPr>
              <w:spacing w:after="40"/>
            </w:pPr>
            <w:r/>
            <w:r>
              <w:rPr>
                <w:b w:val="0"/>
                <w:color w:val="3F5654"/>
                <w:sz w:val="17"/>
              </w:rPr>
              <w:t>$192,500</w:t>
            </w:r>
          </w:p>
        </w:tc>
        <w:tc>
          <w:tcPr>
            <w:tcW w:type="dxa" w:w="2016"/>
          </w:tcPr>
          <w:p>
            <w:pPr>
              <w:spacing w:after="40"/>
            </w:pPr>
            <w:r/>
            <w:r>
              <w:rPr>
                <w:b w:val="0"/>
                <w:color w:val="3F5654"/>
                <w:sz w:val="17"/>
              </w:rPr>
              <w:t>$924,000</w:t>
            </w:r>
          </w:p>
        </w:tc>
        <w:tc>
          <w:tcPr>
            <w:tcW w:type="dxa" w:w="2016"/>
          </w:tcPr>
          <w:p>
            <w:pPr>
              <w:spacing w:after="40"/>
            </w:pPr>
            <w:r/>
            <w:r>
              <w:rPr>
                <w:b w:val="0"/>
                <w:color w:val="3F5654"/>
                <w:sz w:val="17"/>
              </w:rPr>
              <w:t>$3,080,000</w:t>
            </w:r>
          </w:p>
        </w:tc>
      </w:tr>
      <w:tr>
        <w:tc>
          <w:tcPr>
            <w:tcW w:type="dxa" w:w="3168"/>
          </w:tcPr>
          <w:p>
            <w:pPr>
              <w:spacing w:after="40"/>
            </w:pPr>
            <w:r/>
            <w:r>
              <w:rPr>
                <w:b w:val="0"/>
                <w:color w:val="3F5654"/>
                <w:sz w:val="17"/>
              </w:rPr>
              <w:t>New forms onboarded that year</w:t>
            </w:r>
          </w:p>
        </w:tc>
        <w:tc>
          <w:tcPr>
            <w:tcW w:type="dxa" w:w="2016"/>
          </w:tcPr>
          <w:p>
            <w:pPr>
              <w:spacing w:after="40"/>
            </w:pPr>
            <w:r/>
            <w:r>
              <w:rPr>
                <w:b w:val="0"/>
                <w:color w:val="3F5654"/>
                <w:sz w:val="17"/>
              </w:rPr>
              <w:t>200</w:t>
            </w:r>
          </w:p>
        </w:tc>
        <w:tc>
          <w:tcPr>
            <w:tcW w:type="dxa" w:w="2016"/>
          </w:tcPr>
          <w:p>
            <w:pPr>
              <w:spacing w:after="40"/>
            </w:pPr>
            <w:r/>
            <w:r>
              <w:rPr>
                <w:b w:val="0"/>
                <w:color w:val="3F5654"/>
                <w:sz w:val="17"/>
              </w:rPr>
              <w:t>400</w:t>
            </w:r>
          </w:p>
        </w:tc>
        <w:tc>
          <w:tcPr>
            <w:tcW w:type="dxa" w:w="2016"/>
          </w:tcPr>
          <w:p>
            <w:pPr>
              <w:spacing w:after="40"/>
            </w:pPr>
            <w:r/>
            <w:r>
              <w:rPr>
                <w:b w:val="0"/>
                <w:color w:val="3F5654"/>
                <w:sz w:val="17"/>
              </w:rPr>
              <w:t>900</w:t>
            </w:r>
          </w:p>
        </w:tc>
      </w:tr>
      <w:tr>
        <w:tc>
          <w:tcPr>
            <w:tcW w:type="dxa" w:w="3168"/>
          </w:tcPr>
          <w:p>
            <w:pPr>
              <w:spacing w:after="40"/>
            </w:pPr>
            <w:r/>
            <w:r>
              <w:rPr>
                <w:b w:val="0"/>
                <w:color w:val="3F5654"/>
                <w:sz w:val="17"/>
              </w:rPr>
              <w:t>Onboarding saving at $70/hr</w:t>
            </w:r>
          </w:p>
        </w:tc>
        <w:tc>
          <w:tcPr>
            <w:tcW w:type="dxa" w:w="2016"/>
          </w:tcPr>
          <w:p>
            <w:pPr>
              <w:spacing w:after="40"/>
            </w:pPr>
            <w:r/>
            <w:r>
              <w:rPr>
                <w:b w:val="0"/>
                <w:color w:val="3F5654"/>
                <w:sz w:val="17"/>
              </w:rPr>
              <w:t>$56,000</w:t>
            </w:r>
          </w:p>
        </w:tc>
        <w:tc>
          <w:tcPr>
            <w:tcW w:type="dxa" w:w="2016"/>
          </w:tcPr>
          <w:p>
            <w:pPr>
              <w:spacing w:after="40"/>
            </w:pPr>
            <w:r/>
            <w:r>
              <w:rPr>
                <w:b w:val="0"/>
                <w:color w:val="3F5654"/>
                <w:sz w:val="17"/>
              </w:rPr>
              <w:t>$112,000</w:t>
            </w:r>
          </w:p>
        </w:tc>
        <w:tc>
          <w:tcPr>
            <w:tcW w:type="dxa" w:w="2016"/>
          </w:tcPr>
          <w:p>
            <w:pPr>
              <w:spacing w:after="40"/>
            </w:pPr>
            <w:r/>
            <w:r>
              <w:rPr>
                <w:b w:val="0"/>
                <w:color w:val="3F5654"/>
                <w:sz w:val="17"/>
              </w:rPr>
              <w:t>$252,000</w:t>
            </w:r>
          </w:p>
        </w:tc>
      </w:tr>
      <w:tr>
        <w:tc>
          <w:tcPr>
            <w:tcW w:type="dxa" w:w="3168"/>
          </w:tcPr>
          <w:p>
            <w:pPr>
              <w:spacing w:after="40"/>
            </w:pPr>
            <w:r/>
            <w:r>
              <w:rPr>
                <w:b w:val="0"/>
                <w:color w:val="3F5654"/>
                <w:sz w:val="17"/>
              </w:rPr>
              <w:t>Total</w:t>
            </w:r>
          </w:p>
        </w:tc>
        <w:tc>
          <w:tcPr>
            <w:tcW w:type="dxa" w:w="2016"/>
          </w:tcPr>
          <w:p>
            <w:pPr>
              <w:spacing w:after="40"/>
            </w:pPr>
            <w:r/>
            <w:r>
              <w:rPr>
                <w:b w:val="0"/>
                <w:color w:val="3F5654"/>
                <w:sz w:val="17"/>
              </w:rPr>
              <w:t>$248,500</w:t>
            </w:r>
          </w:p>
        </w:tc>
        <w:tc>
          <w:tcPr>
            <w:tcW w:type="dxa" w:w="2016"/>
          </w:tcPr>
          <w:p>
            <w:pPr>
              <w:spacing w:after="40"/>
            </w:pPr>
            <w:r/>
            <w:r>
              <w:rPr>
                <w:b w:val="0"/>
                <w:color w:val="3F5654"/>
                <w:sz w:val="17"/>
              </w:rPr>
              <w:t>$1,036,000</w:t>
            </w:r>
          </w:p>
        </w:tc>
        <w:tc>
          <w:tcPr>
            <w:tcW w:type="dxa" w:w="2016"/>
          </w:tcPr>
          <w:p>
            <w:pPr>
              <w:spacing w:after="40"/>
            </w:pPr>
            <w:r/>
            <w:r>
              <w:rPr>
                <w:b w:val="0"/>
                <w:color w:val="3F5654"/>
                <w:sz w:val="17"/>
              </w:rPr>
              <w:t>$3,332,000</w:t>
            </w:r>
          </w:p>
        </w:tc>
      </w:tr>
      <w:tr>
        <w:tc>
          <w:tcPr>
            <w:tcW w:type="dxa" w:w="3168"/>
          </w:tcPr>
          <w:p>
            <w:pPr>
              <w:spacing w:after="40"/>
            </w:pPr>
            <w:r/>
            <w:r>
              <w:rPr>
                <w:b w:val="0"/>
                <w:color w:val="3F5654"/>
                <w:sz w:val="17"/>
              </w:rPr>
              <w:t>Jurisdictions covered</w:t>
            </w:r>
          </w:p>
        </w:tc>
        <w:tc>
          <w:tcPr>
            <w:tcW w:type="dxa" w:w="2016"/>
          </w:tcPr>
          <w:p>
            <w:pPr>
              <w:spacing w:after="40"/>
            </w:pPr>
            <w:r/>
            <w:r>
              <w:rPr>
                <w:b w:val="0"/>
                <w:color w:val="3F5654"/>
                <w:sz w:val="17"/>
              </w:rPr>
              <w:t>4 states</w:t>
            </w:r>
          </w:p>
        </w:tc>
        <w:tc>
          <w:tcPr>
            <w:tcW w:type="dxa" w:w="2016"/>
          </w:tcPr>
          <w:p>
            <w:pPr>
              <w:spacing w:after="40"/>
            </w:pPr>
            <w:r/>
            <w:r>
              <w:rPr>
                <w:b w:val="0"/>
                <w:color w:val="3F5654"/>
                <w:sz w:val="17"/>
              </w:rPr>
              <w:t>15 states</w:t>
            </w:r>
          </w:p>
        </w:tc>
        <w:tc>
          <w:tcPr>
            <w:tcW w:type="dxa" w:w="2016"/>
          </w:tcPr>
          <w:p>
            <w:pPr>
              <w:spacing w:after="40"/>
            </w:pPr>
            <w:r/>
            <w:r>
              <w:rPr>
                <w:b w:val="0"/>
                <w:color w:val="3F5654"/>
                <w:sz w:val="17"/>
              </w:rPr>
              <w:t>40 states</w:t>
            </w:r>
          </w:p>
        </w:tc>
      </w:tr>
    </w:tbl>
    <w:p/>
    <w:p>
      <w:r>
        <w:rPr>
          <w:i/>
          <w:color w:val="7A908E"/>
          <w:sz w:val="17"/>
        </w:rPr>
        <w:t>Estate volumes are illustrative. Alix does not publish how many estates it settles and we will not invent the figure — replace the top row and every row below follows arithmetically. The saving rate and the hourly cost are the parts we stand behind.</w:t>
      </w:r>
    </w:p>
    <w:p>
      <w:r>
        <w:br w:type="page"/>
      </w:r>
    </w:p>
    <w:p>
      <w:pPr>
        <w:pStyle w:val="Heading1"/>
      </w:pPr>
      <w:r>
        <w:rPr>
          <w:rFonts w:ascii="Georgia" w:hAnsi="Georgia"/>
          <w:color w:val="12211F"/>
          <w:sz w:val="38"/>
        </w:rPr>
        <w:t>Honest assessment</w:t>
      </w:r>
    </w:p>
    <w:p>
      <w:pPr>
        <w:pStyle w:val="Heading2"/>
      </w:pPr>
      <w:r>
        <w:rPr>
          <w:rFonts w:ascii="Calibri" w:hAnsi="Calibri"/>
          <w:color w:val="2C7A87"/>
          <w:sz w:val="24"/>
        </w:rPr>
        <w:t>What is genuinely strong</w:t>
      </w:r>
    </w:p>
    <w:p>
      <w:pPr>
        <w:pStyle w:val="ListBullet"/>
      </w:pPr>
      <w:r>
        <w:rPr>
          <w:b/>
          <w:color w:val="12211F"/>
        </w:rPr>
        <w:t xml:space="preserve">The verification gate is real and load-bearing. </w:t>
      </w:r>
      <w:r>
        <w:rPr>
          <w:color w:val="3F5654"/>
        </w:rPr>
        <w:t>It rejects. A fabricated policy is quarantined; a substituted fee no longer passes; three form mappings were refused.</w:t>
      </w:r>
    </w:p>
    <w:p>
      <w:pPr>
        <w:pStyle w:val="ListBullet"/>
      </w:pPr>
      <w:r>
        <w:rPr>
          <w:b/>
          <w:color w:val="12211F"/>
        </w:rPr>
        <w:t xml:space="preserve">Form onboarding scales the way Alix needs. </w:t>
      </w:r>
      <w:r>
        <w:rPr>
          <w:color w:val="3F5654"/>
        </w:rPr>
        <w:t>No human placed a field. 258 widgets across four forms, and the marginal cost of the next form is a model call and a review.</w:t>
      </w:r>
    </w:p>
    <w:p>
      <w:pPr>
        <w:pStyle w:val="ListBullet"/>
      </w:pPr>
      <w:r>
        <w:rPr>
          <w:b/>
          <w:color w:val="12211F"/>
        </w:rPr>
        <w:t xml:space="preserve">The jurisdiction model is the right shape. </w:t>
      </w:r>
      <w:r>
        <w:rPr>
          <w:color w:val="3F5654"/>
        </w:rPr>
        <w:t>Compiled, cited, versioned, diffable, zero tokens at decision time — and it declines rather than guessing outside its coverage.</w:t>
      </w:r>
    </w:p>
    <w:p>
      <w:pPr>
        <w:pStyle w:val="ListBullet"/>
      </w:pPr>
      <w:r>
        <w:rPr>
          <w:b/>
          <w:color w:val="12211F"/>
        </w:rPr>
        <w:t xml:space="preserve">Asset discovery is genuinely novel. </w:t>
      </w:r>
      <w:r>
        <w:rPr>
          <w:color w:val="3F5654"/>
        </w:rPr>
        <w:t>Inference from payment traces, not extraction. The industry currently tells families to do this by hand.</w:t>
      </w:r>
    </w:p>
    <w:p>
      <w:pPr>
        <w:pStyle w:val="Heading2"/>
      </w:pPr>
      <w:r>
        <w:rPr>
          <w:rFonts w:ascii="Calibri" w:hAnsi="Calibri"/>
          <w:color w:val="2C7A87"/>
          <w:sz w:val="24"/>
        </w:rPr>
        <w:t>What is weak, and by how much</w:t>
      </w:r>
    </w:p>
    <w:tbl>
      <w:tblPr>
        <w:tblStyle w:val="LightGrid-Accent1"/>
        <w:tblW w:type="auto" w:w="0"/>
        <w:jc w:val="left"/>
        <w:tblLook w:firstColumn="1" w:firstRow="1" w:lastColumn="0" w:lastRow="0" w:noHBand="0" w:noVBand="1" w:val="04A0"/>
      </w:tblPr>
      <w:tblGrid>
        <w:gridCol w:w="3216"/>
        <w:gridCol w:w="3216"/>
        <w:gridCol w:w="3216"/>
      </w:tblGrid>
      <w:tr>
        <w:tc>
          <w:tcPr>
            <w:tcW w:type="dxa" w:w="2448"/>
          </w:tcPr>
          <w:p>
            <w:pPr>
              <w:spacing w:after="40"/>
            </w:pPr>
            <w:r/>
            <w:r>
              <w:rPr>
                <w:b/>
                <w:color w:val="12211F"/>
                <w:sz w:val="17"/>
              </w:rPr>
              <w:t>Weakness</w:t>
            </w:r>
          </w:p>
        </w:tc>
        <w:tc>
          <w:tcPr>
            <w:tcW w:type="dxa" w:w="1152"/>
          </w:tcPr>
          <w:p>
            <w:pPr>
              <w:spacing w:after="40"/>
            </w:pPr>
            <w:r/>
            <w:r>
              <w:rPr>
                <w:b/>
                <w:color w:val="12211F"/>
                <w:sz w:val="17"/>
              </w:rPr>
              <w:t>Severity</w:t>
            </w:r>
          </w:p>
        </w:tc>
        <w:tc>
          <w:tcPr>
            <w:tcW w:type="dxa" w:w="5616"/>
          </w:tcPr>
          <w:p>
            <w:pPr>
              <w:spacing w:after="40"/>
            </w:pPr>
            <w:r/>
            <w:r>
              <w:rPr>
                <w:b/>
                <w:color w:val="12211F"/>
                <w:sz w:val="17"/>
              </w:rPr>
              <w:t>Detail</w:t>
            </w:r>
          </w:p>
        </w:tc>
      </w:tr>
      <w:tr>
        <w:tc>
          <w:tcPr>
            <w:tcW w:type="dxa" w:w="2448"/>
          </w:tcPr>
          <w:p>
            <w:pPr>
              <w:spacing w:after="40"/>
            </w:pPr>
            <w:r/>
            <w:r>
              <w:rPr>
                <w:b w:val="0"/>
                <w:color w:val="3F5654"/>
                <w:sz w:val="17"/>
              </w:rPr>
              <w:t>Four states of fifty</w:t>
            </w:r>
          </w:p>
        </w:tc>
        <w:tc>
          <w:tcPr>
            <w:tcW w:type="dxa" w:w="1152"/>
          </w:tcPr>
          <w:p>
            <w:pPr>
              <w:spacing w:after="40"/>
            </w:pPr>
            <w:r/>
            <w:r>
              <w:rPr>
                <w:b w:val="0"/>
                <w:color w:val="3F5654"/>
                <w:sz w:val="17"/>
              </w:rPr>
              <w:t>High</w:t>
            </w:r>
          </w:p>
        </w:tc>
        <w:tc>
          <w:tcPr>
            <w:tcW w:type="dxa" w:w="5616"/>
          </w:tcPr>
          <w:p>
            <w:pPr>
              <w:spacing w:after="40"/>
            </w:pPr>
            <w:r/>
            <w:r>
              <w:rPr>
                <w:b w:val="0"/>
                <w:color w:val="3F5654"/>
                <w:sz w:val="17"/>
              </w:rPr>
              <w:t>Architecture scales; content does not yet. Research-bound</w:t>
            </w:r>
          </w:p>
        </w:tc>
      </w:tr>
      <w:tr>
        <w:tc>
          <w:tcPr>
            <w:tcW w:type="dxa" w:w="2448"/>
          </w:tcPr>
          <w:p>
            <w:pPr>
              <w:spacing w:after="40"/>
            </w:pPr>
            <w:r/>
            <w:r>
              <w:rPr>
                <w:b w:val="0"/>
                <w:color w:val="3F5654"/>
                <w:sz w:val="17"/>
              </w:rPr>
              <w:t>Three courts researched</w:t>
            </w:r>
          </w:p>
        </w:tc>
        <w:tc>
          <w:tcPr>
            <w:tcW w:type="dxa" w:w="1152"/>
          </w:tcPr>
          <w:p>
            <w:pPr>
              <w:spacing w:after="40"/>
            </w:pPr>
            <w:r/>
            <w:r>
              <w:rPr>
                <w:b w:val="0"/>
                <w:color w:val="3F5654"/>
                <w:sz w:val="17"/>
              </w:rPr>
              <w:t>High</w:t>
            </w:r>
          </w:p>
        </w:tc>
        <w:tc>
          <w:tcPr>
            <w:tcW w:type="dxa" w:w="5616"/>
          </w:tcPr>
          <w:p>
            <w:pPr>
              <w:spacing w:after="40"/>
            </w:pPr>
            <w:r/>
            <w:r>
              <w:rPr>
                <w:b w:val="0"/>
                <w:color w:val="3F5654"/>
                <w:sz w:val="17"/>
              </w:rPr>
              <w:t>Lazy acquisition helps, but it is still a queue</w:t>
            </w:r>
          </w:p>
        </w:tc>
      </w:tr>
      <w:tr>
        <w:tc>
          <w:tcPr>
            <w:tcW w:type="dxa" w:w="2448"/>
          </w:tcPr>
          <w:p>
            <w:pPr>
              <w:spacing w:after="40"/>
            </w:pPr>
            <w:r/>
            <w:r>
              <w:rPr>
                <w:b w:val="0"/>
                <w:color w:val="3F5654"/>
                <w:sz w:val="17"/>
              </w:rPr>
              <w:t>Nobody has used it</w:t>
            </w:r>
          </w:p>
        </w:tc>
        <w:tc>
          <w:tcPr>
            <w:tcW w:type="dxa" w:w="1152"/>
          </w:tcPr>
          <w:p>
            <w:pPr>
              <w:spacing w:after="40"/>
            </w:pPr>
            <w:r/>
            <w:r>
              <w:rPr>
                <w:b w:val="0"/>
                <w:color w:val="3F5654"/>
                <w:sz w:val="17"/>
              </w:rPr>
              <w:t>High</w:t>
            </w:r>
          </w:p>
        </w:tc>
        <w:tc>
          <w:tcPr>
            <w:tcW w:type="dxa" w:w="5616"/>
          </w:tcPr>
          <w:p>
            <w:pPr>
              <w:spacing w:after="40"/>
            </w:pPr>
            <w:r/>
            <w:r>
              <w:rPr>
                <w:b w:val="0"/>
                <w:color w:val="3F5654"/>
                <w:sz w:val="17"/>
              </w:rPr>
              <w:t>No specialist has touched it. No user testing</w:t>
            </w:r>
          </w:p>
        </w:tc>
      </w:tr>
      <w:tr>
        <w:tc>
          <w:tcPr>
            <w:tcW w:type="dxa" w:w="2448"/>
          </w:tcPr>
          <w:p>
            <w:pPr>
              <w:spacing w:after="40"/>
            </w:pPr>
            <w:r/>
            <w:r>
              <w:rPr>
                <w:b w:val="0"/>
                <w:color w:val="3F5654"/>
                <w:sz w:val="17"/>
              </w:rPr>
              <w:t>Verification has a ceiling</w:t>
            </w:r>
          </w:p>
        </w:tc>
        <w:tc>
          <w:tcPr>
            <w:tcW w:type="dxa" w:w="1152"/>
          </w:tcPr>
          <w:p>
            <w:pPr>
              <w:spacing w:after="40"/>
            </w:pPr>
            <w:r/>
            <w:r>
              <w:rPr>
                <w:b w:val="0"/>
                <w:color w:val="3F5654"/>
                <w:sz w:val="17"/>
              </w:rPr>
              <w:t>Medium</w:t>
            </w:r>
          </w:p>
        </w:tc>
        <w:tc>
          <w:tcPr>
            <w:tcW w:type="dxa" w:w="5616"/>
          </w:tcPr>
          <w:p>
            <w:pPr>
              <w:spacing w:after="40"/>
            </w:pPr>
            <w:r/>
            <w:r>
              <w:rPr>
                <w:b w:val="0"/>
                <w:color w:val="3F5654"/>
                <w:sz w:val="17"/>
              </w:rPr>
              <w:t>Catches fabricated evidence, not wrong reasoning</w:t>
            </w:r>
          </w:p>
        </w:tc>
      </w:tr>
      <w:tr>
        <w:tc>
          <w:tcPr>
            <w:tcW w:type="dxa" w:w="2448"/>
          </w:tcPr>
          <w:p>
            <w:pPr>
              <w:spacing w:after="40"/>
            </w:pPr>
            <w:r/>
            <w:r>
              <w:rPr>
                <w:b w:val="0"/>
                <w:color w:val="3F5654"/>
                <w:sz w:val="17"/>
              </w:rPr>
              <w:t>Voice never placed a call</w:t>
            </w:r>
          </w:p>
        </w:tc>
        <w:tc>
          <w:tcPr>
            <w:tcW w:type="dxa" w:w="1152"/>
          </w:tcPr>
          <w:p>
            <w:pPr>
              <w:spacing w:after="40"/>
            </w:pPr>
            <w:r/>
            <w:r>
              <w:rPr>
                <w:b w:val="0"/>
                <w:color w:val="3F5654"/>
                <w:sz w:val="17"/>
              </w:rPr>
              <w:t>Medium</w:t>
            </w:r>
          </w:p>
        </w:tc>
        <w:tc>
          <w:tcPr>
            <w:tcW w:type="dxa" w:w="5616"/>
          </w:tcPr>
          <w:p>
            <w:pPr>
              <w:spacing w:after="40"/>
            </w:pPr>
            <w:r/>
            <w:r>
              <w:rPr>
                <w:b w:val="0"/>
                <w:color w:val="3F5654"/>
                <w:sz w:val="17"/>
              </w:rPr>
              <w:t>Designed and tested, but unproven in the field</w:t>
            </w:r>
          </w:p>
        </w:tc>
      </w:tr>
      <w:tr>
        <w:tc>
          <w:tcPr>
            <w:tcW w:type="dxa" w:w="2448"/>
          </w:tcPr>
          <w:p>
            <w:pPr>
              <w:spacing w:after="40"/>
            </w:pPr>
            <w:r/>
            <w:r>
              <w:rPr>
                <w:b w:val="0"/>
                <w:color w:val="3F5654"/>
                <w:sz w:val="17"/>
              </w:rPr>
              <w:t>One estate, nine documents</w:t>
            </w:r>
          </w:p>
        </w:tc>
        <w:tc>
          <w:tcPr>
            <w:tcW w:type="dxa" w:w="1152"/>
          </w:tcPr>
          <w:p>
            <w:pPr>
              <w:spacing w:after="40"/>
            </w:pPr>
            <w:r/>
            <w:r>
              <w:rPr>
                <w:b w:val="0"/>
                <w:color w:val="3F5654"/>
                <w:sz w:val="17"/>
              </w:rPr>
              <w:t>Medium</w:t>
            </w:r>
          </w:p>
        </w:tc>
        <w:tc>
          <w:tcPr>
            <w:tcW w:type="dxa" w:w="5616"/>
          </w:tcPr>
          <w:p>
            <w:pPr>
              <w:spacing w:after="40"/>
            </w:pPr>
            <w:r/>
            <w:r>
              <w:rPr>
                <w:b w:val="0"/>
                <w:color w:val="3F5654"/>
                <w:sz w:val="17"/>
              </w:rPr>
              <w:t>Extraction proven narrowly. No OCR'd scans</w:t>
            </w:r>
          </w:p>
        </w:tc>
      </w:tr>
      <w:tr>
        <w:tc>
          <w:tcPr>
            <w:tcW w:type="dxa" w:w="2448"/>
          </w:tcPr>
          <w:p>
            <w:pPr>
              <w:spacing w:after="40"/>
            </w:pPr>
            <w:r/>
            <w:r>
              <w:rPr>
                <w:b w:val="0"/>
                <w:color w:val="3F5654"/>
                <w:sz w:val="17"/>
              </w:rPr>
              <w:t>DL 142 does not join Anvil</w:t>
            </w:r>
          </w:p>
        </w:tc>
        <w:tc>
          <w:tcPr>
            <w:tcW w:type="dxa" w:w="1152"/>
          </w:tcPr>
          <w:p>
            <w:pPr>
              <w:spacing w:after="40"/>
            </w:pPr>
            <w:r/>
            <w:r>
              <w:rPr>
                <w:b w:val="0"/>
                <w:color w:val="3F5654"/>
                <w:sz w:val="17"/>
              </w:rPr>
              <w:t>Low</w:t>
            </w:r>
          </w:p>
        </w:tc>
        <w:tc>
          <w:tcPr>
            <w:tcW w:type="dxa" w:w="5616"/>
          </w:tcPr>
          <w:p>
            <w:pPr>
              <w:spacing w:after="40"/>
            </w:pPr>
            <w:r/>
            <w:r>
              <w:rPr>
                <w:b w:val="0"/>
                <w:color w:val="3F5654"/>
                <w:sz w:val="17"/>
              </w:rPr>
              <w:t>Anvil's detection disagrees with that PDF</w:t>
            </w:r>
          </w:p>
        </w:tc>
      </w:tr>
      <w:tr>
        <w:tc>
          <w:tcPr>
            <w:tcW w:type="dxa" w:w="2448"/>
          </w:tcPr>
          <w:p>
            <w:pPr>
              <w:spacing w:after="40"/>
            </w:pPr>
            <w:r/>
            <w:r>
              <w:rPr>
                <w:b w:val="0"/>
                <w:color w:val="3F5654"/>
                <w:sz w:val="17"/>
              </w:rPr>
              <w:t>Economics are modelled</w:t>
            </w:r>
          </w:p>
        </w:tc>
        <w:tc>
          <w:tcPr>
            <w:tcW w:type="dxa" w:w="1152"/>
          </w:tcPr>
          <w:p>
            <w:pPr>
              <w:spacing w:after="40"/>
            </w:pPr>
            <w:r/>
            <w:r>
              <w:rPr>
                <w:b w:val="0"/>
                <w:color w:val="3F5654"/>
                <w:sz w:val="17"/>
              </w:rPr>
              <w:t>Medium</w:t>
            </w:r>
          </w:p>
        </w:tc>
        <w:tc>
          <w:tcPr>
            <w:tcW w:type="dxa" w:w="5616"/>
          </w:tcPr>
          <w:p>
            <w:pPr>
              <w:spacing w:after="40"/>
            </w:pPr>
            <w:r/>
            <w:r>
              <w:rPr>
                <w:b w:val="0"/>
                <w:color w:val="3F5654"/>
                <w:sz w:val="17"/>
              </w:rPr>
              <w:t>Two of five saving levers are calculated, not observed</w:t>
            </w:r>
          </w:p>
        </w:tc>
      </w:tr>
    </w:tbl>
    <w:p/>
    <w:p>
      <w:pPr>
        <w:pStyle w:val="Heading2"/>
      </w:pPr>
      <w:r>
        <w:rPr>
          <w:rFonts w:ascii="Calibri" w:hAnsi="Calibri"/>
          <w:color w:val="2C7A87"/>
          <w:sz w:val="24"/>
        </w:rPr>
        <w:t>Implementation path</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1872"/>
          </w:tcPr>
          <w:p>
            <w:pPr>
              <w:spacing w:after="40"/>
            </w:pPr>
            <w:r/>
            <w:r>
              <w:rPr>
                <w:b/>
                <w:color w:val="12211F"/>
                <w:sz w:val="17"/>
              </w:rPr>
              <w:t>Phase</w:t>
            </w:r>
          </w:p>
        </w:tc>
        <w:tc>
          <w:tcPr>
            <w:tcW w:type="dxa" w:w="3456"/>
          </w:tcPr>
          <w:p>
            <w:pPr>
              <w:spacing w:after="40"/>
            </w:pPr>
            <w:r/>
            <w:r>
              <w:rPr>
                <w:b/>
                <w:color w:val="12211F"/>
                <w:sz w:val="17"/>
              </w:rPr>
              <w:t>Scope</w:t>
            </w:r>
          </w:p>
        </w:tc>
        <w:tc>
          <w:tcPr>
            <w:tcW w:type="dxa" w:w="1296"/>
          </w:tcPr>
          <w:p>
            <w:pPr>
              <w:spacing w:after="40"/>
            </w:pPr>
            <w:r/>
            <w:r>
              <w:rPr>
                <w:b/>
                <w:color w:val="12211F"/>
                <w:sz w:val="17"/>
              </w:rPr>
              <w:t>Effort</w:t>
            </w:r>
          </w:p>
        </w:tc>
        <w:tc>
          <w:tcPr>
            <w:tcW w:type="dxa" w:w="2592"/>
          </w:tcPr>
          <w:p>
            <w:pPr>
              <w:spacing w:after="40"/>
            </w:pPr>
            <w:r/>
            <w:r>
              <w:rPr>
                <w:b/>
                <w:color w:val="12211F"/>
                <w:sz w:val="17"/>
              </w:rPr>
              <w:t>Integration risk</w:t>
            </w:r>
          </w:p>
        </w:tc>
      </w:tr>
      <w:tr>
        <w:tc>
          <w:tcPr>
            <w:tcW w:type="dxa" w:w="1872"/>
          </w:tcPr>
          <w:p>
            <w:pPr>
              <w:spacing w:after="40"/>
            </w:pPr>
            <w:r/>
            <w:r>
              <w:rPr>
                <w:b w:val="0"/>
                <w:color w:val="3F5654"/>
                <w:sz w:val="17"/>
              </w:rPr>
              <w:t>1. Shadow run</w:t>
            </w:r>
          </w:p>
        </w:tc>
        <w:tc>
          <w:tcPr>
            <w:tcW w:type="dxa" w:w="3456"/>
          </w:tcPr>
          <w:p>
            <w:pPr>
              <w:spacing w:after="40"/>
            </w:pPr>
            <w:r/>
            <w:r>
              <w:rPr>
                <w:b w:val="0"/>
                <w:color w:val="3F5654"/>
                <w:sz w:val="17"/>
              </w:rPr>
              <w:t>Point the importer at real estates</w:t>
            </w:r>
          </w:p>
        </w:tc>
        <w:tc>
          <w:tcPr>
            <w:tcW w:type="dxa" w:w="1296"/>
          </w:tcPr>
          <w:p>
            <w:pPr>
              <w:spacing w:after="40"/>
            </w:pPr>
            <w:r/>
            <w:r>
              <w:rPr>
                <w:b w:val="0"/>
                <w:color w:val="3F5654"/>
                <w:sz w:val="17"/>
              </w:rPr>
              <w:t>1–2 weeks</w:t>
            </w:r>
          </w:p>
        </w:tc>
        <w:tc>
          <w:tcPr>
            <w:tcW w:type="dxa" w:w="2592"/>
          </w:tcPr>
          <w:p>
            <w:pPr>
              <w:spacing w:after="40"/>
            </w:pPr>
            <w:r/>
            <w:r>
              <w:rPr>
                <w:b w:val="0"/>
                <w:color w:val="3F5654"/>
                <w:sz w:val="17"/>
              </w:rPr>
              <w:t>None — reads their format</w:t>
            </w:r>
          </w:p>
        </w:tc>
      </w:tr>
      <w:tr>
        <w:tc>
          <w:tcPr>
            <w:tcW w:type="dxa" w:w="1872"/>
          </w:tcPr>
          <w:p>
            <w:pPr>
              <w:spacing w:after="40"/>
            </w:pPr>
            <w:r/>
            <w:r>
              <w:rPr>
                <w:b w:val="0"/>
                <w:color w:val="3F5654"/>
                <w:sz w:val="17"/>
              </w:rPr>
              <w:t>2. Form onboarding</w:t>
            </w:r>
          </w:p>
        </w:tc>
        <w:tc>
          <w:tcPr>
            <w:tcW w:type="dxa" w:w="3456"/>
          </w:tcPr>
          <w:p>
            <w:pPr>
              <w:spacing w:after="40"/>
            </w:pPr>
            <w:r/>
            <w:r>
              <w:rPr>
                <w:b w:val="0"/>
                <w:color w:val="3F5654"/>
                <w:sz w:val="17"/>
              </w:rPr>
              <w:t>They hand over PDFs, we return maps and Casts</w:t>
            </w:r>
          </w:p>
        </w:tc>
        <w:tc>
          <w:tcPr>
            <w:tcW w:type="dxa" w:w="1296"/>
          </w:tcPr>
          <w:p>
            <w:pPr>
              <w:spacing w:after="40"/>
            </w:pPr>
            <w:r/>
            <w:r>
              <w:rPr>
                <w:b w:val="0"/>
                <w:color w:val="3F5654"/>
                <w:sz w:val="17"/>
              </w:rPr>
              <w:t>2–4 weeks</w:t>
            </w:r>
          </w:p>
        </w:tc>
        <w:tc>
          <w:tcPr>
            <w:tcW w:type="dxa" w:w="2592"/>
          </w:tcPr>
          <w:p>
            <w:pPr>
              <w:spacing w:after="40"/>
            </w:pPr>
            <w:r/>
            <w:r>
              <w:rPr>
                <w:b w:val="0"/>
                <w:color w:val="3F5654"/>
                <w:sz w:val="17"/>
              </w:rPr>
              <w:t>Low — their Anvil account</w:t>
            </w:r>
          </w:p>
        </w:tc>
      </w:tr>
      <w:tr>
        <w:tc>
          <w:tcPr>
            <w:tcW w:type="dxa" w:w="1872"/>
          </w:tcPr>
          <w:p>
            <w:pPr>
              <w:spacing w:after="40"/>
            </w:pPr>
            <w:r/>
            <w:r>
              <w:rPr>
                <w:b w:val="0"/>
                <w:color w:val="3F5654"/>
                <w:sz w:val="17"/>
              </w:rPr>
              <w:t>3. Jurisdiction service</w:t>
            </w:r>
          </w:p>
        </w:tc>
        <w:tc>
          <w:tcPr>
            <w:tcW w:type="dxa" w:w="3456"/>
          </w:tcPr>
          <w:p>
            <w:pPr>
              <w:spacing w:after="40"/>
            </w:pPr>
            <w:r/>
            <w:r>
              <w:rPr>
                <w:b w:val="0"/>
                <w:color w:val="3F5654"/>
                <w:sz w:val="17"/>
              </w:rPr>
              <w:t>Rule packs behind an API</w:t>
            </w:r>
          </w:p>
        </w:tc>
        <w:tc>
          <w:tcPr>
            <w:tcW w:type="dxa" w:w="1296"/>
          </w:tcPr>
          <w:p>
            <w:pPr>
              <w:spacing w:after="40"/>
            </w:pPr>
            <w:r/>
            <w:r>
              <w:rPr>
                <w:b w:val="0"/>
                <w:color w:val="3F5654"/>
                <w:sz w:val="17"/>
              </w:rPr>
              <w:t>4–8 weeks</w:t>
            </w:r>
          </w:p>
        </w:tc>
        <w:tc>
          <w:tcPr>
            <w:tcW w:type="dxa" w:w="2592"/>
          </w:tcPr>
          <w:p>
            <w:pPr>
              <w:spacing w:after="40"/>
            </w:pPr>
            <w:r/>
            <w:r>
              <w:rPr>
                <w:b w:val="0"/>
                <w:color w:val="3F5654"/>
                <w:sz w:val="17"/>
              </w:rPr>
              <w:t>Medium — a new dependency</w:t>
            </w:r>
          </w:p>
        </w:tc>
      </w:tr>
      <w:tr>
        <w:tc>
          <w:tcPr>
            <w:tcW w:type="dxa" w:w="1872"/>
          </w:tcPr>
          <w:p>
            <w:pPr>
              <w:spacing w:after="40"/>
            </w:pPr>
            <w:r/>
            <w:r>
              <w:rPr>
                <w:b w:val="0"/>
                <w:color w:val="3F5654"/>
                <w:sz w:val="17"/>
              </w:rPr>
              <w:t>4. Dispatch</w:t>
            </w:r>
          </w:p>
        </w:tc>
        <w:tc>
          <w:tcPr>
            <w:tcW w:type="dxa" w:w="3456"/>
          </w:tcPr>
          <w:p>
            <w:pPr>
              <w:spacing w:after="40"/>
            </w:pPr>
            <w:r/>
            <w:r>
              <w:rPr>
                <w:b w:val="0"/>
                <w:color w:val="3F5654"/>
                <w:sz w:val="17"/>
              </w:rPr>
              <w:t>Hold detection, mid-call release</w:t>
            </w:r>
          </w:p>
        </w:tc>
        <w:tc>
          <w:tcPr>
            <w:tcW w:type="dxa" w:w="1296"/>
          </w:tcPr>
          <w:p>
            <w:pPr>
              <w:spacing w:after="40"/>
            </w:pPr>
            <w:r/>
            <w:r>
              <w:rPr>
                <w:b w:val="0"/>
                <w:color w:val="3F5654"/>
                <w:sz w:val="17"/>
              </w:rPr>
              <w:t>8+ weeks</w:t>
            </w:r>
          </w:p>
        </w:tc>
        <w:tc>
          <w:tcPr>
            <w:tcW w:type="dxa" w:w="2592"/>
          </w:tcPr>
          <w:p>
            <w:pPr>
              <w:spacing w:after="40"/>
            </w:pPr>
            <w:r/>
            <w:r>
              <w:rPr>
                <w:b w:val="0"/>
                <w:color w:val="3F5654"/>
                <w:sz w:val="17"/>
              </w:rPr>
              <w:t>High — needs legal sign-off</w:t>
            </w:r>
          </w:p>
        </w:tc>
      </w:tr>
    </w:tbl>
    <w:p/>
    <w:p>
      <w:r>
        <w:rPr>
          <w:i w:val="0"/>
          <w:color w:val="3F5654"/>
          <w:sz w:val="20"/>
        </w:rPr>
        <w:t>Phase 2 pays for itself and touches nothing. It is the highest return and the lowest risk, it addresses the deficiency Alix themselves named, and it needs no changes on their side beyond handing over a folder of PDFs.</w:t>
      </w:r>
    </w:p>
    <w:p>
      <w:pPr>
        <w:pStyle w:val="Heading2"/>
      </w:pPr>
      <w:r>
        <w:rPr>
          <w:rFonts w:ascii="Calibri" w:hAnsi="Calibri"/>
          <w:color w:val="2C7A87"/>
          <w:sz w:val="24"/>
        </w:rPr>
        <w:t>How it compares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1584"/>
          </w:tcPr>
          <w:p>
            <w:pPr>
              <w:spacing w:after="40"/>
            </w:pPr>
            <w:r/>
            <w:r>
              <w:rPr>
                <w:b/>
                <w:color w:val="12211F"/>
                <w:sz w:val="17"/>
              </w:rPr>
            </w:r>
          </w:p>
        </w:tc>
        <w:tc>
          <w:tcPr>
            <w:tcW w:type="dxa" w:w="2160"/>
          </w:tcPr>
          <w:p>
            <w:pPr>
              <w:spacing w:after="40"/>
            </w:pPr>
            <w:r/>
            <w:r>
              <w:rPr>
                <w:b/>
                <w:color w:val="12211F"/>
                <w:sz w:val="17"/>
              </w:rPr>
              <w:t>What they do well</w:t>
            </w:r>
          </w:p>
        </w:tc>
        <w:tc>
          <w:tcPr>
            <w:tcW w:type="dxa" w:w="2736"/>
          </w:tcPr>
          <w:p>
            <w:pPr>
              <w:spacing w:after="40"/>
            </w:pPr>
            <w:r/>
            <w:r>
              <w:rPr>
                <w:b/>
                <w:color w:val="12211F"/>
                <w:sz w:val="17"/>
              </w:rPr>
              <w:t>What is missing</w:t>
            </w:r>
          </w:p>
        </w:tc>
        <w:tc>
          <w:tcPr>
            <w:tcW w:type="dxa" w:w="2736"/>
          </w:tcPr>
          <w:p>
            <w:pPr>
              <w:spacing w:after="40"/>
            </w:pPr>
            <w:r/>
            <w:r>
              <w:rPr>
                <w:b/>
                <w:color w:val="12211F"/>
                <w:sz w:val="17"/>
              </w:rPr>
              <w:t>Our position</w:t>
            </w:r>
          </w:p>
        </w:tc>
      </w:tr>
      <w:tr>
        <w:tc>
          <w:tcPr>
            <w:tcW w:type="dxa" w:w="1584"/>
          </w:tcPr>
          <w:p>
            <w:pPr>
              <w:spacing w:after="40"/>
            </w:pPr>
            <w:r/>
            <w:r>
              <w:rPr>
                <w:b w:val="0"/>
                <w:color w:val="3F5654"/>
                <w:sz w:val="17"/>
              </w:rPr>
              <w:t>Anvil</w:t>
            </w:r>
          </w:p>
        </w:tc>
        <w:tc>
          <w:tcPr>
            <w:tcW w:type="dxa" w:w="2160"/>
          </w:tcPr>
          <w:p>
            <w:pPr>
              <w:spacing w:after="40"/>
            </w:pPr>
            <w:r/>
            <w:r>
              <w:rPr>
                <w:b w:val="0"/>
                <w:color w:val="3F5654"/>
                <w:sz w:val="17"/>
              </w:rPr>
              <w:t>Excellent PDF fill and e-signature</w:t>
            </w:r>
          </w:p>
        </w:tc>
        <w:tc>
          <w:tcPr>
            <w:tcW w:type="dxa" w:w="2736"/>
          </w:tcPr>
          <w:p>
            <w:pPr>
              <w:spacing w:after="40"/>
            </w:pPr>
            <w:r/>
            <w:r>
              <w:rPr>
                <w:b w:val="0"/>
                <w:color w:val="3F5654"/>
                <w:sz w:val="17"/>
              </w:rPr>
              <w:t>Fields placed by a human, per form</w:t>
            </w:r>
          </w:p>
        </w:tc>
        <w:tc>
          <w:tcPr>
            <w:tcW w:type="dxa" w:w="2736"/>
          </w:tcPr>
          <w:p>
            <w:pPr>
              <w:spacing w:after="40"/>
            </w:pPr>
            <w:r/>
            <w:r>
              <w:rPr>
                <w:b w:val="0"/>
                <w:color w:val="3F5654"/>
                <w:sz w:val="17"/>
              </w:rPr>
              <w:t>Complementary — we generate and verify the mapping</w:t>
            </w:r>
          </w:p>
        </w:tc>
      </w:tr>
      <w:tr>
        <w:tc>
          <w:tcPr>
            <w:tcW w:type="dxa" w:w="1584"/>
          </w:tcPr>
          <w:p>
            <w:pPr>
              <w:spacing w:after="40"/>
            </w:pPr>
            <w:r/>
            <w:r>
              <w:rPr>
                <w:b w:val="0"/>
                <w:color w:val="3F5654"/>
                <w:sz w:val="17"/>
              </w:rPr>
              <w:t>EstateExec, Trust &amp; Will</w:t>
            </w:r>
          </w:p>
        </w:tc>
        <w:tc>
          <w:tcPr>
            <w:tcW w:type="dxa" w:w="2160"/>
          </w:tcPr>
          <w:p>
            <w:pPr>
              <w:spacing w:after="40"/>
            </w:pPr>
            <w:r/>
            <w:r>
              <w:rPr>
                <w:b w:val="0"/>
                <w:color w:val="3F5654"/>
                <w:sz w:val="17"/>
              </w:rPr>
              <w:t>Consumer checklists</w:t>
            </w:r>
          </w:p>
        </w:tc>
        <w:tc>
          <w:tcPr>
            <w:tcW w:type="dxa" w:w="2736"/>
          </w:tcPr>
          <w:p>
            <w:pPr>
              <w:spacing w:after="40"/>
            </w:pPr>
            <w:r/>
            <w:r>
              <w:rPr>
                <w:b w:val="0"/>
                <w:color w:val="3F5654"/>
                <w:sz w:val="17"/>
              </w:rPr>
              <w:t>No jurisdiction engine</w:t>
            </w:r>
          </w:p>
        </w:tc>
        <w:tc>
          <w:tcPr>
            <w:tcW w:type="dxa" w:w="2736"/>
          </w:tcPr>
          <w:p>
            <w:pPr>
              <w:spacing w:after="40"/>
            </w:pPr>
            <w:r/>
            <w:r>
              <w:rPr>
                <w:b w:val="0"/>
                <w:color w:val="3F5654"/>
                <w:sz w:val="17"/>
              </w:rPr>
              <w:t>Different user</w:t>
            </w:r>
          </w:p>
        </w:tc>
      </w:tr>
      <w:tr>
        <w:tc>
          <w:tcPr>
            <w:tcW w:type="dxa" w:w="1584"/>
          </w:tcPr>
          <w:p>
            <w:pPr>
              <w:spacing w:after="40"/>
            </w:pPr>
            <w:r/>
            <w:r>
              <w:rPr>
                <w:b w:val="0"/>
                <w:color w:val="3F5654"/>
                <w:sz w:val="17"/>
              </w:rPr>
              <w:t>Generic LLM + RAG</w:t>
            </w:r>
          </w:p>
        </w:tc>
        <w:tc>
          <w:tcPr>
            <w:tcW w:type="dxa" w:w="2160"/>
          </w:tcPr>
          <w:p>
            <w:pPr>
              <w:spacing w:after="40"/>
            </w:pPr>
            <w:r/>
            <w:r>
              <w:rPr>
                <w:b w:val="0"/>
                <w:color w:val="3F5654"/>
                <w:sz w:val="17"/>
              </w:rPr>
              <w:t>Fast to stand up</w:t>
            </w:r>
          </w:p>
        </w:tc>
        <w:tc>
          <w:tcPr>
            <w:tcW w:type="dxa" w:w="2736"/>
          </w:tcPr>
          <w:p>
            <w:pPr>
              <w:spacing w:after="40"/>
            </w:pPr>
            <w:r/>
            <w:r>
              <w:rPr>
                <w:b w:val="0"/>
                <w:color w:val="3F5654"/>
                <w:sz w:val="17"/>
              </w:rPr>
              <w:t>No warrant, no effective dates, similarity where you need lookup</w:t>
            </w:r>
          </w:p>
        </w:tc>
        <w:tc>
          <w:tcPr>
            <w:tcW w:type="dxa" w:w="2736"/>
          </w:tcPr>
          <w:p>
            <w:pPr>
              <w:spacing w:after="40"/>
            </w:pPr>
            <w:r/>
            <w:r>
              <w:rPr>
                <w:b w:val="0"/>
                <w:color w:val="3F5654"/>
                <w:sz w:val="17"/>
              </w:rPr>
              <w:t>The approach we deliberately rejected</w:t>
            </w:r>
          </w:p>
        </w:tc>
      </w:tr>
      <w:tr>
        <w:tc>
          <w:tcPr>
            <w:tcW w:type="dxa" w:w="1584"/>
          </w:tcPr>
          <w:p>
            <w:pPr>
              <w:spacing w:after="40"/>
            </w:pPr>
            <w:r/>
            <w:r>
              <w:rPr>
                <w:b w:val="0"/>
                <w:color w:val="3F5654"/>
                <w:sz w:val="17"/>
              </w:rPr>
              <w:t>Alix today</w:t>
            </w:r>
          </w:p>
        </w:tc>
        <w:tc>
          <w:tcPr>
            <w:tcW w:type="dxa" w:w="2160"/>
          </w:tcPr>
          <w:p>
            <w:pPr>
              <w:spacing w:after="40"/>
            </w:pPr>
            <w:r/>
            <w:r>
              <w:rPr>
                <w:b w:val="0"/>
                <w:color w:val="3F5654"/>
                <w:sz w:val="17"/>
              </w:rPr>
              <w:t>Real expertise and clients</w:t>
            </w:r>
          </w:p>
        </w:tc>
        <w:tc>
          <w:tcPr>
            <w:tcW w:type="dxa" w:w="2736"/>
          </w:tcPr>
          <w:p>
            <w:pPr>
              <w:spacing w:after="40"/>
            </w:pPr>
            <w:r/>
            <w:r>
              <w:rPr>
                <w:b w:val="0"/>
                <w:color w:val="3F5654"/>
                <w:sz w:val="17"/>
              </w:rPr>
              <w:t>Volume and defensibility, by their own account</w:t>
            </w:r>
          </w:p>
        </w:tc>
        <w:tc>
          <w:tcPr>
            <w:tcW w:type="dxa" w:w="2736"/>
          </w:tcPr>
          <w:p>
            <w:pPr>
              <w:spacing w:after="40"/>
            </w:pPr>
            <w:r/>
            <w:r>
              <w:rPr>
                <w:b w:val="0"/>
                <w:color w:val="3F5654"/>
                <w:sz w:val="17"/>
              </w:rPr>
              <w:t>Infrastructure underneath, not a replacement</w:t>
            </w:r>
          </w:p>
        </w:tc>
      </w:tr>
    </w:tbl>
    <w:p/>
    <w:p>
      <w:r>
        <w:br w:type="page"/>
      </w:r>
    </w:p>
    <w:p>
      <w:pPr>
        <w:pStyle w:val="Heading1"/>
      </w:pPr>
      <w:r>
        <w:rPr>
          <w:rFonts w:ascii="Georgia" w:hAnsi="Georgia"/>
          <w:color w:val="12211F"/>
          <w:sz w:val="38"/>
        </w:rPr>
        <w:t>What we need</w:t>
      </w:r>
    </w:p>
    <w:tbl>
      <w:tblPr>
        <w:tblStyle w:val="LightGrid-Accent1"/>
        <w:tblW w:type="auto" w:w="0"/>
        <w:jc w:val="left"/>
        <w:tblLook w:firstColumn="1" w:firstRow="1" w:lastColumn="0" w:lastRow="0" w:noHBand="0" w:noVBand="1" w:val="04A0"/>
      </w:tblPr>
      <w:tblGrid>
        <w:gridCol w:w="3216"/>
        <w:gridCol w:w="3216"/>
        <w:gridCol w:w="3216"/>
      </w:tblGrid>
      <w:tr>
        <w:tc>
          <w:tcPr>
            <w:tcW w:type="dxa" w:w="2304"/>
          </w:tcPr>
          <w:p>
            <w:pPr>
              <w:spacing w:after="40"/>
            </w:pPr>
            <w:r/>
            <w:r>
              <w:rPr>
                <w:b/>
                <w:color w:val="12211F"/>
                <w:sz w:val="17"/>
              </w:rPr>
              <w:t>Item</w:t>
            </w:r>
          </w:p>
        </w:tc>
        <w:tc>
          <w:tcPr>
            <w:tcW w:type="dxa" w:w="4320"/>
          </w:tcPr>
          <w:p>
            <w:pPr>
              <w:spacing w:after="40"/>
            </w:pPr>
            <w:r/>
            <w:r>
              <w:rPr>
                <w:b/>
                <w:color w:val="12211F"/>
                <w:sz w:val="17"/>
              </w:rPr>
              <w:t>Why</w:t>
            </w:r>
          </w:p>
        </w:tc>
        <w:tc>
          <w:tcPr>
            <w:tcW w:type="dxa" w:w="2592"/>
          </w:tcPr>
          <w:p>
            <w:pPr>
              <w:spacing w:after="40"/>
            </w:pPr>
            <w:r/>
            <w:r>
              <w:rPr>
                <w:b/>
                <w:color w:val="12211F"/>
                <w:sz w:val="17"/>
              </w:rPr>
              <w:t>Blocking?</w:t>
            </w:r>
          </w:p>
        </w:tc>
      </w:tr>
      <w:tr>
        <w:tc>
          <w:tcPr>
            <w:tcW w:type="dxa" w:w="2304"/>
          </w:tcPr>
          <w:p>
            <w:pPr>
              <w:spacing w:after="40"/>
            </w:pPr>
            <w:r/>
            <w:r>
              <w:rPr>
                <w:b w:val="0"/>
                <w:color w:val="3F5654"/>
                <w:sz w:val="17"/>
              </w:rPr>
              <w:t>Twilio credentials</w:t>
            </w:r>
          </w:p>
        </w:tc>
        <w:tc>
          <w:tcPr>
            <w:tcW w:type="dxa" w:w="4320"/>
          </w:tcPr>
          <w:p>
            <w:pPr>
              <w:spacing w:after="40"/>
            </w:pPr>
            <w:r/>
            <w:r>
              <w:rPr>
                <w:b w:val="0"/>
                <w:color w:val="3F5654"/>
                <w:sz w:val="17"/>
              </w:rPr>
              <w:t>The voice agent has never placed a call</w:t>
            </w:r>
          </w:p>
        </w:tc>
        <w:tc>
          <w:tcPr>
            <w:tcW w:type="dxa" w:w="2592"/>
          </w:tcPr>
          <w:p>
            <w:pPr>
              <w:spacing w:after="40"/>
            </w:pPr>
            <w:r/>
            <w:r>
              <w:rPr>
                <w:b w:val="0"/>
                <w:color w:val="3F5654"/>
                <w:sz w:val="17"/>
              </w:rPr>
              <w:t>Yes, for dispatch</w:t>
            </w:r>
          </w:p>
        </w:tc>
      </w:tr>
      <w:tr>
        <w:tc>
          <w:tcPr>
            <w:tcW w:type="dxa" w:w="2304"/>
          </w:tcPr>
          <w:p>
            <w:pPr>
              <w:spacing w:after="40"/>
            </w:pPr>
            <w:r/>
            <w:r>
              <w:rPr>
                <w:b w:val="0"/>
                <w:color w:val="3F5654"/>
                <w:sz w:val="17"/>
              </w:rPr>
              <w:t>SMTP / fax credentials</w:t>
            </w:r>
          </w:p>
        </w:tc>
        <w:tc>
          <w:tcPr>
            <w:tcW w:type="dxa" w:w="4320"/>
          </w:tcPr>
          <w:p>
            <w:pPr>
              <w:spacing w:after="40"/>
            </w:pPr>
            <w:r/>
            <w:r>
              <w:rPr>
                <w:b w:val="0"/>
                <w:color w:val="3F5654"/>
                <w:sz w:val="17"/>
              </w:rPr>
              <w:t>Mid-call document release</w:t>
            </w:r>
          </w:p>
        </w:tc>
        <w:tc>
          <w:tcPr>
            <w:tcW w:type="dxa" w:w="2592"/>
          </w:tcPr>
          <w:p>
            <w:pPr>
              <w:spacing w:after="40"/>
            </w:pPr>
            <w:r/>
            <w:r>
              <w:rPr>
                <w:b w:val="0"/>
                <w:color w:val="3F5654"/>
                <w:sz w:val="17"/>
              </w:rPr>
              <w:t>Yes, for dispatch</w:t>
            </w:r>
          </w:p>
        </w:tc>
      </w:tr>
      <w:tr>
        <w:tc>
          <w:tcPr>
            <w:tcW w:type="dxa" w:w="2304"/>
          </w:tcPr>
          <w:p>
            <w:pPr>
              <w:spacing w:after="40"/>
            </w:pPr>
            <w:r/>
            <w:r>
              <w:rPr>
                <w:b w:val="0"/>
                <w:color w:val="3F5654"/>
                <w:sz w:val="17"/>
              </w:rPr>
              <w:t>Ian: hours to onboard one form</w:t>
            </w:r>
          </w:p>
        </w:tc>
        <w:tc>
          <w:tcPr>
            <w:tcW w:type="dxa" w:w="4320"/>
          </w:tcPr>
          <w:p>
            <w:pPr>
              <w:spacing w:after="40"/>
            </w:pPr>
            <w:r/>
            <w:r>
              <w:rPr>
                <w:b w:val="0"/>
                <w:color w:val="3F5654"/>
                <w:sz w:val="17"/>
              </w:rPr>
              <w:t>Replaces the assumption the onboarding table rests on</w:t>
            </w:r>
          </w:p>
        </w:tc>
        <w:tc>
          <w:tcPr>
            <w:tcW w:type="dxa" w:w="2592"/>
          </w:tcPr>
          <w:p>
            <w:pPr>
              <w:spacing w:after="40"/>
            </w:pPr>
            <w:r/>
            <w:r>
              <w:rPr>
                <w:b w:val="0"/>
                <w:color w:val="3F5654"/>
                <w:sz w:val="17"/>
              </w:rPr>
              <w:t>No, but highest-value</w:t>
            </w:r>
          </w:p>
        </w:tc>
      </w:tr>
      <w:tr>
        <w:tc>
          <w:tcPr>
            <w:tcW w:type="dxa" w:w="2304"/>
          </w:tcPr>
          <w:p>
            <w:pPr>
              <w:spacing w:after="40"/>
            </w:pPr>
            <w:r/>
            <w:r>
              <w:rPr>
                <w:b w:val="0"/>
                <w:color w:val="3F5654"/>
                <w:sz w:val="17"/>
              </w:rPr>
              <w:t>Priority counties</w:t>
            </w:r>
          </w:p>
        </w:tc>
        <w:tc>
          <w:tcPr>
            <w:tcW w:type="dxa" w:w="4320"/>
          </w:tcPr>
          <w:p>
            <w:pPr>
              <w:spacing w:after="40"/>
            </w:pPr>
            <w:r/>
            <w:r>
              <w:rPr>
                <w:b w:val="0"/>
                <w:color w:val="3F5654"/>
                <w:sz w:val="17"/>
              </w:rPr>
              <w:t>Lazy acquisition builds only what the book touches</w:t>
            </w:r>
          </w:p>
        </w:tc>
        <w:tc>
          <w:tcPr>
            <w:tcW w:type="dxa" w:w="2592"/>
          </w:tcPr>
          <w:p>
            <w:pPr>
              <w:spacing w:after="40"/>
            </w:pPr>
            <w:r/>
            <w:r>
              <w:rPr>
                <w:b w:val="0"/>
                <w:color w:val="3F5654"/>
                <w:sz w:val="17"/>
              </w:rPr>
              <w:t>No</w:t>
            </w:r>
          </w:p>
        </w:tc>
      </w:tr>
      <w:tr>
        <w:tc>
          <w:tcPr>
            <w:tcW w:type="dxa" w:w="2304"/>
          </w:tcPr>
          <w:p>
            <w:pPr>
              <w:spacing w:after="40"/>
            </w:pPr>
            <w:r/>
            <w:r>
              <w:rPr>
                <w:b w:val="0"/>
                <w:color w:val="3F5654"/>
                <w:sz w:val="17"/>
              </w:rPr>
              <w:t>Alix estate volume</w:t>
            </w:r>
          </w:p>
        </w:tc>
        <w:tc>
          <w:tcPr>
            <w:tcW w:type="dxa" w:w="4320"/>
          </w:tcPr>
          <w:p>
            <w:pPr>
              <w:spacing w:after="40"/>
            </w:pPr>
            <w:r/>
            <w:r>
              <w:rPr>
                <w:b w:val="0"/>
                <w:color w:val="3F5654"/>
                <w:sz w:val="17"/>
              </w:rPr>
              <w:t>Turns the three-year table from illustrative into real</w:t>
            </w:r>
          </w:p>
        </w:tc>
        <w:tc>
          <w:tcPr>
            <w:tcW w:type="dxa" w:w="2592"/>
          </w:tcPr>
          <w:p>
            <w:pPr>
              <w:spacing w:after="40"/>
            </w:pPr>
            <w:r/>
            <w:r>
              <w:rPr>
                <w:b w:val="0"/>
                <w:color w:val="3F5654"/>
                <w:sz w:val="17"/>
              </w:rPr>
              <w:t>No</w:t>
            </w:r>
          </w:p>
        </w:tc>
      </w:tr>
    </w:tbl>
    <w:p/>
    <w:p>
      <w:pPr>
        <w:pStyle w:val="Heading2"/>
      </w:pPr>
      <w:r>
        <w:rPr>
          <w:rFonts w:ascii="Calibri" w:hAnsi="Calibri"/>
          <w:color w:val="2C7A87"/>
          <w:sz w:val="24"/>
        </w:rPr>
        <w:t>Two things we would say out loud</w:t>
      </w:r>
    </w:p>
    <w:p>
      <w:r>
        <w:rPr>
          <w:b/>
          <w:color w:val="12211F"/>
          <w:sz w:val="20"/>
        </w:rPr>
        <w:t xml:space="preserve">The 900-hour figure does not survive its source. </w:t>
      </w:r>
      <w:r>
        <w:rPr>
          <w:i w:val="0"/>
          <w:color w:val="3F5654"/>
          <w:sz w:val="20"/>
        </w:rPr>
        <w:t>It traces to the founder's own estate, was later restated as a population average, and is now cited back by journalists as an industry estimate. It appears on at least six Alix pages with no citation. The nearest real research says 570, from a survey with a stated sample and error margin. We would use Alix's published range verbatim — 600 to 900 — because a range cannot be attacked as a false point estimate, and its low end brackets the survey.</w:t>
      </w:r>
    </w:p>
    <w:p>
      <w:r>
        <w:rPr>
          <w:b/>
          <w:color w:val="12211F"/>
          <w:sz w:val="20"/>
        </w:rPr>
        <w:t xml:space="preserve">We would not claim the verifier makes the system correct. </w:t>
      </w:r>
      <w:r>
        <w:rPr>
          <w:i w:val="0"/>
          <w:color w:val="3F5654"/>
          <w:sz w:val="20"/>
        </w:rPr>
        <w:t>It makes the system accountable, which is a smaller claim and a more defensible one. Everything this product does is designed so that when it is wrong, somebody can see exactly where and why.</w:t>
      </w:r>
    </w:p>
    <w:p>
      <w:pPr>
        <w:ind w:left="432"/>
        <w:jc w:val="left"/>
      </w:pPr>
      <w:r>
        <w:rPr>
          <w:i/>
          <w:color w:val="12211F"/>
          <w:sz w:val="22"/>
        </w:rPr>
        <w:t>“Tomorrow, if your system told me that I have to go through formal probate, you need to track me every decision that was made. You need to tell me where you got your legal information.”</w:t>
      </w:r>
    </w:p>
    <w:p>
      <w:r>
        <w:rPr>
          <w:i/>
          <w:color w:val="7A908E"/>
          <w:sz w:val="17"/>
        </w:rPr>
        <w:t>— Soren, Rules as Data track</w:t>
      </w:r>
    </w:p>
    <w:p>
      <w:r>
        <w:rPr>
          <w:i w:val="0"/>
          <w:color w:val="3F5654"/>
          <w:sz w:val="20"/>
        </w:rPr>
        <w:t>That is the whole specification, and it is the one we built to.</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3F56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