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t xml:space="preserve"/>
      </w:r>
    </w:p>
    <w:p>
      <w:pPr>
        <w:spacing w:after="60"/>
      </w:pPr>
      <w:r>
        <w:rPr>
          <w:rFonts w:ascii="Georgia" w:cs="Georgia" w:eastAsia="Georgia" w:hAnsi="Georgia"/>
          <w:b/>
          <w:bCs/>
          <w:color w:val="12211F"/>
          <w:sz w:val="72"/>
          <w:szCs w:val="72"/>
        </w:rPr>
        <w:t xml:space="preserve">Warrant</w:t>
      </w:r>
    </w:p>
    <w:p>
      <w:pPr>
        <w:spacing w:after="320"/>
      </w:pPr>
      <w:r>
        <w:rPr>
          <w:rFonts w:ascii="Georgia" w:cs="Georgia" w:eastAsia="Georgia" w:hAnsi="Georgia"/>
          <w:color w:val="2C7A87"/>
          <w:sz w:val="30"/>
          <w:szCs w:val="30"/>
        </w:rPr>
        <w:t xml:space="preserve">Complete capability reference</w:t>
      </w:r>
    </w:p>
    <w:p>
      <w:pPr>
        <w:spacing w:after="120" w:line="276"/>
      </w:pPr>
      <w:r>
        <w:rPr>
          <w:color w:val="4D6462"/>
          <w:sz w:val="22"/>
          <w:szCs w:val="22"/>
        </w:rPr>
        <w:t xml:space="preserve">Estate settlement decision, investigation and filing engine</w:t>
      </w:r>
    </w:p>
    <w:p>
      <w:pPr>
        <w:spacing w:after="420" w:line="276"/>
      </w:pPr>
      <w:r>
        <w:rPr>
          <w:color w:val="839997"/>
          <w:sz w:val="20"/>
          <w:szCs w:val="20"/>
        </w:rPr>
        <w:t xml:space="preserve">Built for the Alix “Agents of Administration” hackathon · 27–28 July 2026</w:t>
      </w:r>
    </w:p>
    <w:tbl>
      <w:tblPr>
        <w:tblW w:type="dxa" w:w="9792"/>
        <w:tblBorders>
          <w:top w:val="none"/>
          <w:left w:val="single" w:color="2C7A87" w:sz="12"/>
          <w:bottom w:val="none"/>
          <w:right w:val="none"/>
          <w:insideH w:val="none"/>
          <w:insideV w:val="none"/>
        </w:tblBorders>
      </w:tblPr>
      <w:tblGrid>
        <w:gridCol w:w="9792"/>
      </w:tblGrid>
      <w:tr>
        <w:tc>
          <w:tcPr>
            <w:tcW w:type="dxa" w:w="9792"/>
            <w:shd w:fill="EAF1F2" w:color="auto" w:val="clear"/>
            <w:tcMar>
              <w:top w:type="dxa" w:w="160"/>
              <w:left w:type="dxa" w:w="200"/>
              <w:bottom w:type="dxa" w:w="160"/>
              <w:right w:type="dxa" w:w="200"/>
            </w:tcMar>
          </w:tcPr>
          <w:p>
            <w:pPr>
              <w:spacing w:after="100" w:line="276"/>
            </w:pPr>
            <w:r>
              <w:rPr>
                <w:b/>
                <w:bCs/>
                <w:color w:val="12211F"/>
                <w:sz w:val="19"/>
                <w:szCs w:val="19"/>
              </w:rPr>
              <w:t xml:space="preserve">Status at time of writing</w:t>
            </w:r>
          </w:p>
          <w:p>
            <w:pPr>
              <w:spacing w:after="100" w:line="276"/>
            </w:pPr>
            <w:r>
              <w:rPr>
                <w:color w:val="4D6462"/>
                <w:sz w:val="19"/>
                <w:szCs w:val="19"/>
              </w:rPr>
              <w:t xml:space="preserve">153 TypeScript tests · 11 Rust tests · clean build · twelve UI panes.</w:t>
            </w:r>
          </w:p>
          <w:p>
            <w:pPr>
              <w:spacing w:after="100" w:line="276"/>
            </w:pPr>
            <w:r>
              <w:rPr>
                <w:color w:val="4D6462"/>
                <w:sz w:val="19"/>
                <w:szCs w:val="19"/>
              </w:rPr>
              <w:t xml:space="preserve">Verified: all three governing thresholds confirmed against Judicial Council form DE-300 [Rev. April 28, 2025].</w:t>
            </w:r>
          </w:p>
          <w:p>
            <w:pPr>
              <w:spacing w:after="0" w:line="276"/>
            </w:pPr>
            <w:r>
              <w:rPr>
                <w:i/>
                <w:iCs/>
                <w:color w:val="4D6462"/>
                <w:sz w:val="19"/>
                <w:szCs w:val="19"/>
              </w:rPr>
              <w:t xml:space="preserve">Not yet done: no live model call, no live Anvil call.</w:t>
            </w:r>
          </w:p>
        </w:tc>
      </w:tr>
    </w:tbl>
    <w:p>
      <w:r>
        <w:br w:type="page"/>
      </w:r>
    </w:p>
    <w:p>
      <w:pPr>
        <w:pStyle w:val="Heading1"/>
        <w:spacing w:after="160" w:before="360"/>
      </w:pPr>
      <w:r>
        <w:rPr>
          <w:rFonts w:ascii="Georgia" w:cs="Georgia" w:eastAsia="Georgia" w:hAnsi="Georgia"/>
          <w:b/>
          <w:bCs/>
          <w:color w:val="12211F"/>
          <w:sz w:val="30"/>
          <w:szCs w:val="30"/>
        </w:rPr>
        <w:t xml:space="preserve">Contents</w:t>
      </w:r>
    </w:p>
    <w:p>
      <w:pPr>
        <w:spacing w:after="200" w:line="276"/>
      </w:pPr>
      <w:r>
        <w:rPr>
          <w:i/>
          <w:iCs/>
          <w:color w:val="839997"/>
          <w:sz w:val="17"/>
          <w:szCs w:val="17"/>
        </w:rPr>
        <w:t xml:space="preserve">Right-click and choose “Update field” in Word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Georgia" w:cs="Georgia" w:eastAsia="Georgia" w:hAnsi="Georgia"/>
          <w:b/>
          <w:bCs/>
          <w:color w:val="12211F"/>
          <w:sz w:val="30"/>
          <w:szCs w:val="30"/>
        </w:rPr>
        <w:t xml:space="preserve">0. What it is</w:t>
      </w:r>
    </w:p>
    <w:p>
      <w:pPr>
        <w:spacing w:after="120" w:line="276"/>
      </w:pPr>
      <w:r>
        <w:rPr>
          <w:color w:val="4D6462"/>
          <w:sz w:val="20"/>
          <w:szCs w:val="20"/>
        </w:rPr>
        <w:t xml:space="preserve">Warrant turns a pile of estate documents into a defensible answer: which probate procedure applies, what it will cost and take, which forms must be filed and where they must go, what assets probably exist that nobody has found, and what must happen before a penny is distributed.</w:t>
      </w:r>
    </w:p>
    <w:p>
      <w:pPr>
        <w:spacing w:after="120" w:line="276"/>
      </w:pPr>
      <w:r>
        <w:rPr>
          <w:b/>
          <w:bCs/>
          <w:color w:val="12211F"/>
          <w:sz w:val="20"/>
          <w:szCs w:val="20"/>
        </w:rPr>
        <w:t xml:space="preserve">Every fact it uses carries the verbatim sentence that justifies it</w:t>
      </w:r>
      <w:r>
        <w:rPr>
          <w:color w:val="4D6462"/>
          <w:sz w:val="20"/>
          <w:szCs w:val="20"/>
        </w:rPr>
        <w:t xml:space="preserve">, checked deterministically. Every rule carries its statute, its effective date, and the date we read it. </w:t>
      </w:r>
      <w:r>
        <w:rPr>
          <w:b/>
          <w:bCs/>
          <w:color w:val="12211F"/>
          <w:sz w:val="20"/>
          <w:szCs w:val="20"/>
        </w:rPr>
        <w:t xml:space="preserve">No model runs in the decision path.</w:t>
      </w:r>
    </w:p>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1. Capability index</w:t>
      </w:r>
    </w:p>
    <w:tbl>
      <w:tblPr>
        <w:tblW w:type="dxa" w:w="9792"/>
        <w:tblBorders>
          <w:top w:val="single" w:color="DDE8E8" w:sz="2"/>
          <w:left w:val="none"/>
          <w:bottom w:val="single" w:color="DDE8E8" w:sz="2"/>
          <w:right w:val="none"/>
          <w:insideH w:val="single" w:color="DDE8E8" w:sz="2"/>
          <w:insideV w:val="none"/>
        </w:tblBorders>
      </w:tblPr>
      <w:tblGrid>
        <w:gridCol w:w="520"/>
        <w:gridCol w:w="3400"/>
        <w:gridCol w:w="3200"/>
        <w:gridCol w:w="2672"/>
      </w:tblGrid>
      <w:tr>
        <w:trPr>
          <w:tblHeader/>
        </w:trPr>
        <w:tc>
          <w:tcPr>
            <w:tcW w:type="dxa" w:w="520"/>
            <w:shd w:fill="EAF1F2" w:color="auto" w:val="clear"/>
            <w:tcMar>
              <w:top w:type="dxa" w:w="90"/>
              <w:left w:type="dxa" w:w="120"/>
              <w:bottom w:type="dxa" w:w="90"/>
              <w:right w:type="dxa" w:w="120"/>
            </w:tcMar>
          </w:tcPr>
          <w:p>
            <w:pPr>
              <w:spacing w:after="0" w:line="260"/>
            </w:pPr>
            <w:r>
              <w:rPr>
                <w:b/>
                <w:bCs/>
                <w:color w:val="12211F"/>
                <w:sz w:val="18"/>
                <w:szCs w:val="18"/>
              </w:rPr>
              <w:t xml:space="preserve">#</w:t>
            </w:r>
          </w:p>
        </w:tc>
        <w:tc>
          <w:tcPr>
            <w:tcW w:type="dxa" w:w="3400"/>
            <w:shd w:fill="EAF1F2" w:color="auto" w:val="clear"/>
            <w:tcMar>
              <w:top w:type="dxa" w:w="90"/>
              <w:left w:type="dxa" w:w="120"/>
              <w:bottom w:type="dxa" w:w="90"/>
              <w:right w:type="dxa" w:w="120"/>
            </w:tcMar>
          </w:tcPr>
          <w:p>
            <w:pPr>
              <w:spacing w:after="0" w:line="260"/>
            </w:pPr>
            <w:r>
              <w:rPr>
                <w:b/>
                <w:bCs/>
                <w:color w:val="12211F"/>
                <w:sz w:val="18"/>
                <w:szCs w:val="18"/>
              </w:rPr>
              <w:t xml:space="preserve">Capability</w:t>
            </w:r>
          </w:p>
        </w:tc>
        <w:tc>
          <w:tcPr>
            <w:tcW w:type="dxa" w:w="3200"/>
            <w:shd w:fill="EAF1F2" w:color="auto" w:val="clear"/>
            <w:tcMar>
              <w:top w:type="dxa" w:w="90"/>
              <w:left w:type="dxa" w:w="120"/>
              <w:bottom w:type="dxa" w:w="90"/>
              <w:right w:type="dxa" w:w="120"/>
            </w:tcMar>
          </w:tcPr>
          <w:p>
            <w:pPr>
              <w:spacing w:after="0" w:line="260"/>
            </w:pPr>
            <w:r>
              <w:rPr>
                <w:b/>
                <w:bCs/>
                <w:color w:val="12211F"/>
                <w:sz w:val="18"/>
                <w:szCs w:val="18"/>
              </w:rPr>
              <w:t xml:space="preserve">Module</w:t>
            </w:r>
          </w:p>
        </w:tc>
        <w:tc>
          <w:tcPr>
            <w:tcW w:type="dxa" w:w="2672"/>
            <w:shd w:fill="EAF1F2" w:color="auto" w:val="clear"/>
            <w:tcMar>
              <w:top w:type="dxa" w:w="90"/>
              <w:left w:type="dxa" w:w="120"/>
              <w:bottom w:type="dxa" w:w="90"/>
              <w:right w:type="dxa" w:w="120"/>
            </w:tcMar>
          </w:tcPr>
          <w:p>
            <w:pPr>
              <w:spacing w:after="0" w:line="260"/>
            </w:pPr>
            <w:r>
              <w:rPr>
                <w:b/>
                <w:bCs/>
                <w:color w:val="12211F"/>
                <w:sz w:val="18"/>
                <w:szCs w:val="18"/>
              </w:rPr>
              <w:t xml:space="preserve">Status</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Document ingestion — PDF, DOCX, XLSX, PPTX, text</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src-tauri/src/docs.rs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9 Rust tests</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2</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Deterministic quote verification</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src/lib/verify.ts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3</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Fact ledger with warrants and quarantine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src/lib/facts.ts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4</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Derivation — exclusions, sums, elapsed time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src/lib/derive.ts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5</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Rules as data, three-valued evaluation</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src/lib/rules.ts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6</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Gap detection</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src/lib/gaps.ts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7</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Dependency-tracked re-evaluation</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src/lib/reactor.ts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8</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Reversibility × blast-radius approval gate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src/lib/risk.ts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9</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Lead engine — assets nobody has found yet</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src/lib/leads.ts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10</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Administration task graph</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src/lib/tasks.ts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11</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Statutory deadline engine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src/lib/tasks.ts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12</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Distribution gate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src/lib/session.ts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13</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Universal document store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src/lib/formstore.ts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14</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Dispatch planning</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src/lib/formstore.ts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15</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Form field binding with provenance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src/lib/anvil.ts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16</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Anvil register / reconcile / fill / sign / retrieve</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src-tauri/src/anvil.rs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never run live</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17</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California rule pack</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src/rules/ca-probate.ts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single-sourced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18</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All 58 California counties</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src/rules/ca-counties.ts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Built, 3 researched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19</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Multi-model provider layer</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src-tauri/src/providers.rs</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Inherited, audited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20</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Injection fencing, rate limit, spend cap</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safety / limiter / budget</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Inherited, tested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21</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LLM extraction</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Stubbed</w:t>
            </w:r>
          </w:p>
        </w:tc>
      </w:tr>
      <w:tr>
        <w:trPr>
          <w:tblHeader w:val="false"/>
        </w:trPr>
        <w:tc>
          <w:tcPr>
            <w:tcW w:type="dxa" w:w="520"/>
            <w:tcMar>
              <w:top w:type="dxa" w:w="90"/>
              <w:left w:type="dxa" w:w="120"/>
              <w:bottom w:type="dxa" w:w="90"/>
              <w:right w:type="dxa" w:w="120"/>
            </w:tcMar>
          </w:tcPr>
          <w:p>
            <w:pPr>
              <w:spacing w:after="0" w:line="260"/>
            </w:pPr>
            <w:r>
              <w:rPr>
                <w:b w:val="false"/>
                <w:bCs w:val="false"/>
                <w:color w:val="4D6462"/>
                <w:sz w:val="18"/>
                <w:szCs w:val="18"/>
              </w:rPr>
              <w:t xml:space="preserve">22</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Voice / phone (Track 2)</w:t>
            </w:r>
          </w:p>
        </w:tc>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w:t>
            </w:r>
          </w:p>
        </w:tc>
        <w:tc>
          <w:tcPr>
            <w:tcW w:type="dxa" w:w="2672"/>
            <w:tcMar>
              <w:top w:type="dxa" w:w="90"/>
              <w:left w:type="dxa" w:w="120"/>
              <w:bottom w:type="dxa" w:w="90"/>
              <w:right w:type="dxa" w:w="120"/>
            </w:tcMar>
          </w:tcPr>
          <w:p>
            <w:pPr>
              <w:spacing w:after="0" w:line="260"/>
            </w:pPr>
            <w:r>
              <w:rPr>
                <w:b w:val="false"/>
                <w:bCs w:val="false"/>
                <w:color w:val="4D6462"/>
                <w:sz w:val="18"/>
                <w:szCs w:val="18"/>
              </w:rPr>
              <w:t xml:space="preserve">Designed, not built</w:t>
            </w:r>
          </w:p>
        </w:tc>
      </w:tr>
    </w:tbl>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2. Evidence layer</w:t>
      </w:r>
    </w:p>
    <w:p>
      <w:pPr>
        <w:pStyle w:val="Heading2"/>
        <w:spacing w:after="120" w:before="260"/>
      </w:pPr>
      <w:r>
        <w:rPr>
          <w:rFonts w:ascii="Georgia" w:cs="Georgia" w:eastAsia="Georgia" w:hAnsi="Georgia"/>
          <w:b/>
          <w:bCs/>
          <w:color w:val="12211F"/>
          <w:sz w:val="24"/>
          <w:szCs w:val="24"/>
        </w:rPr>
        <w:t xml:space="preserve">2.1 Document ingestion</w:t>
      </w:r>
    </w:p>
    <w:p>
      <w:pPr>
        <w:spacing w:after="120" w:line="276"/>
      </w:pPr>
      <w:r>
        <w:rPr>
          <w:color w:val="4D6462"/>
          <w:sz w:val="20"/>
          <w:szCs w:val="20"/>
        </w:rPr>
        <w:t xml:space="preserve">Extracts text from PDF, XLSX/XLSM/XLS, DOCX, PPTX and plain text, in Rust.</w:t>
      </w:r>
    </w:p>
    <w:p>
      <w:pPr>
        <w:pStyle w:val="ListParagraph"/>
        <w:numPr>
          <w:ilvl w:val="0"/>
          <w:numId w:val="2"/>
        </w:numPr>
        <w:spacing w:after="80" w:line="276"/>
      </w:pPr>
      <w:r>
        <w:rPr>
          <w:color w:val="4D6462"/>
          <w:sz w:val="20"/>
          <w:szCs w:val="20"/>
        </w:rPr>
        <w:t xml:space="preserve">Spreadsheets retain sheet and row structure.</w:t>
      </w:r>
    </w:p>
    <w:p>
      <w:pPr>
        <w:pStyle w:val="ListParagraph"/>
        <w:numPr>
          <w:ilvl w:val="0"/>
          <w:numId w:val="2"/>
        </w:numPr>
        <w:spacing w:after="80" w:line="276"/>
      </w:pPr>
      <w:r>
        <w:rPr>
          <w:color w:val="4D6462"/>
          <w:sz w:val="20"/>
          <w:szCs w:val="20"/>
        </w:rPr>
        <w:t xml:space="preserve">Word runs split mid-sentence are rejoined. This is load-bearing: a quote verifier fails against a document whose sentences the extractor shredded.</w:t>
      </w:r>
    </w:p>
    <w:p>
      <w:pPr>
        <w:pStyle w:val="ListParagraph"/>
        <w:numPr>
          <w:ilvl w:val="0"/>
          <w:numId w:val="2"/>
        </w:numPr>
        <w:spacing w:after="80" w:line="276"/>
      </w:pPr>
      <w:r>
        <w:rPr>
          <w:color w:val="4D6462"/>
          <w:sz w:val="20"/>
          <w:szCs w:val="20"/>
        </w:rPr>
        <w:t xml:space="preserve">Malformed PDFs are contained rather than crashing the run.</w:t>
      </w:r>
    </w:p>
    <w:p>
      <w:pPr>
        <w:pStyle w:val="ListParagraph"/>
        <w:numPr>
          <w:ilvl w:val="0"/>
          <w:numId w:val="2"/>
        </w:numPr>
        <w:spacing w:after="80" w:line="276"/>
      </w:pPr>
      <w:r>
        <w:rPr>
          <w:color w:val="4D6462"/>
          <w:sz w:val="20"/>
          <w:szCs w:val="20"/>
        </w:rPr>
        <w:t xml:space="preserve">Low-yield PDFs are flagged as probable scans rather than imported blank.</w:t>
      </w:r>
    </w:p>
    <w:p>
      <w:pPr>
        <w:spacing w:after="200" w:line="276"/>
      </w:pPr>
      <w:r>
        <w:rPr>
          <w:color w:val="4D6462"/>
          <w:sz w:val="20"/>
          <w:szCs w:val="20"/>
        </w:rPr>
        <w:t xml:space="preserve">Tested against committed real Office and PDF fixtures, so a Windows checkout that mangles binaries fails loudly.</w:t>
      </w:r>
    </w:p>
    <w:p>
      <w:pPr>
        <w:pStyle w:val="Heading2"/>
        <w:spacing w:after="120" w:before="260"/>
      </w:pPr>
      <w:r>
        <w:rPr>
          <w:rFonts w:ascii="Georgia" w:cs="Georgia" w:eastAsia="Georgia" w:hAnsi="Georgia"/>
          <w:b/>
          <w:bCs/>
          <w:color w:val="12211F"/>
          <w:sz w:val="24"/>
          <w:szCs w:val="24"/>
        </w:rPr>
        <w:t xml:space="preserve">2.2 Deterministic quote verification</w:t>
      </w:r>
    </w:p>
    <w:p>
      <w:pPr>
        <w:spacing w:after="120" w:line="276"/>
      </w:pPr>
      <w:r>
        <w:rPr>
          <w:color w:val="4D6462"/>
          <w:sz w:val="20"/>
          <w:szCs w:val="20"/>
        </w:rPr>
        <w:t xml:space="preserve">Given a claimed quotation and a document set, locates it or proves it absent.</w:t>
      </w:r>
    </w:p>
    <w:p>
      <w:pPr>
        <w:pStyle w:val="ListParagraph"/>
        <w:numPr>
          <w:ilvl w:val="0"/>
          <w:numId w:val="2"/>
        </w:numPr>
        <w:spacing w:after="80" w:line="276"/>
      </w:pPr>
      <w:r>
        <w:rPr>
          <w:color w:val="4D6462"/>
          <w:sz w:val="20"/>
          <w:szCs w:val="20"/>
        </w:rPr>
        <w:t xml:space="preserve">Normalised exact match first, tolerating whitespace and smart quotes.</w:t>
      </w:r>
    </w:p>
    <w:p>
      <w:pPr>
        <w:pStyle w:val="ListParagraph"/>
        <w:numPr>
          <w:ilvl w:val="0"/>
          <w:numId w:val="2"/>
        </w:numPr>
        <w:spacing w:after="80" w:line="276"/>
      </w:pPr>
      <w:r>
        <w:rPr>
          <w:color w:val="4D6462"/>
          <w:sz w:val="20"/>
          <w:szCs w:val="20"/>
        </w:rPr>
        <w:t xml:space="preserve">Then n-gram coverage, so paraphrase degrades smoothly below verbatim.</w:t>
      </w:r>
    </w:p>
    <w:p>
      <w:pPr>
        <w:pStyle w:val="ListParagraph"/>
        <w:numPr>
          <w:ilvl w:val="0"/>
          <w:numId w:val="2"/>
        </w:numPr>
        <w:spacing w:after="80" w:line="276"/>
      </w:pPr>
      <w:r>
        <w:rPr>
          <w:color w:val="4D6462"/>
          <w:sz w:val="20"/>
          <w:szCs w:val="20"/>
        </w:rPr>
        <w:t xml:space="preserve">Returns a character span for click-through to the source.</w:t>
      </w:r>
    </w:p>
    <w:p>
      <w:pPr>
        <w:spacing w:after="120" w:line="276"/>
      </w:pPr>
      <w:r>
        <w:rPr>
          <w:color w:val="4D6462"/>
          <w:sz w:val="20"/>
          <w:szCs w:val="20"/>
        </w:rPr>
        <w:t xml:space="preserve">Four verdicts: verified (exact, in the cited document), loose (found elsewhere or partial), unsupported (nowhere), no_citation.</w:t>
      </w:r>
    </w:p>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0" w:line="276"/>
            </w:pPr>
            <w:r>
              <w:rPr>
                <w:b/>
                <w:bCs/>
                <w:color w:val="12211F"/>
                <w:sz w:val="19"/>
                <w:szCs w:val="19"/>
              </w:rPr>
              <w:t xml:space="preserve">No model participates. We never ask a second model whether the first was honest, so fabrication is caught with certainty rather than probability.</w:t>
            </w:r>
          </w:p>
        </w:tc>
      </w:tr>
    </w:tbl>
    <w:p>
      <w:pPr>
        <w:spacing w:after="160"/>
      </w:pPr>
      <w:r>
        <w:t xml:space="preserve"/>
      </w:r>
    </w:p>
    <w:p>
      <w:pPr>
        <w:pStyle w:val="Heading2"/>
        <w:spacing w:after="120" w:before="260"/>
      </w:pPr>
      <w:r>
        <w:rPr>
          <w:rFonts w:ascii="Georgia" w:cs="Georgia" w:eastAsia="Georgia" w:hAnsi="Georgia"/>
          <w:b/>
          <w:bCs/>
          <w:color w:val="12211F"/>
          <w:sz w:val="24"/>
          <w:szCs w:val="24"/>
        </w:rPr>
        <w:t xml:space="preserve">2.3 Fact ledger</w:t>
      </w:r>
    </w:p>
    <w:p>
      <w:pPr>
        <w:spacing w:after="120" w:line="276"/>
      </w:pPr>
      <w:r>
        <w:rPr>
          <w:color w:val="4D6462"/>
          <w:sz w:val="20"/>
          <w:szCs w:val="20"/>
        </w:rPr>
        <w:t xml:space="preserve">Every fact carries a warrant, which is one of two things:</w:t>
      </w:r>
    </w:p>
    <w:p>
      <w:pPr>
        <w:pStyle w:val="ListParagraph"/>
        <w:numPr>
          <w:ilvl w:val="0"/>
          <w:numId w:val="2"/>
        </w:numPr>
        <w:spacing w:after="80" w:line="276"/>
      </w:pPr>
      <w:r>
        <w:rPr>
          <w:color w:val="4D6462"/>
          <w:sz w:val="20"/>
          <w:szCs w:val="20"/>
        </w:rPr>
        <w:t xml:space="preserve">QuoteWarrant — the verbatim sentence a model cited, the verification verdict, the similarity score, and the character span.</w:t>
      </w:r>
    </w:p>
    <w:p>
      <w:pPr>
        <w:pStyle w:val="ListParagraph"/>
        <w:numPr>
          <w:ilvl w:val="0"/>
          <w:numId w:val="2"/>
        </w:numPr>
        <w:spacing w:after="80" w:line="276"/>
      </w:pPr>
      <w:r>
        <w:rPr>
          <w:color w:val="4D6462"/>
          <w:sz w:val="20"/>
          <w:szCs w:val="20"/>
        </w:rPr>
        <w:t xml:space="preserve">DerivedWarrant — the formula and the fact keys it consumed.</w:t>
      </w:r>
    </w:p>
    <w:p>
      <w:pPr>
        <w:spacing w:after="120" w:line="276"/>
      </w:pPr>
      <w:r>
        <w:rPr>
          <w:color w:val="4D6462"/>
          <w:sz w:val="20"/>
          <w:szCs w:val="20"/>
        </w:rPr>
        <w:t xml:space="preserve">Facts also carry asOf dates, supersession, and the model that proposed them.</w:t>
      </w:r>
    </w:p>
    <w:p>
      <w:pPr>
        <w:spacing w:after="120" w:line="276"/>
      </w:pPr>
      <w:r>
        <w:rPr>
          <w:color w:val="4D6462"/>
          <w:sz w:val="20"/>
          <w:szCs w:val="20"/>
        </w:rPr>
        <w:t xml:space="preserve">Only exact quotation earns </w:t>
      </w:r>
      <w:r>
        <w:rPr>
          <w:rFonts w:ascii="Consolas" w:cs="Consolas" w:eastAsia="Consolas" w:hAnsi="Consolas"/>
          <w:color w:val="12211F"/>
          <w:sz w:val="20"/>
          <w:szCs w:val="20"/>
        </w:rPr>
        <w:t xml:space="preserve">verified</w:t>
      </w:r>
      <w:r>
        <w:rPr>
          <w:color w:val="4D6462"/>
          <w:sz w:val="20"/>
          <w:szCs w:val="20"/>
        </w:rPr>
        <w:t xml:space="preserve">. A loose match is deliberately not good enough — in a domain where being wrong costs six months, “probably said something like this” is not evidence.</w:t>
      </w:r>
    </w:p>
    <w:p>
      <w:pPr>
        <w:spacing w:after="120" w:line="276"/>
      </w:pPr>
      <w:r>
        <w:rPr>
          <w:rFonts w:ascii="Consolas" w:cs="Consolas" w:eastAsia="Consolas" w:hAnsi="Consolas"/>
          <w:color w:val="12211F"/>
          <w:sz w:val="20"/>
          <w:szCs w:val="20"/>
        </w:rPr>
        <w:t xml:space="preserve">ledger()</w:t>
      </w:r>
      <w:r>
        <w:rPr>
          <w:color w:val="4D6462"/>
          <w:sz w:val="20"/>
          <w:szCs w:val="20"/>
        </w:rPr>
        <w:t xml:space="preserve"> returns verified facts only, so a quarantined fact is structurally unreachable by the rules engine. It stays visible so a reviewer can see exactly what the model tried to assert and on what basis.</w:t>
      </w:r>
    </w:p>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3. Reasoning layer</w:t>
      </w:r>
    </w:p>
    <w:p>
      <w:pPr>
        <w:pStyle w:val="Heading2"/>
        <w:spacing w:after="120" w:before="260"/>
      </w:pPr>
      <w:r>
        <w:rPr>
          <w:rFonts w:ascii="Georgia" w:cs="Georgia" w:eastAsia="Georgia" w:hAnsi="Georgia"/>
          <w:b/>
          <w:bCs/>
          <w:color w:val="12211F"/>
          <w:sz w:val="24"/>
          <w:szCs w:val="24"/>
        </w:rPr>
        <w:t xml:space="preserve">3.1 Derivation</w:t>
      </w:r>
    </w:p>
    <w:p>
      <w:pPr>
        <w:spacing w:after="120" w:line="276"/>
      </w:pPr>
      <w:r>
        <w:rPr>
          <w:color w:val="4D6462"/>
          <w:sz w:val="20"/>
          <w:szCs w:val="20"/>
        </w:rPr>
        <w:t xml:space="preserve">No model performs arithmetic anywhere in this system. Models extract individually-quoted values; code sums them under a cited rule.</w:t>
      </w:r>
    </w:p>
    <w:p>
      <w:pPr>
        <w:pStyle w:val="ListParagraph"/>
        <w:numPr>
          <w:ilvl w:val="0"/>
          <w:numId w:val="2"/>
        </w:numPr>
        <w:spacing w:after="80" w:line="276"/>
      </w:pPr>
      <w:r>
        <w:rPr>
          <w:color w:val="4D6462"/>
          <w:sz w:val="20"/>
          <w:szCs w:val="20"/>
        </w:rPr>
        <w:t xml:space="preserve">Statutory exclusions are data: joint tenancy, named beneficiary, funded trust, registered vehicle, passing to a surviving spouse.</w:t>
      </w:r>
    </w:p>
    <w:p>
      <w:pPr>
        <w:pStyle w:val="ListParagraph"/>
        <w:numPr>
          <w:ilvl w:val="0"/>
          <w:numId w:val="2"/>
        </w:numPr>
        <w:spacing w:after="80" w:line="276"/>
      </w:pPr>
      <w:r>
        <w:rPr>
          <w:color w:val="4D6462"/>
          <w:sz w:val="20"/>
          <w:szCs w:val="20"/>
        </w:rPr>
        <w:t xml:space="preserve">Asset facts follow asset.&lt;id&gt;.value and asset.&lt;id&gt;.&lt;flag&gt;, so a new asset class needs no code change and no migration.</w:t>
      </w:r>
    </w:p>
    <w:p>
      <w:pPr>
        <w:pStyle w:val="ListParagraph"/>
        <w:numPr>
          <w:ilvl w:val="0"/>
          <w:numId w:val="2"/>
        </w:numPr>
        <w:spacing w:after="80" w:line="276"/>
      </w:pPr>
      <w:r>
        <w:rPr>
          <w:color w:val="4D6462"/>
          <w:sz w:val="20"/>
          <w:szCs w:val="20"/>
        </w:rPr>
        <w:t xml:space="preserve">Elapsed-time facts recompute every run, so a waiting period expiring is itself a change the reactor notices.</w:t>
      </w:r>
    </w:p>
    <w:p>
      <w:pPr>
        <w:pStyle w:val="Heading2"/>
        <w:spacing w:after="120" w:before="260"/>
      </w:pPr>
      <w:r>
        <w:rPr>
          <w:rFonts w:ascii="Georgia" w:cs="Georgia" w:eastAsia="Georgia" w:hAnsi="Georgia"/>
          <w:b/>
          <w:bCs/>
          <w:color w:val="12211F"/>
          <w:sz w:val="24"/>
          <w:szCs w:val="24"/>
        </w:rPr>
        <w:t xml:space="preserve">3.2 Rules as data</w:t>
      </w:r>
    </w:p>
    <w:p>
      <w:pPr>
        <w:spacing w:after="120" w:line="276"/>
      </w:pPr>
      <w:r>
        <w:rPr>
          <w:color w:val="4D6462"/>
          <w:sz w:val="20"/>
          <w:szCs w:val="20"/>
        </w:rPr>
        <w:t xml:space="preserve">A rule is a JSON-serialisable object carrying its predicate, its consequences and its authority.</w:t>
      </w:r>
    </w:p>
    <w:tbl>
      <w:tblPr>
        <w:tblW w:type="dxa" w:w="9792"/>
        <w:tblBorders>
          <w:top w:val="single" w:color="DDE8E8" w:sz="2"/>
          <w:left w:val="none"/>
          <w:bottom w:val="single" w:color="DDE8E8" w:sz="2"/>
          <w:right w:val="none"/>
          <w:insideH w:val="single" w:color="DDE8E8" w:sz="2"/>
          <w:insideV w:val="none"/>
        </w:tblBorders>
      </w:tblPr>
      <w:tblGrid>
        <w:gridCol w:w="2600"/>
        <w:gridCol w:w="7192"/>
      </w:tblGrid>
      <w:tr>
        <w:trPr>
          <w:tblHeader/>
        </w:trPr>
        <w:tc>
          <w:tcPr>
            <w:tcW w:type="dxa" w:w="2600"/>
            <w:shd w:fill="EAF1F2" w:color="auto" w:val="clear"/>
            <w:tcMar>
              <w:top w:type="dxa" w:w="90"/>
              <w:left w:type="dxa" w:w="120"/>
              <w:bottom w:type="dxa" w:w="90"/>
              <w:right w:type="dxa" w:w="120"/>
            </w:tcMar>
          </w:tcPr>
          <w:p>
            <w:pPr>
              <w:spacing w:after="0" w:line="260"/>
            </w:pPr>
            <w:r>
              <w:rPr>
                <w:b/>
                <w:bCs/>
                <w:color w:val="12211F"/>
                <w:sz w:val="18"/>
                <w:szCs w:val="18"/>
              </w:rPr>
              <w:t xml:space="preserve">Field</w:t>
            </w:r>
          </w:p>
        </w:tc>
        <w:tc>
          <w:tcPr>
            <w:tcW w:type="dxa" w:w="7192"/>
            <w:shd w:fill="EAF1F2" w:color="auto" w:val="clear"/>
            <w:tcMar>
              <w:top w:type="dxa" w:w="90"/>
              <w:left w:type="dxa" w:w="120"/>
              <w:bottom w:type="dxa" w:w="90"/>
              <w:right w:type="dxa" w:w="120"/>
            </w:tcMar>
          </w:tcPr>
          <w:p>
            <w:pPr>
              <w:spacing w:after="0" w:line="260"/>
            </w:pPr>
            <w:r>
              <w:rPr>
                <w:b/>
                <w:bCs/>
                <w:color w:val="12211F"/>
                <w:sz w:val="18"/>
                <w:szCs w:val="18"/>
              </w:rPr>
              <w:t xml:space="preserve">Purpose</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decisionPoint</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Groups rules that compete to answer the same question</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jurisdiction</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State, and optionally county — county overlays statewide automatically</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requires</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Facts that must be held before the rule can even be evaluated</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when</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Predicate tree: all, any, not, {fact, op, value}, exists, missing</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then</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Conclusion, forms, obligations, timeline, estimated cost</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authority</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Citation, source URL, effective date, and the date we read it</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estimates</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Names any figure that is a practice estimate rather than sourced</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priority</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Resolves competition when several rules fire</w:t>
            </w:r>
          </w:p>
        </w:tc>
      </w:tr>
      <w:tr>
        <w:trPr>
          <w:tblHeader w:val="false"/>
        </w:trPr>
        <w:tc>
          <w:tcPr>
            <w:tcW w:type="dxa" w:w="26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blastRadius / reversibility</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Drives the human-approval gate</w:t>
            </w:r>
          </w:p>
        </w:tc>
      </w:tr>
    </w:tbl>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0" w:line="276"/>
            </w:pPr>
            <w:r>
              <w:rPr>
                <w:color w:val="12211F"/>
                <w:sz w:val="19"/>
                <w:szCs w:val="19"/>
              </w:rPr>
              <w:t xml:space="preserve">An uncited number sitting silently beside cited ones is the failure this project exists to prevent, so labelling estimates is mandatory rather than optional.</w:t>
            </w:r>
          </w:p>
        </w:tc>
      </w:tr>
    </w:tbl>
    <w:p>
      <w:pPr>
        <w:spacing w:after="160"/>
      </w:pPr>
      <w:r>
        <w:t xml:space="preserve"/>
      </w:r>
    </w:p>
    <w:p>
      <w:pPr>
        <w:pStyle w:val="Heading2"/>
        <w:spacing w:after="120" w:before="260"/>
      </w:pPr>
      <w:r>
        <w:rPr>
          <w:rFonts w:ascii="Georgia" w:cs="Georgia" w:eastAsia="Georgia" w:hAnsi="Georgia"/>
          <w:b/>
          <w:bCs/>
          <w:color w:val="12211F"/>
          <w:sz w:val="24"/>
          <w:szCs w:val="24"/>
        </w:rPr>
        <w:t xml:space="preserve">3.3 Three-valued evaluation</w:t>
      </w:r>
    </w:p>
    <w:p>
      <w:pPr>
        <w:spacing w:after="120" w:line="276"/>
      </w:pPr>
      <w:r>
        <w:rPr>
          <w:color w:val="4D6462"/>
          <w:sz w:val="20"/>
          <w:szCs w:val="20"/>
        </w:rPr>
        <w:t xml:space="preserve">A predicate over a fact we do not hold evaluates to </w:t>
      </w:r>
      <w:r>
        <w:rPr>
          <w:b/>
          <w:bCs/>
          <w:color w:val="12211F"/>
          <w:sz w:val="20"/>
          <w:szCs w:val="20"/>
        </w:rPr>
        <w:t xml:space="preserve">unknown</w:t>
      </w:r>
      <w:r>
        <w:rPr>
          <w:color w:val="4D6462"/>
          <w:sz w:val="20"/>
          <w:szCs w:val="20"/>
        </w:rPr>
        <w:t xml:space="preserve">, never false. Kleene logic in and / or / not.</w:t>
      </w:r>
    </w:p>
    <w:p>
      <w:pPr>
        <w:spacing w:after="120" w:line="276"/>
      </w:pPr>
      <w:r>
        <w:rPr>
          <w:color w:val="4D6462"/>
          <w:sz w:val="20"/>
          <w:szCs w:val="20"/>
        </w:rPr>
        <w:t xml:space="preserve">A rule whose condition is unknown does not quietly fail to fire. It reports itself blocked and names the fact keys it needed — so gap detection falls out of the same machinery that decides, rather than being a separate feature.</w:t>
      </w:r>
    </w:p>
    <w:p>
      <w:pPr>
        <w:spacing w:after="120" w:line="276"/>
      </w:pPr>
      <w:r>
        <w:rPr>
          <w:color w:val="4D6462"/>
          <w:sz w:val="20"/>
          <w:szCs w:val="20"/>
        </w:rPr>
        <w:t xml:space="preserve">Evaluation records every fact key consulted and produces a step-by-step trace rendered in the interface.</w:t>
      </w:r>
    </w:p>
    <w:p>
      <w:pPr>
        <w:pStyle w:val="Heading2"/>
        <w:spacing w:after="120" w:before="260"/>
      </w:pPr>
      <w:r>
        <w:rPr>
          <w:rFonts w:ascii="Georgia" w:cs="Georgia" w:eastAsia="Georgia" w:hAnsi="Georgia"/>
          <w:b/>
          <w:bCs/>
          <w:color w:val="12211F"/>
          <w:sz w:val="24"/>
          <w:szCs w:val="24"/>
        </w:rPr>
        <w:t xml:space="preserve">3.4 Dependency-tracked re-evaluation</w:t>
      </w:r>
    </w:p>
    <w:p>
      <w:pPr>
        <w:spacing w:after="120" w:line="276"/>
      </w:pPr>
      <w:r>
        <w:rPr>
          <w:color w:val="4D6462"/>
          <w:sz w:val="20"/>
          <w:szCs w:val="20"/>
        </w:rPr>
        <w:t xml:space="preserve">Diffs two ledgers, intersects changed fact keys with each decision's recorded dependency set, re-runs only the affected decision points, and carries the rest forward unchanged.</w:t>
      </w:r>
    </w:p>
    <w:p>
      <w:pPr>
        <w:spacing w:after="120" w:line="276"/>
      </w:pPr>
      <w:r>
        <w:rPr>
          <w:color w:val="4D6462"/>
          <w:sz w:val="20"/>
          <w:szCs w:val="20"/>
        </w:rPr>
        <w:t xml:space="preserve">Emits a Change Report: the fact that moved, the quotation that moved it, the rules that consequently fired, forms added and removed, obligations gained, and the decision points that were provably untouched.</w:t>
      </w:r>
    </w:p>
    <w:p>
      <w:pPr>
        <w:pStyle w:val="Heading2"/>
        <w:spacing w:after="120" w:before="260"/>
      </w:pPr>
      <w:r>
        <w:rPr>
          <w:rFonts w:ascii="Georgia" w:cs="Georgia" w:eastAsia="Georgia" w:hAnsi="Georgia"/>
          <w:b/>
          <w:bCs/>
          <w:color w:val="12211F"/>
          <w:sz w:val="24"/>
          <w:szCs w:val="24"/>
        </w:rPr>
        <w:t xml:space="preserve">3.5 Approval gate</w:t>
      </w:r>
    </w:p>
    <w:tbl>
      <w:tblPr>
        <w:tblW w:type="dxa" w:w="9792"/>
        <w:tblBorders>
          <w:top w:val="single" w:color="DDE8E8" w:sz="2"/>
          <w:left w:val="none"/>
          <w:bottom w:val="single" w:color="DDE8E8" w:sz="2"/>
          <w:right w:val="none"/>
          <w:insideH w:val="single" w:color="DDE8E8" w:sz="2"/>
          <w:insideV w:val="none"/>
        </w:tblBorders>
      </w:tblPr>
      <w:tblGrid>
        <w:gridCol w:w="3200"/>
        <w:gridCol w:w="6592"/>
      </w:tblGrid>
      <w:tr>
        <w:trPr>
          <w:tblHeader/>
        </w:trPr>
        <w:tc>
          <w:tcPr>
            <w:tcW w:type="dxa" w:w="3200"/>
            <w:shd w:fill="EAF1F2" w:color="auto" w:val="clear"/>
            <w:tcMar>
              <w:top w:type="dxa" w:w="90"/>
              <w:left w:type="dxa" w:w="120"/>
              <w:bottom w:type="dxa" w:w="90"/>
              <w:right w:type="dxa" w:w="120"/>
            </w:tcMar>
          </w:tcPr>
          <w:p>
            <w:pPr>
              <w:spacing w:after="0" w:line="260"/>
            </w:pPr>
            <w:r>
              <w:rPr>
                <w:b/>
                <w:bCs/>
                <w:color w:val="12211F"/>
                <w:sz w:val="18"/>
                <w:szCs w:val="18"/>
              </w:rPr>
              <w:t xml:space="preserve">Outcome</w:t>
            </w:r>
          </w:p>
        </w:tc>
        <w:tc>
          <w:tcPr>
            <w:tcW w:type="dxa" w:w="6592"/>
            <w:shd w:fill="EAF1F2" w:color="auto" w:val="clear"/>
            <w:tcMar>
              <w:top w:type="dxa" w:w="90"/>
              <w:left w:type="dxa" w:w="120"/>
              <w:bottom w:type="dxa" w:w="90"/>
              <w:right w:type="dxa" w:w="120"/>
            </w:tcMar>
          </w:tcPr>
          <w:p>
            <w:pPr>
              <w:spacing w:after="0" w:line="260"/>
            </w:pPr>
            <w:r>
              <w:rPr>
                <w:b/>
                <w:bCs/>
                <w:color w:val="12211F"/>
                <w:sz w:val="18"/>
                <w:szCs w:val="18"/>
              </w:rPr>
              <w:t xml:space="preserve">Condition</w:t>
            </w:r>
          </w:p>
        </w:tc>
      </w:tr>
      <w:tr>
        <w:trPr>
          <w:tblHeader w:val="false"/>
        </w:trPr>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auto</w:t>
            </w:r>
          </w:p>
        </w:tc>
        <w:tc>
          <w:tcPr>
            <w:tcW w:type="dxa" w:w="6592"/>
            <w:tcMar>
              <w:top w:type="dxa" w:w="90"/>
              <w:left w:type="dxa" w:w="120"/>
              <w:bottom w:type="dxa" w:w="90"/>
              <w:right w:type="dxa" w:w="120"/>
            </w:tcMar>
          </w:tcPr>
          <w:p>
            <w:pPr>
              <w:spacing w:after="0" w:line="260"/>
            </w:pPr>
            <w:r>
              <w:rPr>
                <w:b w:val="false"/>
                <w:bCs w:val="false"/>
                <w:color w:val="4D6462"/>
                <w:sz w:val="18"/>
                <w:szCs w:val="18"/>
              </w:rPr>
              <w:t xml:space="preserve">Reversible and not high blast radius — safe to action automatically</w:t>
            </w:r>
          </w:p>
        </w:tc>
      </w:tr>
      <w:tr>
        <w:trPr>
          <w:tblHeader w:val="false"/>
        </w:trPr>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review</w:t>
            </w:r>
          </w:p>
        </w:tc>
        <w:tc>
          <w:tcPr>
            <w:tcW w:type="dxa" w:w="6592"/>
            <w:tcMar>
              <w:top w:type="dxa" w:w="90"/>
              <w:left w:type="dxa" w:w="120"/>
              <w:bottom w:type="dxa" w:w="90"/>
              <w:right w:type="dxa" w:w="120"/>
            </w:tcMar>
          </w:tcPr>
          <w:p>
            <w:pPr>
              <w:spacing w:after="0" w:line="260"/>
            </w:pPr>
            <w:r>
              <w:rPr>
                <w:b w:val="false"/>
                <w:bCs w:val="false"/>
                <w:color w:val="4D6462"/>
                <w:sz w:val="18"/>
                <w:szCs w:val="18"/>
              </w:rPr>
              <w:t xml:space="preserve">Irreversible, costly, or high blast radius — a named human signs</w:t>
            </w:r>
          </w:p>
        </w:tc>
      </w:tr>
      <w:tr>
        <w:trPr>
          <w:tblHeader w:val="false"/>
        </w:trPr>
        <w:tc>
          <w:tcPr>
            <w:tcW w:type="dxa" w:w="3200"/>
            <w:tcMar>
              <w:top w:type="dxa" w:w="90"/>
              <w:left w:type="dxa" w:w="120"/>
              <w:bottom w:type="dxa" w:w="90"/>
              <w:right w:type="dxa" w:w="120"/>
            </w:tcMar>
          </w:tcPr>
          <w:p>
            <w:pPr>
              <w:spacing w:after="0" w:line="260"/>
            </w:pPr>
            <w:r>
              <w:rPr>
                <w:rFonts w:ascii="Consolas" w:cs="Consolas" w:eastAsia="Consolas" w:hAnsi="Consolas"/>
                <w:b w:val="false"/>
                <w:bCs w:val="false"/>
                <w:color w:val="4D6462"/>
                <w:sz w:val="18"/>
                <w:szCs w:val="18"/>
              </w:rPr>
              <w:t xml:space="preserve">blocked</w:t>
            </w:r>
          </w:p>
        </w:tc>
        <w:tc>
          <w:tcPr>
            <w:tcW w:type="dxa" w:w="6592"/>
            <w:tcMar>
              <w:top w:type="dxa" w:w="90"/>
              <w:left w:type="dxa" w:w="120"/>
              <w:bottom w:type="dxa" w:w="90"/>
              <w:right w:type="dxa" w:w="120"/>
            </w:tcMar>
          </w:tcPr>
          <w:p>
            <w:pPr>
              <w:spacing w:after="0" w:line="260"/>
            </w:pPr>
            <w:r>
              <w:rPr>
                <w:b w:val="false"/>
                <w:bCs w:val="false"/>
                <w:color w:val="4D6462"/>
                <w:sz w:val="18"/>
                <w:szCs w:val="18"/>
              </w:rPr>
              <w:t xml:space="preserve">Cannot conclude, or a supporting fact failed verification</w:t>
            </w:r>
          </w:p>
        </w:tc>
      </w:tr>
    </w:tbl>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4. Investigation layer</w:t>
      </w:r>
    </w:p>
    <w:p>
      <w:pPr>
        <w:pStyle w:val="Heading2"/>
        <w:spacing w:after="120" w:before="260"/>
      </w:pPr>
      <w:r>
        <w:rPr>
          <w:rFonts w:ascii="Georgia" w:cs="Georgia" w:eastAsia="Georgia" w:hAnsi="Georgia"/>
          <w:b/>
          <w:bCs/>
          <w:color w:val="12211F"/>
          <w:sz w:val="24"/>
          <w:szCs w:val="24"/>
        </w:rPr>
        <w:t xml:space="preserve">4.1 The lead engine</w:t>
      </w:r>
    </w:p>
    <w:p>
      <w:pPr>
        <w:spacing w:after="120" w:line="276"/>
      </w:pPr>
      <w:r>
        <w:rPr>
          <w:color w:val="4D6462"/>
          <w:sz w:val="20"/>
          <w:szCs w:val="20"/>
        </w:rPr>
        <w:t xml:space="preserve">A fact ledger records what documents say. An investigation reasons about what they imply. A wire to Geneva is not an asset; it is evidence that an account exists which no document in our possession describes.</w:t>
      </w:r>
    </w:p>
    <w:p>
      <w:pPr>
        <w:spacing w:after="120" w:line="276"/>
      </w:pPr>
      <w:r>
        <w:rPr>
          <w:color w:val="4D6462"/>
          <w:sz w:val="20"/>
          <w:szCs w:val="20"/>
        </w:rPr>
        <w:t xml:space="preserve">Seventeen lead patterns, each with rationale, priority, and the requests that would confirm or kill it:</w:t>
      </w:r>
    </w:p>
    <w:tbl>
      <w:tblPr>
        <w:tblW w:type="dxa" w:w="9792"/>
        <w:tblBorders>
          <w:top w:val="single" w:color="DDE8E8" w:sz="2"/>
          <w:left w:val="none"/>
          <w:bottom w:val="single" w:color="DDE8E8" w:sz="2"/>
          <w:right w:val="none"/>
          <w:insideH w:val="single" w:color="DDE8E8" w:sz="2"/>
          <w:insideV w:val="none"/>
        </w:tblBorders>
      </w:tblPr>
      <w:tblGrid>
        <w:gridCol w:w="2400"/>
        <w:gridCol w:w="7392"/>
      </w:tblGrid>
      <w:tr>
        <w:trPr>
          <w:tblHeader/>
        </w:trPr>
        <w:tc>
          <w:tcPr>
            <w:tcW w:type="dxa" w:w="2400"/>
            <w:shd w:fill="EAF1F2" w:color="auto" w:val="clear"/>
            <w:tcMar>
              <w:top w:type="dxa" w:w="90"/>
              <w:left w:type="dxa" w:w="120"/>
              <w:bottom w:type="dxa" w:w="90"/>
              <w:right w:type="dxa" w:w="120"/>
            </w:tcMar>
          </w:tcPr>
          <w:p>
            <w:pPr>
              <w:spacing w:after="0" w:line="260"/>
            </w:pPr>
            <w:r>
              <w:rPr>
                <w:b/>
                <w:bCs/>
                <w:color w:val="12211F"/>
                <w:sz w:val="18"/>
                <w:szCs w:val="18"/>
              </w:rPr>
              <w:t xml:space="preserve">Group</w:t>
            </w:r>
          </w:p>
        </w:tc>
        <w:tc>
          <w:tcPr>
            <w:tcW w:type="dxa" w:w="7392"/>
            <w:shd w:fill="EAF1F2" w:color="auto" w:val="clear"/>
            <w:tcMar>
              <w:top w:type="dxa" w:w="90"/>
              <w:left w:type="dxa" w:w="120"/>
              <w:bottom w:type="dxa" w:w="90"/>
              <w:right w:type="dxa" w:w="120"/>
            </w:tcMar>
          </w:tcPr>
          <w:p>
            <w:pPr>
              <w:spacing w:after="0" w:line="260"/>
            </w:pPr>
            <w:r>
              <w:rPr>
                <w:b/>
                <w:bCs/>
                <w:color w:val="12211F"/>
                <w:sz w:val="18"/>
                <w:szCs w:val="18"/>
              </w:rPr>
              <w:t xml:space="preserve">Patterns</w:t>
            </w:r>
          </w:p>
        </w:tc>
      </w:tr>
      <w:tr>
        <w:trPr>
          <w:tblHeader w:val="false"/>
        </w:trPr>
        <w:tc>
          <w:tcPr>
            <w:tcW w:type="dxa" w:w="2400"/>
            <w:tcMar>
              <w:top w:type="dxa" w:w="90"/>
              <w:left w:type="dxa" w:w="120"/>
              <w:bottom w:type="dxa" w:w="90"/>
              <w:right w:type="dxa" w:w="120"/>
            </w:tcMar>
          </w:tcPr>
          <w:p>
            <w:pPr>
              <w:spacing w:after="0" w:line="260"/>
            </w:pPr>
            <w:r>
              <w:rPr>
                <w:b w:val="false"/>
                <w:bCs w:val="false"/>
                <w:color w:val="4D6462"/>
                <w:sz w:val="18"/>
                <w:szCs w:val="18"/>
              </w:rPr>
              <w:t xml:space="preserve">Tax-derived</w:t>
            </w:r>
          </w:p>
        </w:tc>
        <w:tc>
          <w:tcPr>
            <w:tcW w:type="dxa" w:w="7392"/>
            <w:tcMar>
              <w:top w:type="dxa" w:w="90"/>
              <w:left w:type="dxa" w:w="120"/>
              <w:bottom w:type="dxa" w:w="90"/>
              <w:right w:type="dxa" w:w="120"/>
            </w:tcMar>
          </w:tcPr>
          <w:p>
            <w:pPr>
              <w:spacing w:after="0" w:line="260"/>
            </w:pPr>
            <w:r>
              <w:rPr>
                <w:b w:val="false"/>
                <w:bCs w:val="false"/>
                <w:color w:val="4D6462"/>
                <w:sz w:val="18"/>
                <w:szCs w:val="18"/>
              </w:rPr>
              <w:t xml:space="preserve">Schedule B foreign account · Form 8938 · Form 3520/3520-A · Form 5471 · Form 8865 · Form 8621 · Form 1116 · foreign pension income</w:t>
            </w:r>
          </w:p>
        </w:tc>
      </w:tr>
      <w:tr>
        <w:trPr>
          <w:tblHeader w:val="false"/>
        </w:trPr>
        <w:tc>
          <w:tcPr>
            <w:tcW w:type="dxa" w:w="2400"/>
            <w:tcMar>
              <w:top w:type="dxa" w:w="90"/>
              <w:left w:type="dxa" w:w="120"/>
              <w:bottom w:type="dxa" w:w="90"/>
              <w:right w:type="dxa" w:w="120"/>
            </w:tcMar>
          </w:tcPr>
          <w:p>
            <w:pPr>
              <w:spacing w:after="0" w:line="260"/>
            </w:pPr>
            <w:r>
              <w:rPr>
                <w:b w:val="false"/>
                <w:bCs w:val="false"/>
                <w:color w:val="4D6462"/>
                <w:sz w:val="18"/>
                <w:szCs w:val="18"/>
              </w:rPr>
              <w:t xml:space="preserve">Banking</w:t>
            </w:r>
          </w:p>
        </w:tc>
        <w:tc>
          <w:tcPr>
            <w:tcW w:type="dxa" w:w="7392"/>
            <w:tcMar>
              <w:top w:type="dxa" w:w="90"/>
              <w:left w:type="dxa" w:w="120"/>
              <w:bottom w:type="dxa" w:w="90"/>
              <w:right w:type="dxa" w:w="120"/>
            </w:tcMar>
          </w:tcPr>
          <w:p>
            <w:pPr>
              <w:spacing w:after="0" w:line="260"/>
            </w:pPr>
            <w:r>
              <w:rPr>
                <w:b w:val="false"/>
                <w:bCs w:val="false"/>
                <w:color w:val="4D6462"/>
                <w:sz w:val="18"/>
                <w:szCs w:val="18"/>
              </w:rPr>
              <w:t xml:space="preserve">International wire · safe-deposit box · currency exchange</w:t>
            </w:r>
          </w:p>
        </w:tc>
      </w:tr>
      <w:tr>
        <w:trPr>
          <w:tblHeader w:val="false"/>
        </w:trPr>
        <w:tc>
          <w:tcPr>
            <w:tcW w:type="dxa" w:w="2400"/>
            <w:tcMar>
              <w:top w:type="dxa" w:w="90"/>
              <w:left w:type="dxa" w:w="120"/>
              <w:bottom w:type="dxa" w:w="90"/>
              <w:right w:type="dxa" w:w="120"/>
            </w:tcMar>
          </w:tcPr>
          <w:p>
            <w:pPr>
              <w:spacing w:after="0" w:line="260"/>
            </w:pPr>
            <w:r>
              <w:rPr>
                <w:b w:val="false"/>
                <w:bCs w:val="false"/>
                <w:color w:val="4D6462"/>
                <w:sz w:val="18"/>
                <w:szCs w:val="18"/>
              </w:rPr>
              <w:t xml:space="preserve">Life and documents</w:t>
            </w:r>
          </w:p>
        </w:tc>
        <w:tc>
          <w:tcPr>
            <w:tcW w:type="dxa" w:w="7392"/>
            <w:tcMar>
              <w:top w:type="dxa" w:w="90"/>
              <w:left w:type="dxa" w:w="120"/>
              <w:bottom w:type="dxa" w:w="90"/>
              <w:right w:type="dxa" w:w="120"/>
            </w:tcMar>
          </w:tcPr>
          <w:p>
            <w:pPr>
              <w:spacing w:after="0" w:line="260"/>
            </w:pPr>
            <w:r>
              <w:rPr>
                <w:b w:val="false"/>
                <w:bCs w:val="false"/>
                <w:color w:val="4D6462"/>
                <w:sz w:val="18"/>
                <w:szCs w:val="18"/>
              </w:rPr>
              <w:t xml:space="preserve">Foreign passport, address or residency · business interests and K-1s · cryptocurrency · named professionals · employers · unclaimed property</w:t>
            </w:r>
          </w:p>
        </w:tc>
      </w:tr>
    </w:tbl>
    <w:p>
      <w:pPr>
        <w:spacing w:after="120" w:line="276"/>
      </w:pPr>
      <w:r>
        <w:rPr>
          <w:color w:val="4D6462"/>
          <w:sz w:val="20"/>
          <w:szCs w:val="20"/>
        </w:rPr>
        <w:t xml:space="preserve">Each action records who it goes to, the channel, which authority documents it requires (certified Letters, death certificate, Form 56, apostille, certified translation, court order), the form where one exists, and what a response may reveal.</w:t>
      </w:r>
    </w:p>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0" w:line="276"/>
            </w:pPr>
            <w:r>
              <w:rPr>
                <w:color w:val="12211F"/>
                <w:sz w:val="19"/>
                <w:szCs w:val="19"/>
              </w:rPr>
              <w:t xml:space="preserve">Patterns that do not fire are reported dormant rather than discarded, with the fact key that would trigger them. That list is the executor’s defence if a beneficiary later argues something should have been found.</w:t>
            </w:r>
          </w:p>
        </w:tc>
      </w:tr>
    </w:tbl>
    <w:p>
      <w:pPr>
        <w:spacing w:after="160"/>
      </w:pPr>
      <w:r>
        <w:t xml:space="preserve"/>
      </w:r>
    </w:p>
    <w:p>
      <w:pPr>
        <w:pStyle w:val="Heading2"/>
        <w:spacing w:after="120" w:before="260"/>
      </w:pPr>
      <w:r>
        <w:rPr>
          <w:rFonts w:ascii="Georgia" w:cs="Georgia" w:eastAsia="Georgia" w:hAnsi="Georgia"/>
          <w:b/>
          <w:bCs/>
          <w:color w:val="12211F"/>
          <w:sz w:val="24"/>
          <w:szCs w:val="24"/>
        </w:rPr>
        <w:t xml:space="preserve">4.2 Administration task graph</w:t>
      </w:r>
    </w:p>
    <w:p>
      <w:pPr>
        <w:spacing w:after="120" w:line="276"/>
      </w:pPr>
      <w:r>
        <w:rPr>
          <w:color w:val="4D6462"/>
          <w:sz w:val="20"/>
          <w:szCs w:val="20"/>
        </w:rPr>
        <w:t xml:space="preserve">Six phases with enforced dependencies — no bank will speak to you before Letters issue.</w:t>
      </w:r>
    </w:p>
    <w:tbl>
      <w:tblPr>
        <w:tblW w:type="dxa" w:w="9792"/>
        <w:tblBorders>
          <w:top w:val="single" w:color="DDE8E8" w:sz="2"/>
          <w:left w:val="none"/>
          <w:bottom w:val="single" w:color="DDE8E8" w:sz="2"/>
          <w:right w:val="none"/>
          <w:insideH w:val="single" w:color="DDE8E8" w:sz="2"/>
          <w:insideV w:val="none"/>
        </w:tblBorders>
      </w:tblPr>
      <w:tblGrid>
        <w:gridCol w:w="2600"/>
        <w:gridCol w:w="7192"/>
      </w:tblGrid>
      <w:tr>
        <w:trPr>
          <w:tblHeader/>
        </w:trPr>
        <w:tc>
          <w:tcPr>
            <w:tcW w:type="dxa" w:w="2600"/>
            <w:shd w:fill="EAF1F2" w:color="auto" w:val="clear"/>
            <w:tcMar>
              <w:top w:type="dxa" w:w="90"/>
              <w:left w:type="dxa" w:w="120"/>
              <w:bottom w:type="dxa" w:w="90"/>
              <w:right w:type="dxa" w:w="120"/>
            </w:tcMar>
          </w:tcPr>
          <w:p>
            <w:pPr>
              <w:spacing w:after="0" w:line="260"/>
            </w:pPr>
            <w:r>
              <w:rPr>
                <w:b/>
                <w:bCs/>
                <w:color w:val="12211F"/>
                <w:sz w:val="18"/>
                <w:szCs w:val="18"/>
              </w:rPr>
              <w:t xml:space="preserve">Phase</w:t>
            </w:r>
          </w:p>
        </w:tc>
        <w:tc>
          <w:tcPr>
            <w:tcW w:type="dxa" w:w="7192"/>
            <w:shd w:fill="EAF1F2" w:color="auto" w:val="clear"/>
            <w:tcMar>
              <w:top w:type="dxa" w:w="90"/>
              <w:left w:type="dxa" w:w="120"/>
              <w:bottom w:type="dxa" w:w="90"/>
              <w:right w:type="dxa" w:w="120"/>
            </w:tcMar>
          </w:tcPr>
          <w:p>
            <w:pPr>
              <w:spacing w:after="0" w:line="260"/>
            </w:pPr>
            <w:r>
              <w:rPr>
                <w:b/>
                <w:bCs/>
                <w:color w:val="12211F"/>
                <w:sz w:val="18"/>
                <w:szCs w:val="18"/>
              </w:rPr>
              <w:t xml:space="preserve">Covers</w:t>
            </w:r>
          </w:p>
        </w:tc>
      </w:tr>
      <w:tr>
        <w:trPr>
          <w:tblHeader w:val="false"/>
        </w:trPr>
        <w:tc>
          <w:tcPr>
            <w:tcW w:type="dxa" w:w="2600"/>
            <w:tcMar>
              <w:top w:type="dxa" w:w="90"/>
              <w:left w:type="dxa" w:w="120"/>
              <w:bottom w:type="dxa" w:w="90"/>
              <w:right w:type="dxa" w:w="120"/>
            </w:tcMar>
          </w:tcPr>
          <w:p>
            <w:pPr>
              <w:spacing w:after="0" w:line="260"/>
            </w:pPr>
            <w:r>
              <w:rPr>
                <w:b w:val="false"/>
                <w:bCs w:val="false"/>
                <w:color w:val="4D6462"/>
                <w:sz w:val="18"/>
                <w:szCs w:val="18"/>
              </w:rPr>
              <w:t xml:space="preserve">Establish authority</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Petition and Letters, estate EIN, estate account, Form 56</w:t>
            </w:r>
          </w:p>
        </w:tc>
      </w:tr>
      <w:tr>
        <w:trPr>
          <w:tblHeader w:val="false"/>
        </w:trPr>
        <w:tc>
          <w:tcPr>
            <w:tcW w:type="dxa" w:w="2600"/>
            <w:tcMar>
              <w:top w:type="dxa" w:w="90"/>
              <w:left w:type="dxa" w:w="120"/>
              <w:bottom w:type="dxa" w:w="90"/>
              <w:right w:type="dxa" w:w="120"/>
            </w:tcMar>
          </w:tcPr>
          <w:p>
            <w:pPr>
              <w:spacing w:after="0" w:line="260"/>
            </w:pPr>
            <w:r>
              <w:rPr>
                <w:b w:val="false"/>
                <w:bCs w:val="false"/>
                <w:color w:val="4D6462"/>
                <w:sz w:val="18"/>
                <w:szCs w:val="18"/>
              </w:rPr>
              <w:t xml:space="preserve">Secure</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Redirect mail for a full annual cycle, secure property and insurance, preserve devices without accessing them, stop recurring charges</w:t>
            </w:r>
          </w:p>
        </w:tc>
      </w:tr>
      <w:tr>
        <w:trPr>
          <w:tblHeader w:val="false"/>
        </w:trPr>
        <w:tc>
          <w:tcPr>
            <w:tcW w:type="dxa" w:w="2600"/>
            <w:tcMar>
              <w:top w:type="dxa" w:w="90"/>
              <w:left w:type="dxa" w:w="120"/>
              <w:bottom w:type="dxa" w:w="90"/>
              <w:right w:type="dxa" w:w="120"/>
            </w:tcMar>
          </w:tcPr>
          <w:p>
            <w:pPr>
              <w:spacing w:after="0" w:line="260"/>
            </w:pPr>
            <w:r>
              <w:rPr>
                <w:b w:val="false"/>
                <w:bCs w:val="false"/>
                <w:color w:val="4D6462"/>
                <w:sz w:val="18"/>
                <w:szCs w:val="18"/>
              </w:rPr>
              <w:t xml:space="preserve">Investigate</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IRS transcripts, institution-wide bank searches, public records, master ledger</w:t>
            </w:r>
          </w:p>
        </w:tc>
      </w:tr>
      <w:tr>
        <w:trPr>
          <w:tblHeader w:val="false"/>
        </w:trPr>
        <w:tc>
          <w:tcPr>
            <w:tcW w:type="dxa" w:w="2600"/>
            <w:tcMar>
              <w:top w:type="dxa" w:w="90"/>
              <w:left w:type="dxa" w:w="120"/>
              <w:bottom w:type="dxa" w:w="90"/>
              <w:right w:type="dxa" w:w="120"/>
            </w:tcMar>
          </w:tcPr>
          <w:p>
            <w:pPr>
              <w:spacing w:after="0" w:line="260"/>
            </w:pPr>
            <w:r>
              <w:rPr>
                <w:b w:val="false"/>
                <w:bCs w:val="false"/>
                <w:color w:val="4D6462"/>
                <w:sz w:val="18"/>
                <w:szCs w:val="18"/>
              </w:rPr>
              <w:t xml:space="preserve">Report</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Final personal return, estate return above $600 gross income, international review</w:t>
            </w:r>
          </w:p>
        </w:tc>
      </w:tr>
      <w:tr>
        <w:trPr>
          <w:tblHeader w:val="false"/>
        </w:trPr>
        <w:tc>
          <w:tcPr>
            <w:tcW w:type="dxa" w:w="2600"/>
            <w:tcMar>
              <w:top w:type="dxa" w:w="90"/>
              <w:left w:type="dxa" w:w="120"/>
              <w:bottom w:type="dxa" w:w="90"/>
              <w:right w:type="dxa" w:w="120"/>
            </w:tcMar>
          </w:tcPr>
          <w:p>
            <w:pPr>
              <w:spacing w:after="0" w:line="260"/>
            </w:pPr>
            <w:r>
              <w:rPr>
                <w:b w:val="false"/>
                <w:bCs w:val="false"/>
                <w:color w:val="4D6462"/>
                <w:sz w:val="18"/>
                <w:szCs w:val="18"/>
              </w:rPr>
              <w:t xml:space="preserve">Creditors</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Notice to known and reasonably ascertainable creditors, claim period</w:t>
            </w:r>
          </w:p>
        </w:tc>
      </w:tr>
      <w:tr>
        <w:trPr>
          <w:tblHeader w:val="false"/>
        </w:trPr>
        <w:tc>
          <w:tcPr>
            <w:tcW w:type="dxa" w:w="2600"/>
            <w:tcMar>
              <w:top w:type="dxa" w:w="90"/>
              <w:left w:type="dxa" w:w="120"/>
              <w:bottom w:type="dxa" w:w="90"/>
              <w:right w:type="dxa" w:w="120"/>
            </w:tcMar>
          </w:tcPr>
          <w:p>
            <w:pPr>
              <w:spacing w:after="0" w:line="260"/>
            </w:pPr>
            <w:r>
              <w:rPr>
                <w:b w:val="false"/>
                <w:bCs w:val="false"/>
                <w:color w:val="4D6462"/>
                <w:sz w:val="18"/>
                <w:szCs w:val="18"/>
              </w:rPr>
              <w:t xml:space="preserve">Close</w:t>
            </w:r>
          </w:p>
        </w:tc>
        <w:tc>
          <w:tcPr>
            <w:tcW w:type="dxa" w:w="7192"/>
            <w:tcMar>
              <w:top w:type="dxa" w:w="90"/>
              <w:left w:type="dxa" w:w="120"/>
              <w:bottom w:type="dxa" w:w="90"/>
              <w:right w:type="dxa" w:w="120"/>
            </w:tcMar>
          </w:tcPr>
          <w:p>
            <w:pPr>
              <w:spacing w:after="0" w:line="260"/>
            </w:pPr>
            <w:r>
              <w:rPr>
                <w:b w:val="false"/>
                <w:bCs w:val="false"/>
                <w:color w:val="4D6462"/>
                <w:sz w:val="18"/>
                <w:szCs w:val="18"/>
              </w:rPr>
              <w:t xml:space="preserve">Inventory, reserves, final distribution and discharge</w:t>
            </w:r>
          </w:p>
        </w:tc>
      </w:tr>
    </w:tbl>
    <w:p>
      <w:pPr>
        <w:pStyle w:val="Heading2"/>
        <w:spacing w:after="120" w:before="260"/>
      </w:pPr>
      <w:r>
        <w:rPr>
          <w:rFonts w:ascii="Georgia" w:cs="Georgia" w:eastAsia="Georgia" w:hAnsi="Georgia"/>
          <w:b/>
          <w:bCs/>
          <w:color w:val="12211F"/>
          <w:sz w:val="24"/>
          <w:szCs w:val="24"/>
        </w:rPr>
        <w:t xml:space="preserve">4.3 Statutory deadlines</w:t>
      </w:r>
    </w:p>
    <w:p>
      <w:pPr>
        <w:spacing w:after="120" w:line="276"/>
      </w:pPr>
      <w:r>
        <w:rPr>
          <w:color w:val="4D6462"/>
          <w:sz w:val="20"/>
          <w:szCs w:val="20"/>
        </w:rPr>
        <w:t xml:space="preserve">Computed from ledger dates, never from the clock — the as-of date is a parameter, so runs are reproducible.</w:t>
      </w:r>
    </w:p>
    <w:tbl>
      <w:tblPr>
        <w:tblW w:type="dxa" w:w="9792"/>
        <w:tblBorders>
          <w:top w:val="single" w:color="DDE8E8" w:sz="2"/>
          <w:left w:val="none"/>
          <w:bottom w:val="single" w:color="DDE8E8" w:sz="2"/>
          <w:right w:val="none"/>
          <w:insideH w:val="single" w:color="DDE8E8" w:sz="2"/>
          <w:insideV w:val="none"/>
        </w:tblBorders>
      </w:tblPr>
      <w:tblGrid>
        <w:gridCol w:w="3000"/>
        <w:gridCol w:w="3400"/>
        <w:gridCol w:w="3392"/>
      </w:tblGrid>
      <w:tr>
        <w:trPr>
          <w:tblHeader/>
        </w:trPr>
        <w:tc>
          <w:tcPr>
            <w:tcW w:type="dxa" w:w="3000"/>
            <w:shd w:fill="EAF1F2" w:color="auto" w:val="clear"/>
            <w:tcMar>
              <w:top w:type="dxa" w:w="90"/>
              <w:left w:type="dxa" w:w="120"/>
              <w:bottom w:type="dxa" w:w="90"/>
              <w:right w:type="dxa" w:w="120"/>
            </w:tcMar>
          </w:tcPr>
          <w:p>
            <w:pPr>
              <w:spacing w:after="0" w:line="260"/>
            </w:pPr>
            <w:r>
              <w:rPr>
                <w:b/>
                <w:bCs/>
                <w:color w:val="12211F"/>
                <w:sz w:val="18"/>
                <w:szCs w:val="18"/>
              </w:rPr>
              <w:t xml:space="preserve">Deadline</w:t>
            </w:r>
          </w:p>
        </w:tc>
        <w:tc>
          <w:tcPr>
            <w:tcW w:type="dxa" w:w="3400"/>
            <w:shd w:fill="EAF1F2" w:color="auto" w:val="clear"/>
            <w:tcMar>
              <w:top w:type="dxa" w:w="90"/>
              <w:left w:type="dxa" w:w="120"/>
              <w:bottom w:type="dxa" w:w="90"/>
              <w:right w:type="dxa" w:w="120"/>
            </w:tcMar>
          </w:tcPr>
          <w:p>
            <w:pPr>
              <w:spacing w:after="0" w:line="260"/>
            </w:pPr>
            <w:r>
              <w:rPr>
                <w:b/>
                <w:bCs/>
                <w:color w:val="12211F"/>
                <w:sz w:val="18"/>
                <w:szCs w:val="18"/>
              </w:rPr>
              <w:t xml:space="preserve">Period</w:t>
            </w:r>
          </w:p>
        </w:tc>
        <w:tc>
          <w:tcPr>
            <w:tcW w:type="dxa" w:w="3392"/>
            <w:shd w:fill="EAF1F2" w:color="auto" w:val="clear"/>
            <w:tcMar>
              <w:top w:type="dxa" w:w="90"/>
              <w:left w:type="dxa" w:w="120"/>
              <w:bottom w:type="dxa" w:w="90"/>
              <w:right w:type="dxa" w:w="120"/>
            </w:tcMar>
          </w:tcPr>
          <w:p>
            <w:pPr>
              <w:spacing w:after="0" w:line="260"/>
            </w:pPr>
            <w:r>
              <w:rPr>
                <w:b/>
                <w:bCs/>
                <w:color w:val="12211F"/>
                <w:sz w:val="18"/>
                <w:szCs w:val="18"/>
              </w:rPr>
              <w:t xml:space="preserve">Authority</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Lodge the will</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30 days from death</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Prob. Code § 8200</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Inventory and Appraisal</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4 months from Letters</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Prob. Code § 8800</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Creditor claims</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Later of 4 months from Letters or 60 days from notice</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Prob. Code § 9100</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First publication</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At least 15 days before hearing</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Prob. Code § 8121</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Mailed notice</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At least 15 days before hearing</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Prob. Code § 8110</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Federal estate tax</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9 months from death</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IRC § 6075(a)</w:t>
            </w:r>
          </w:p>
        </w:tc>
      </w:tr>
      <w:tr>
        <w:trPr>
          <w:tblHeader w:val="false"/>
        </w:trPr>
        <w:tc>
          <w:tcPr>
            <w:tcW w:type="dxa" w:w="3000"/>
            <w:tcMar>
              <w:top w:type="dxa" w:w="90"/>
              <w:left w:type="dxa" w:w="120"/>
              <w:bottom w:type="dxa" w:w="90"/>
              <w:right w:type="dxa" w:w="120"/>
            </w:tcMar>
          </w:tcPr>
          <w:p>
            <w:pPr>
              <w:spacing w:after="0" w:line="260"/>
            </w:pPr>
            <w:r>
              <w:rPr>
                <w:b w:val="false"/>
                <w:bCs w:val="false"/>
                <w:color w:val="4D6462"/>
                <w:sz w:val="18"/>
                <w:szCs w:val="18"/>
              </w:rPr>
              <w:t xml:space="preserve">FBAR</w:t>
            </w:r>
          </w:p>
        </w:tc>
        <w:tc>
          <w:tcPr>
            <w:tcW w:type="dxa" w:w="3400"/>
            <w:tcMar>
              <w:top w:type="dxa" w:w="90"/>
              <w:left w:type="dxa" w:w="120"/>
              <w:bottom w:type="dxa" w:w="90"/>
              <w:right w:type="dxa" w:w="120"/>
            </w:tcMar>
          </w:tcPr>
          <w:p>
            <w:pPr>
              <w:spacing w:after="0" w:line="260"/>
            </w:pPr>
            <w:r>
              <w:rPr>
                <w:b w:val="false"/>
                <w:bCs w:val="false"/>
                <w:color w:val="4D6462"/>
                <w:sz w:val="18"/>
                <w:szCs w:val="18"/>
              </w:rPr>
              <w:t xml:space="preserve">Where foreign aggregate exceeded $10,000</w:t>
            </w:r>
          </w:p>
        </w:tc>
        <w:tc>
          <w:tcPr>
            <w:tcW w:type="dxa" w:w="3392"/>
            <w:tcMar>
              <w:top w:type="dxa" w:w="90"/>
              <w:left w:type="dxa" w:w="120"/>
              <w:bottom w:type="dxa" w:w="90"/>
              <w:right w:type="dxa" w:w="120"/>
            </w:tcMar>
          </w:tcPr>
          <w:p>
            <w:pPr>
              <w:spacing w:after="0" w:line="260"/>
            </w:pPr>
            <w:r>
              <w:rPr>
                <w:b w:val="false"/>
                <w:bCs w:val="false"/>
                <w:color w:val="4D6462"/>
                <w:sz w:val="18"/>
                <w:szCs w:val="18"/>
              </w:rPr>
              <w:t xml:space="preserve">31 CFR 1010.350</w:t>
            </w:r>
          </w:p>
        </w:tc>
      </w:tr>
    </w:tbl>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0" w:line="276"/>
            </w:pPr>
            <w:r>
              <w:rPr>
                <w:color w:val="12211F"/>
                <w:sz w:val="19"/>
                <w:szCs w:val="19"/>
              </w:rPr>
              <w:t xml:space="preserve">A deadline whose anchor is missing reports unknown, never “today”. A missed statutory deadline is exactly the irreversible harm this system exists to prevent.</w:t>
            </w:r>
          </w:p>
        </w:tc>
      </w:tr>
    </w:tbl>
    <w:p>
      <w:pPr>
        <w:spacing w:after="160"/>
      </w:pPr>
      <w:r>
        <w:t xml:space="preserve"/>
      </w:r>
    </w:p>
    <w:p>
      <w:pPr>
        <w:pStyle w:val="Heading2"/>
        <w:spacing w:after="120" w:before="260"/>
      </w:pPr>
      <w:r>
        <w:rPr>
          <w:rFonts w:ascii="Georgia" w:cs="Georgia" w:eastAsia="Georgia" w:hAnsi="Georgia"/>
          <w:b/>
          <w:bCs/>
          <w:color w:val="12211F"/>
          <w:sz w:val="24"/>
          <w:szCs w:val="24"/>
        </w:rPr>
        <w:t xml:space="preserve">4.4 Distribution gate</w:t>
      </w:r>
    </w:p>
    <w:p>
      <w:pPr>
        <w:spacing w:after="120" w:line="276"/>
      </w:pPr>
      <w:r>
        <w:rPr>
          <w:color w:val="4D6462"/>
          <w:sz w:val="20"/>
          <w:szCs w:val="20"/>
        </w:rPr>
        <w:t xml:space="preserve">Distribution is the one irreversible act in an estate. It is held by any of:</w:t>
      </w:r>
    </w:p>
    <w:p>
      <w:pPr>
        <w:pStyle w:val="ListParagraph"/>
        <w:numPr>
          <w:ilvl w:val="0"/>
          <w:numId w:val="2"/>
        </w:numPr>
        <w:spacing w:after="80" w:line="276"/>
      </w:pPr>
      <w:r>
        <w:rPr>
          <w:color w:val="4D6462"/>
          <w:sz w:val="20"/>
          <w:szCs w:val="20"/>
        </w:rPr>
        <w:t xml:space="preserve">An open critical lead — assets may exist that no document describes.</w:t>
      </w:r>
    </w:p>
    <w:p>
      <w:pPr>
        <w:pStyle w:val="ListParagraph"/>
        <w:numPr>
          <w:ilvl w:val="0"/>
          <w:numId w:val="2"/>
        </w:numPr>
        <w:spacing w:after="80" w:line="276"/>
      </w:pPr>
      <w:r>
        <w:rPr>
          <w:color w:val="4D6462"/>
          <w:sz w:val="20"/>
          <w:szCs w:val="20"/>
        </w:rPr>
        <w:t xml:space="preserve">An unclosed creditor claim period.</w:t>
      </w:r>
    </w:p>
    <w:p>
      <w:pPr>
        <w:pStyle w:val="ListParagraph"/>
        <w:numPr>
          <w:ilvl w:val="0"/>
          <w:numId w:val="2"/>
        </w:numPr>
        <w:spacing w:after="80" w:line="276"/>
      </w:pPr>
      <w:r>
        <w:rPr>
          <w:color w:val="4D6462"/>
          <w:sz w:val="20"/>
          <w:szCs w:val="20"/>
        </w:rPr>
        <w:t xml:space="preserve">Facts still required by a pending decision.</w:t>
      </w:r>
    </w:p>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5. Filing layer</w:t>
      </w:r>
    </w:p>
    <w:p>
      <w:pPr>
        <w:pStyle w:val="Heading2"/>
        <w:spacing w:after="120" w:before="260"/>
      </w:pPr>
      <w:r>
        <w:rPr>
          <w:rFonts w:ascii="Georgia" w:cs="Georgia" w:eastAsia="Georgia" w:hAnsi="Georgia"/>
          <w:b/>
          <w:bCs/>
          <w:color w:val="12211F"/>
          <w:sz w:val="24"/>
          <w:szCs w:val="24"/>
        </w:rPr>
        <w:t xml:space="preserve">5.1 Universal document store</w:t>
      </w:r>
    </w:p>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0" w:line="276"/>
            </w:pPr>
            <w:r>
              <w:rPr>
                <w:color w:val="12211F"/>
                <w:sz w:val="19"/>
                <w:szCs w:val="19"/>
              </w:rPr>
              <w:t xml:space="preserve">The identifier printed on a PDF is not unique. DE-111 means something only within the California Judicial Council; PRO 010 exists only in Los Angeles; almost every brokerage prints its own Affidavit of Domicile.</w:t>
            </w:r>
          </w:p>
        </w:tc>
      </w:tr>
    </w:tbl>
    <w:p>
      <w:pPr>
        <w:spacing w:after="160"/>
      </w:pPr>
      <w:r>
        <w:t xml:space="preserve"/>
      </w:r>
    </w:p>
    <w:p>
      <w:pPr>
        <w:spacing w:after="120" w:line="276"/>
      </w:pPr>
      <w:r>
        <w:rPr>
          <w:color w:val="4D6462"/>
          <w:sz w:val="20"/>
          <w:szCs w:val="20"/>
        </w:rPr>
        <w:t xml:space="preserve">A record is keyed on issuer, jurisdiction and revision, and carries:</w:t>
      </w:r>
    </w:p>
    <w:p>
      <w:pPr>
        <w:pStyle w:val="ListParagraph"/>
        <w:numPr>
          <w:ilvl w:val="0"/>
          <w:numId w:val="2"/>
        </w:numPr>
        <w:spacing w:after="80" w:line="276"/>
      </w:pPr>
      <w:r>
        <w:rPr>
          <w:color w:val="4D6462"/>
          <w:sz w:val="20"/>
          <w:szCs w:val="20"/>
        </w:rPr>
        <w:t xml:space="preserve">Parties — preparer, signer, notary, witness, recipient, each optionally bound to a fact key.</w:t>
      </w:r>
    </w:p>
    <w:p>
      <w:pPr>
        <w:pStyle w:val="ListParagraph"/>
        <w:numPr>
          <w:ilvl w:val="0"/>
          <w:numId w:val="2"/>
        </w:numPr>
        <w:spacing w:after="80" w:line="276"/>
      </w:pPr>
      <w:r>
        <w:rPr>
          <w:color w:val="4D6462"/>
          <w:sz w:val="20"/>
          <w:szCs w:val="20"/>
        </w:rPr>
        <w:t xml:space="preserve">Signature placement — type, page number, and rectangle in PDF points.</w:t>
      </w:r>
    </w:p>
    <w:p>
      <w:pPr>
        <w:pStyle w:val="ListParagraph"/>
        <w:numPr>
          <w:ilvl w:val="0"/>
          <w:numId w:val="2"/>
        </w:numPr>
        <w:spacing w:after="80" w:line="276"/>
      </w:pPr>
      <w:r>
        <w:rPr>
          <w:color w:val="4D6462"/>
          <w:sz w:val="20"/>
          <w:szCs w:val="20"/>
        </w:rPr>
        <w:t xml:space="preserve">Delivery — accepted channels, named recipient, operator notes.</w:t>
      </w:r>
    </w:p>
    <w:p>
      <w:pPr>
        <w:pStyle w:val="ListParagraph"/>
        <w:numPr>
          <w:ilvl w:val="0"/>
          <w:numId w:val="2"/>
        </w:numPr>
        <w:spacing w:after="80" w:line="276"/>
      </w:pPr>
      <w:r>
        <w:rPr>
          <w:color w:val="4D6462"/>
          <w:sz w:val="20"/>
          <w:szCs w:val="20"/>
        </w:rPr>
        <w:t xml:space="preserve">Flags — requires notary, requires wet original.</w:t>
      </w:r>
    </w:p>
    <w:p>
      <w:pPr>
        <w:pStyle w:val="ListParagraph"/>
        <w:numPr>
          <w:ilvl w:val="0"/>
          <w:numId w:val="2"/>
        </w:numPr>
        <w:spacing w:after="80" w:line="276"/>
      </w:pPr>
      <w:r>
        <w:rPr>
          <w:color w:val="4D6462"/>
          <w:sz w:val="20"/>
          <w:szCs w:val="20"/>
        </w:rPr>
        <w:t xml:space="preserve">Provenance — source URL and retrieval date.</w:t>
      </w:r>
    </w:p>
    <w:p>
      <w:pPr>
        <w:spacing w:after="120" w:line="276"/>
      </w:pPr>
      <w:r>
        <w:rPr>
          <w:color w:val="4D6462"/>
          <w:sz w:val="20"/>
          <w:szCs w:val="20"/>
        </w:rPr>
        <w:t xml:space="preserve">Five issuer kinds: Judicial Council, county court, state agency, federal agency, financial institution.</w:t>
      </w:r>
    </w:p>
    <w:p>
      <w:pPr>
        <w:spacing w:after="120" w:line="276"/>
      </w:pPr>
      <w:r>
        <w:rPr>
          <w:rFonts w:ascii="Consolas" w:cs="Consolas" w:eastAsia="Consolas" w:hAnsi="Consolas"/>
          <w:color w:val="12211F"/>
          <w:sz w:val="20"/>
          <w:szCs w:val="20"/>
        </w:rPr>
        <w:t xml:space="preserve">resolveForm</w:t>
      </w:r>
      <w:r>
        <w:rPr>
          <w:color w:val="4D6462"/>
          <w:sz w:val="20"/>
          <w:szCs w:val="20"/>
        </w:rPr>
        <w:t xml:space="preserve"> returns ambiguity rather than guessing. Asking for “Affidavit of Domicile” without naming the institution yields both issuers and a reason; asking for PRO 010 in San Mateo yields nothing and explains why. A wrong confident answer here is a returned filing and another round trip for a grieving family.</w:t>
      </w:r>
    </w:p>
    <w:p>
      <w:pPr>
        <w:pStyle w:val="Heading2"/>
        <w:spacing w:after="120" w:before="260"/>
      </w:pPr>
      <w:r>
        <w:rPr>
          <w:rFonts w:ascii="Georgia" w:cs="Georgia" w:eastAsia="Georgia" w:hAnsi="Georgia"/>
          <w:b/>
          <w:bCs/>
          <w:color w:val="12211F"/>
          <w:sz w:val="24"/>
          <w:szCs w:val="24"/>
        </w:rPr>
        <w:t xml:space="preserve">5.2 Dispatch planning</w:t>
      </w:r>
    </w:p>
    <w:p>
      <w:pPr>
        <w:spacing w:after="120" w:line="276"/>
      </w:pPr>
      <w:r>
        <w:rPr>
          <w:color w:val="4D6462"/>
          <w:sz w:val="20"/>
          <w:szCs w:val="20"/>
        </w:rPr>
        <w:t xml:space="preserve">A filled PDF on a disk has settled nothing. Dispatch chooses a channel from those the recipient accepts, preferring cheapest and fastest — but two things override preference:</w:t>
      </w:r>
    </w:p>
    <w:p>
      <w:pPr>
        <w:pStyle w:val="ListParagraph"/>
        <w:numPr>
          <w:ilvl w:val="0"/>
          <w:numId w:val="2"/>
        </w:numPr>
        <w:spacing w:after="80" w:line="276"/>
      </w:pPr>
      <w:r>
        <w:rPr>
          <w:color w:val="4D6462"/>
          <w:sz w:val="20"/>
          <w:szCs w:val="20"/>
        </w:rPr>
        <w:t xml:space="preserve">A form requiring a wet original or notarisation cannot go electronically regardless of what the recipient accepts.</w:t>
      </w:r>
    </w:p>
    <w:p>
      <w:pPr>
        <w:pStyle w:val="ListParagraph"/>
        <w:numPr>
          <w:ilvl w:val="0"/>
          <w:numId w:val="2"/>
        </w:numPr>
        <w:spacing w:after="80" w:line="276"/>
      </w:pPr>
      <w:r>
        <w:rPr>
          <w:color w:val="4D6462"/>
          <w:sz w:val="20"/>
          <w:szCs w:val="20"/>
        </w:rPr>
        <w:t xml:space="preserve">An institution requiring a telephone call first must be called first. Chase’s first step for a decedent account is a call, not paperwork; posting before that call usually gets it returned.</w:t>
      </w:r>
    </w:p>
    <w:p>
      <w:pPr>
        <w:pStyle w:val="Heading2"/>
        <w:spacing w:after="120" w:before="260"/>
      </w:pPr>
      <w:r>
        <w:rPr>
          <w:rFonts w:ascii="Georgia" w:cs="Georgia" w:eastAsia="Georgia" w:hAnsi="Georgia"/>
          <w:b/>
          <w:bCs/>
          <w:color w:val="12211F"/>
          <w:sz w:val="24"/>
          <w:szCs w:val="24"/>
        </w:rPr>
        <w:t xml:space="preserve">5.3 Field binding</w:t>
      </w:r>
    </w:p>
    <w:p>
      <w:pPr>
        <w:spacing w:after="120" w:line="276"/>
      </w:pPr>
      <w:r>
        <w:rPr>
          <w:color w:val="4D6462"/>
          <w:sz w:val="20"/>
          <w:szCs w:val="20"/>
        </w:rPr>
        <w:t xml:space="preserve">Bindings carry the item number on the printed form, so a reviewer holding the paper can check the mapping. Formats: text, USD, date, yes/no.</w:t>
      </w:r>
    </w:p>
    <w:p>
      <w:pPr>
        <w:spacing w:after="120" w:line="276"/>
      </w:pPr>
      <w:r>
        <w:rPr>
          <w:rFonts w:ascii="Consolas" w:cs="Consolas" w:eastAsia="Consolas" w:hAnsi="Consolas"/>
          <w:color w:val="12211F"/>
          <w:sz w:val="20"/>
          <w:szCs w:val="20"/>
        </w:rPr>
        <w:t xml:space="preserve">buildFill</w:t>
      </w:r>
      <w:r>
        <w:rPr>
          <w:color w:val="4D6462"/>
          <w:sz w:val="20"/>
          <w:szCs w:val="20"/>
        </w:rPr>
        <w:t xml:space="preserve"> reads only the verified ledger. A quarantined fact cannot reach a filed document — there is a test asserting the fabricated policy never appears in a payload. A field with no supporting fact is left empty and reported with the specific fact needed and where to obtain it.</w:t>
      </w:r>
    </w:p>
    <w:p>
      <w:pPr>
        <w:pStyle w:val="Heading2"/>
        <w:spacing w:after="120" w:before="260"/>
      </w:pPr>
      <w:r>
        <w:rPr>
          <w:rFonts w:ascii="Georgia" w:cs="Georgia" w:eastAsia="Georgia" w:hAnsi="Georgia"/>
          <w:b/>
          <w:bCs/>
          <w:color w:val="12211F"/>
          <w:sz w:val="24"/>
          <w:szCs w:val="24"/>
        </w:rPr>
        <w:t xml:space="preserve">5.4 Anvil integration</w:t>
      </w:r>
    </w:p>
    <w:tbl>
      <w:tblPr>
        <w:tblW w:type="dxa" w:w="9792"/>
        <w:tblBorders>
          <w:top w:val="single" w:color="DDE8E8" w:sz="2"/>
          <w:left w:val="none"/>
          <w:bottom w:val="single" w:color="DDE8E8" w:sz="2"/>
          <w:right w:val="none"/>
          <w:insideH w:val="single" w:color="DDE8E8" w:sz="2"/>
          <w:insideV w:val="none"/>
        </w:tblBorders>
      </w:tblPr>
      <w:tblGrid>
        <w:gridCol w:w="2000"/>
        <w:gridCol w:w="7792"/>
      </w:tblGrid>
      <w:tr>
        <w:trPr>
          <w:tblHeader/>
        </w:trPr>
        <w:tc>
          <w:tcPr>
            <w:tcW w:type="dxa" w:w="2000"/>
            <w:shd w:fill="EAF1F2" w:color="auto" w:val="clear"/>
            <w:tcMar>
              <w:top w:type="dxa" w:w="90"/>
              <w:left w:type="dxa" w:w="120"/>
              <w:bottom w:type="dxa" w:w="90"/>
              <w:right w:type="dxa" w:w="120"/>
            </w:tcMar>
          </w:tcPr>
          <w:p>
            <w:pPr>
              <w:spacing w:after="0" w:line="260"/>
            </w:pPr>
            <w:r>
              <w:rPr>
                <w:b/>
                <w:bCs/>
                <w:color w:val="12211F"/>
                <w:sz w:val="18"/>
                <w:szCs w:val="18"/>
              </w:rPr>
              <w:t xml:space="preserve">Operation</w:t>
            </w:r>
          </w:p>
        </w:tc>
        <w:tc>
          <w:tcPr>
            <w:tcW w:type="dxa" w:w="7792"/>
            <w:shd w:fill="EAF1F2" w:color="auto" w:val="clear"/>
            <w:tcMar>
              <w:top w:type="dxa" w:w="90"/>
              <w:left w:type="dxa" w:w="120"/>
              <w:bottom w:type="dxa" w:w="90"/>
              <w:right w:type="dxa" w:w="120"/>
            </w:tcMar>
          </w:tcPr>
          <w:p>
            <w:pPr>
              <w:spacing w:after="0" w:line="260"/>
            </w:pPr>
            <w:r>
              <w:rPr>
                <w:b/>
                <w:bCs/>
                <w:color w:val="12211F"/>
                <w:sz w:val="18"/>
                <w:szCs w:val="18"/>
              </w:rPr>
              <w:t xml:space="preserve">Mechanism</w:t>
            </w:r>
          </w:p>
        </w:tc>
      </w:tr>
      <w:tr>
        <w:trPr>
          <w:tblHeader w:val="false"/>
        </w:trPr>
        <w:tc>
          <w:tcPr>
            <w:tcW w:type="dxa" w:w="2000"/>
            <w:tcMar>
              <w:top w:type="dxa" w:w="90"/>
              <w:left w:type="dxa" w:w="120"/>
              <w:bottom w:type="dxa" w:w="90"/>
              <w:right w:type="dxa" w:w="120"/>
            </w:tcMar>
          </w:tcPr>
          <w:p>
            <w:pPr>
              <w:spacing w:after="0" w:line="260"/>
            </w:pPr>
            <w:r>
              <w:rPr>
                <w:b w:val="false"/>
                <w:bCs w:val="false"/>
                <w:color w:val="4D6462"/>
                <w:sz w:val="18"/>
                <w:szCs w:val="18"/>
              </w:rPr>
              <w:t xml:space="preserve">Register</w:t>
            </w:r>
          </w:p>
        </w:tc>
        <w:tc>
          <w:tcPr>
            <w:tcW w:type="dxa" w:w="7792"/>
            <w:tcMar>
              <w:top w:type="dxa" w:w="90"/>
              <w:left w:type="dxa" w:w="120"/>
              <w:bottom w:type="dxa" w:w="90"/>
              <w:right w:type="dxa" w:w="120"/>
            </w:tcMar>
          </w:tcPr>
          <w:p>
            <w:pPr>
              <w:spacing w:after="0" w:line="260"/>
            </w:pPr>
            <w:r>
              <w:rPr>
                <w:b w:val="false"/>
                <w:bCs w:val="false"/>
                <w:color w:val="4D6462"/>
                <w:sz w:val="18"/>
                <w:szCs w:val="18"/>
              </w:rPr>
              <w:t xml:space="preserve">createCast with aliasIds set to our own binding aliases, so Anvil’s field detection maps straight onto them. Auto-publishes, since an unpublished cast cannot be filled.</w:t>
            </w:r>
          </w:p>
        </w:tc>
      </w:tr>
      <w:tr>
        <w:trPr>
          <w:tblHeader w:val="false"/>
        </w:trPr>
        <w:tc>
          <w:tcPr>
            <w:tcW w:type="dxa" w:w="2000"/>
            <w:tcMar>
              <w:top w:type="dxa" w:w="90"/>
              <w:left w:type="dxa" w:w="120"/>
              <w:bottom w:type="dxa" w:w="90"/>
              <w:right w:type="dxa" w:w="120"/>
            </w:tcMar>
          </w:tcPr>
          <w:p>
            <w:pPr>
              <w:spacing w:after="0" w:line="260"/>
            </w:pPr>
            <w:r>
              <w:rPr>
                <w:b w:val="false"/>
                <w:bCs w:val="false"/>
                <w:color w:val="4D6462"/>
                <w:sz w:val="18"/>
                <w:szCs w:val="18"/>
              </w:rPr>
              <w:t xml:space="preserve">Reconcile</w:t>
            </w:r>
          </w:p>
        </w:tc>
        <w:tc>
          <w:tcPr>
            <w:tcW w:type="dxa" w:w="7792"/>
            <w:tcMar>
              <w:top w:type="dxa" w:w="90"/>
              <w:left w:type="dxa" w:w="120"/>
              <w:bottom w:type="dxa" w:w="90"/>
              <w:right w:type="dxa" w:w="120"/>
            </w:tcMar>
          </w:tcPr>
          <w:p>
            <w:pPr>
              <w:spacing w:after="0" w:line="260"/>
            </w:pPr>
            <w:r>
              <w:rPr>
                <w:b w:val="false"/>
                <w:bCs w:val="false"/>
                <w:color w:val="4D6462"/>
                <w:sz w:val="18"/>
                <w:szCs w:val="18"/>
              </w:rPr>
              <w:t xml:space="preserve">cast query returns fieldInfo; bindings are compared in both directions.</w:t>
            </w:r>
          </w:p>
        </w:tc>
      </w:tr>
      <w:tr>
        <w:trPr>
          <w:tblHeader w:val="false"/>
        </w:trPr>
        <w:tc>
          <w:tcPr>
            <w:tcW w:type="dxa" w:w="2000"/>
            <w:tcMar>
              <w:top w:type="dxa" w:w="90"/>
              <w:left w:type="dxa" w:w="120"/>
              <w:bottom w:type="dxa" w:w="90"/>
              <w:right w:type="dxa" w:w="120"/>
            </w:tcMar>
          </w:tcPr>
          <w:p>
            <w:pPr>
              <w:spacing w:after="0" w:line="260"/>
            </w:pPr>
            <w:r>
              <w:rPr>
                <w:b w:val="false"/>
                <w:bCs w:val="false"/>
                <w:color w:val="4D6462"/>
                <w:sz w:val="18"/>
                <w:szCs w:val="18"/>
              </w:rPr>
              <w:t xml:space="preserve">Fill</w:t>
            </w:r>
          </w:p>
        </w:tc>
        <w:tc>
          <w:tcPr>
            <w:tcW w:type="dxa" w:w="7792"/>
            <w:tcMar>
              <w:top w:type="dxa" w:w="90"/>
              <w:left w:type="dxa" w:w="120"/>
              <w:bottom w:type="dxa" w:w="90"/>
              <w:right w:type="dxa" w:w="120"/>
            </w:tcMar>
          </w:tcPr>
          <w:p>
            <w:pPr>
              <w:spacing w:after="0" w:line="260"/>
            </w:pPr>
            <w:r>
              <w:rPr>
                <w:b w:val="false"/>
                <w:bCs w:val="false"/>
                <w:color w:val="4D6462"/>
                <w:sz w:val="18"/>
                <w:szCs w:val="18"/>
              </w:rPr>
              <w:t xml:space="preserve">POST /api/v1/fill/{castEid}.pdf, response written as binary.</w:t>
            </w:r>
          </w:p>
        </w:tc>
      </w:tr>
      <w:tr>
        <w:trPr>
          <w:tblHeader w:val="false"/>
        </w:trPr>
        <w:tc>
          <w:tcPr>
            <w:tcW w:type="dxa" w:w="2000"/>
            <w:tcMar>
              <w:top w:type="dxa" w:w="90"/>
              <w:left w:type="dxa" w:w="120"/>
              <w:bottom w:type="dxa" w:w="90"/>
              <w:right w:type="dxa" w:w="120"/>
            </w:tcMar>
          </w:tcPr>
          <w:p>
            <w:pPr>
              <w:spacing w:after="0" w:line="260"/>
            </w:pPr>
            <w:r>
              <w:rPr>
                <w:b w:val="false"/>
                <w:bCs w:val="false"/>
                <w:color w:val="4D6462"/>
                <w:sz w:val="18"/>
                <w:szCs w:val="18"/>
              </w:rPr>
              <w:t xml:space="preserve">Sign</w:t>
            </w:r>
          </w:p>
        </w:tc>
        <w:tc>
          <w:tcPr>
            <w:tcW w:type="dxa" w:w="7792"/>
            <w:tcMar>
              <w:top w:type="dxa" w:w="90"/>
              <w:left w:type="dxa" w:w="120"/>
              <w:bottom w:type="dxa" w:w="90"/>
              <w:right w:type="dxa" w:w="120"/>
            </w:tcMar>
          </w:tcPr>
          <w:p>
            <w:pPr>
              <w:spacing w:after="0" w:line="260"/>
            </w:pPr>
            <w:r>
              <w:rPr>
                <w:b w:val="false"/>
                <w:bCs w:val="false"/>
                <w:color w:val="4D6462"/>
                <w:sz w:val="18"/>
                <w:szCs w:val="18"/>
              </w:rPr>
              <w:t xml:space="preserve">createEtchPacket with a castEid reference and the same field-keyed payload as fill; embedded signer via generateEtchSignURL.</w:t>
            </w:r>
          </w:p>
        </w:tc>
      </w:tr>
      <w:tr>
        <w:trPr>
          <w:tblHeader w:val="false"/>
        </w:trPr>
        <w:tc>
          <w:tcPr>
            <w:tcW w:type="dxa" w:w="2000"/>
            <w:tcMar>
              <w:top w:type="dxa" w:w="90"/>
              <w:left w:type="dxa" w:w="120"/>
              <w:bottom w:type="dxa" w:w="90"/>
              <w:right w:type="dxa" w:w="120"/>
            </w:tcMar>
          </w:tcPr>
          <w:p>
            <w:pPr>
              <w:spacing w:after="0" w:line="260"/>
            </w:pPr>
            <w:r>
              <w:rPr>
                <w:b w:val="false"/>
                <w:bCs w:val="false"/>
                <w:color w:val="4D6462"/>
                <w:sz w:val="18"/>
                <w:szCs w:val="18"/>
              </w:rPr>
              <w:t xml:space="preserve">Retrieve</w:t>
            </w:r>
          </w:p>
        </w:tc>
        <w:tc>
          <w:tcPr>
            <w:tcW w:type="dxa" w:w="7792"/>
            <w:tcMar>
              <w:top w:type="dxa" w:w="90"/>
              <w:left w:type="dxa" w:w="120"/>
              <w:bottom w:type="dxa" w:w="90"/>
              <w:right w:type="dxa" w:w="120"/>
            </w:tcMar>
          </w:tcPr>
          <w:p>
            <w:pPr>
              <w:spacing w:after="0" w:line="260"/>
            </w:pPr>
            <w:r>
              <w:rPr>
                <w:b w:val="false"/>
                <w:bCs w:val="false"/>
                <w:color w:val="4D6462"/>
                <w:sz w:val="18"/>
                <w:szCs w:val="18"/>
              </w:rPr>
              <w:t xml:space="preserve">Document-group zip download.</w:t>
            </w:r>
          </w:p>
        </w:tc>
      </w:tr>
    </w:tbl>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100" w:line="276"/>
            </w:pPr>
            <w:r>
              <w:rPr>
                <w:b/>
                <w:bCs/>
                <w:color w:val="12211F"/>
                <w:sz w:val="19"/>
                <w:szCs w:val="19"/>
              </w:rPr>
              <w:t xml:space="preserve">Why reconciliation exists</w:t>
            </w:r>
          </w:p>
          <w:p>
            <w:pPr>
              <w:spacing w:after="0" w:line="276"/>
            </w:pPr>
            <w:r>
              <w:rPr>
                <w:color w:val="4D6462"/>
                <w:sz w:val="19"/>
                <w:szCs w:val="19"/>
              </w:rPr>
              <w:t xml:space="preserve">The fill endpoint fails silently. A value written to an alias the template does not have is dropped, and you get back a PDF that looks fine with an empty box in the middle of it. On a probate petition that is a rejected filing and another month gone. Reconciliation makes drift visible before anyone files.</w:t>
            </w:r>
          </w:p>
        </w:tc>
      </w:tr>
    </w:tbl>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6. Jurisdiction layer</w:t>
      </w:r>
    </w:p>
    <w:p>
      <w:pPr>
        <w:pStyle w:val="Heading2"/>
        <w:spacing w:after="120" w:before="260"/>
      </w:pPr>
      <w:r>
        <w:rPr>
          <w:rFonts w:ascii="Georgia" w:cs="Georgia" w:eastAsia="Georgia" w:hAnsi="Georgia"/>
          <w:b/>
          <w:bCs/>
          <w:color w:val="12211F"/>
          <w:sz w:val="24"/>
          <w:szCs w:val="24"/>
        </w:rPr>
        <w:t xml:space="preserve">6.1 California statewide</w:t>
      </w:r>
    </w:p>
    <w:p>
      <w:pPr>
        <w:spacing w:after="120" w:line="276"/>
      </w:pPr>
      <w:r>
        <w:rPr>
          <w:color w:val="4D6462"/>
          <w:sz w:val="20"/>
          <w:szCs w:val="20"/>
        </w:rPr>
        <w:t xml:space="preserve">Thresholds for deaths on or after 1 April 2025, each cited:</w:t>
      </w:r>
    </w:p>
    <w:tbl>
      <w:tblPr>
        <w:tblW w:type="dxa" w:w="9792"/>
        <w:tblBorders>
          <w:top w:val="single" w:color="DDE8E8" w:sz="2"/>
          <w:left w:val="none"/>
          <w:bottom w:val="single" w:color="DDE8E8" w:sz="2"/>
          <w:right w:val="none"/>
          <w:insideH w:val="single" w:color="DDE8E8" w:sz="2"/>
          <w:insideV w:val="none"/>
        </w:tblBorders>
      </w:tblPr>
      <w:tblGrid>
        <w:gridCol w:w="3800"/>
        <w:gridCol w:w="2000"/>
        <w:gridCol w:w="3992"/>
      </w:tblGrid>
      <w:tr>
        <w:trPr>
          <w:tblHeader/>
        </w:trPr>
        <w:tc>
          <w:tcPr>
            <w:tcW w:type="dxa" w:w="3800"/>
            <w:shd w:fill="EAF1F2" w:color="auto" w:val="clear"/>
            <w:tcMar>
              <w:top w:type="dxa" w:w="90"/>
              <w:left w:type="dxa" w:w="120"/>
              <w:bottom w:type="dxa" w:w="90"/>
              <w:right w:type="dxa" w:w="120"/>
            </w:tcMar>
          </w:tcPr>
          <w:p>
            <w:pPr>
              <w:spacing w:after="0" w:line="260"/>
            </w:pPr>
            <w:r>
              <w:rPr>
                <w:b/>
                <w:bCs/>
                <w:color w:val="12211F"/>
                <w:sz w:val="18"/>
                <w:szCs w:val="18"/>
              </w:rPr>
              <w:t xml:space="preserve">Procedure</w:t>
            </w:r>
          </w:p>
        </w:tc>
        <w:tc>
          <w:tcPr>
            <w:tcW w:type="dxa" w:w="2000"/>
            <w:shd w:fill="EAF1F2" w:color="auto" w:val="clear"/>
            <w:tcMar>
              <w:top w:type="dxa" w:w="90"/>
              <w:left w:type="dxa" w:w="120"/>
              <w:bottom w:type="dxa" w:w="90"/>
              <w:right w:type="dxa" w:w="120"/>
            </w:tcMar>
          </w:tcPr>
          <w:p>
            <w:pPr>
              <w:spacing w:after="0" w:line="260"/>
            </w:pPr>
            <w:r>
              <w:rPr>
                <w:b/>
                <w:bCs/>
                <w:color w:val="12211F"/>
                <w:sz w:val="18"/>
                <w:szCs w:val="18"/>
              </w:rPr>
              <w:t xml:space="preserve">Cap</w:t>
            </w:r>
          </w:p>
        </w:tc>
        <w:tc>
          <w:tcPr>
            <w:tcW w:type="dxa" w:w="3992"/>
            <w:shd w:fill="EAF1F2" w:color="auto" w:val="clear"/>
            <w:tcMar>
              <w:top w:type="dxa" w:w="90"/>
              <w:left w:type="dxa" w:w="120"/>
              <w:bottom w:type="dxa" w:w="90"/>
              <w:right w:type="dxa" w:w="120"/>
            </w:tcMar>
          </w:tcPr>
          <w:p>
            <w:pPr>
              <w:spacing w:after="0" w:line="260"/>
            </w:pPr>
            <w:r>
              <w:rPr>
                <w:b/>
                <w:bCs/>
                <w:color w:val="12211F"/>
                <w:sz w:val="18"/>
                <w:szCs w:val="18"/>
              </w:rPr>
              <w:t xml:space="preserve">Authority</w:t>
            </w:r>
          </w:p>
        </w:tc>
      </w:tr>
      <w:tr>
        <w:trPr>
          <w:tblHeader w:val="false"/>
        </w:trPr>
        <w:tc>
          <w:tcPr>
            <w:tcW w:type="dxa" w:w="3800"/>
            <w:tcMar>
              <w:top w:type="dxa" w:w="90"/>
              <w:left w:type="dxa" w:w="120"/>
              <w:bottom w:type="dxa" w:w="90"/>
              <w:right w:type="dxa" w:w="120"/>
            </w:tcMar>
          </w:tcPr>
          <w:p>
            <w:pPr>
              <w:spacing w:after="0" w:line="260"/>
            </w:pPr>
            <w:r>
              <w:rPr>
                <w:b w:val="false"/>
                <w:bCs w:val="false"/>
                <w:color w:val="4D6462"/>
                <w:sz w:val="18"/>
                <w:szCs w:val="18"/>
              </w:rPr>
              <w:t xml:space="preserve">§ 13100 small estate affidavit</w:t>
            </w:r>
          </w:p>
        </w:tc>
        <w:tc>
          <w:tcPr>
            <w:tcW w:type="dxa" w:w="2000"/>
            <w:tcMar>
              <w:top w:type="dxa" w:w="90"/>
              <w:left w:type="dxa" w:w="120"/>
              <w:bottom w:type="dxa" w:w="90"/>
              <w:right w:type="dxa" w:w="120"/>
            </w:tcMar>
          </w:tcPr>
          <w:p>
            <w:pPr>
              <w:spacing w:after="0" w:line="260"/>
            </w:pPr>
            <w:r>
              <w:rPr>
                <w:b w:val="false"/>
                <w:bCs w:val="false"/>
                <w:color w:val="4D6462"/>
                <w:sz w:val="18"/>
                <w:szCs w:val="18"/>
              </w:rPr>
              <w:t xml:space="preserve">$208,850</w:t>
            </w:r>
          </w:p>
        </w:tc>
        <w:tc>
          <w:tcPr>
            <w:tcW w:type="dxa" w:w="3992"/>
            <w:tcMar>
              <w:top w:type="dxa" w:w="90"/>
              <w:left w:type="dxa" w:w="120"/>
              <w:bottom w:type="dxa" w:w="90"/>
              <w:right w:type="dxa" w:w="120"/>
            </w:tcMar>
          </w:tcPr>
          <w:p>
            <w:pPr>
              <w:spacing w:after="0" w:line="260"/>
            </w:pPr>
            <w:r>
              <w:rPr>
                <w:b w:val="false"/>
                <w:bCs w:val="false"/>
                <w:color w:val="4D6462"/>
                <w:sz w:val="18"/>
                <w:szCs w:val="18"/>
              </w:rPr>
              <w:t xml:space="preserve">Prob. Code §§ 13100, 13101</w:t>
            </w:r>
          </w:p>
        </w:tc>
      </w:tr>
      <w:tr>
        <w:trPr>
          <w:tblHeader w:val="false"/>
        </w:trPr>
        <w:tc>
          <w:tcPr>
            <w:tcW w:type="dxa" w:w="3800"/>
            <w:tcMar>
              <w:top w:type="dxa" w:w="90"/>
              <w:left w:type="dxa" w:w="120"/>
              <w:bottom w:type="dxa" w:w="90"/>
              <w:right w:type="dxa" w:w="120"/>
            </w:tcMar>
          </w:tcPr>
          <w:p>
            <w:pPr>
              <w:spacing w:after="0" w:line="260"/>
            </w:pPr>
            <w:r>
              <w:rPr>
                <w:b w:val="false"/>
                <w:bCs w:val="false"/>
                <w:color w:val="4D6462"/>
                <w:sz w:val="18"/>
                <w:szCs w:val="18"/>
              </w:rPr>
              <w:t xml:space="preserve">§ 13151 primary residence petition (DE-310)</w:t>
            </w:r>
          </w:p>
        </w:tc>
        <w:tc>
          <w:tcPr>
            <w:tcW w:type="dxa" w:w="2000"/>
            <w:tcMar>
              <w:top w:type="dxa" w:w="90"/>
              <w:left w:type="dxa" w:w="120"/>
              <w:bottom w:type="dxa" w:w="90"/>
              <w:right w:type="dxa" w:w="120"/>
            </w:tcMar>
          </w:tcPr>
          <w:p>
            <w:pPr>
              <w:spacing w:after="0" w:line="260"/>
            </w:pPr>
            <w:r>
              <w:rPr>
                <w:b w:val="false"/>
                <w:bCs w:val="false"/>
                <w:color w:val="4D6462"/>
                <w:sz w:val="18"/>
                <w:szCs w:val="18"/>
              </w:rPr>
              <w:t xml:space="preserve">$750,000</w:t>
            </w:r>
          </w:p>
        </w:tc>
        <w:tc>
          <w:tcPr>
            <w:tcW w:type="dxa" w:w="3992"/>
            <w:tcMar>
              <w:top w:type="dxa" w:w="90"/>
              <w:left w:type="dxa" w:w="120"/>
              <w:bottom w:type="dxa" w:w="90"/>
              <w:right w:type="dxa" w:w="120"/>
            </w:tcMar>
          </w:tcPr>
          <w:p>
            <w:pPr>
              <w:spacing w:after="0" w:line="260"/>
            </w:pPr>
            <w:r>
              <w:rPr>
                <w:b w:val="false"/>
                <w:bCs w:val="false"/>
                <w:color w:val="4D6462"/>
                <w:sz w:val="18"/>
                <w:szCs w:val="18"/>
              </w:rPr>
              <w:t xml:space="preserve">AB 2016, Stats. 2024 ch. 331</w:t>
            </w:r>
          </w:p>
        </w:tc>
      </w:tr>
      <w:tr>
        <w:trPr>
          <w:tblHeader w:val="false"/>
        </w:trPr>
        <w:tc>
          <w:tcPr>
            <w:tcW w:type="dxa" w:w="3800"/>
            <w:tcMar>
              <w:top w:type="dxa" w:w="90"/>
              <w:left w:type="dxa" w:w="120"/>
              <w:bottom w:type="dxa" w:w="90"/>
              <w:right w:type="dxa" w:w="120"/>
            </w:tcMar>
          </w:tcPr>
          <w:p>
            <w:pPr>
              <w:spacing w:after="0" w:line="260"/>
            </w:pPr>
            <w:r>
              <w:rPr>
                <w:b w:val="false"/>
                <w:bCs w:val="false"/>
                <w:color w:val="4D6462"/>
                <w:sz w:val="18"/>
                <w:szCs w:val="18"/>
              </w:rPr>
              <w:t xml:space="preserve">§ 13200 real property of small value (DE-305)</w:t>
            </w:r>
          </w:p>
        </w:tc>
        <w:tc>
          <w:tcPr>
            <w:tcW w:type="dxa" w:w="2000"/>
            <w:tcMar>
              <w:top w:type="dxa" w:w="90"/>
              <w:left w:type="dxa" w:w="120"/>
              <w:bottom w:type="dxa" w:w="90"/>
              <w:right w:type="dxa" w:w="120"/>
            </w:tcMar>
          </w:tcPr>
          <w:p>
            <w:pPr>
              <w:spacing w:after="0" w:line="260"/>
            </w:pPr>
            <w:r>
              <w:rPr>
                <w:b w:val="false"/>
                <w:bCs w:val="false"/>
                <w:color w:val="4D6462"/>
                <w:sz w:val="18"/>
                <w:szCs w:val="18"/>
              </w:rPr>
              <w:t xml:space="preserve">$69,625</w:t>
            </w:r>
          </w:p>
        </w:tc>
        <w:tc>
          <w:tcPr>
            <w:tcW w:type="dxa" w:w="3992"/>
            <w:tcMar>
              <w:top w:type="dxa" w:w="90"/>
              <w:left w:type="dxa" w:w="120"/>
              <w:bottom w:type="dxa" w:w="90"/>
              <w:right w:type="dxa" w:w="120"/>
            </w:tcMar>
          </w:tcPr>
          <w:p>
            <w:pPr>
              <w:spacing w:after="0" w:line="260"/>
            </w:pPr>
            <w:r>
              <w:rPr>
                <w:b w:val="false"/>
                <w:bCs w:val="false"/>
                <w:color w:val="4D6462"/>
                <w:sz w:val="18"/>
                <w:szCs w:val="18"/>
              </w:rPr>
              <w:t xml:space="preserve">Prob. Code § 13200</w:t>
            </w:r>
          </w:p>
        </w:tc>
      </w:tr>
      <w:tr>
        <w:trPr>
          <w:tblHeader w:val="false"/>
        </w:trPr>
        <w:tc>
          <w:tcPr>
            <w:tcW w:type="dxa" w:w="3800"/>
            <w:tcMar>
              <w:top w:type="dxa" w:w="90"/>
              <w:left w:type="dxa" w:w="120"/>
              <w:bottom w:type="dxa" w:w="90"/>
              <w:right w:type="dxa" w:w="120"/>
            </w:tcMar>
          </w:tcPr>
          <w:p>
            <w:pPr>
              <w:spacing w:after="0" w:line="260"/>
            </w:pPr>
            <w:r>
              <w:rPr>
                <w:b w:val="false"/>
                <w:bCs w:val="false"/>
                <w:color w:val="4D6462"/>
                <w:sz w:val="18"/>
                <w:szCs w:val="18"/>
              </w:rPr>
              <w:t xml:space="preserve">Waiting period — §§ 13100, 13151</w:t>
            </w:r>
          </w:p>
        </w:tc>
        <w:tc>
          <w:tcPr>
            <w:tcW w:type="dxa" w:w="2000"/>
            <w:tcMar>
              <w:top w:type="dxa" w:w="90"/>
              <w:left w:type="dxa" w:w="120"/>
              <w:bottom w:type="dxa" w:w="90"/>
              <w:right w:type="dxa" w:w="120"/>
            </w:tcMar>
          </w:tcPr>
          <w:p>
            <w:pPr>
              <w:spacing w:after="0" w:line="260"/>
            </w:pPr>
            <w:r>
              <w:rPr>
                <w:b w:val="false"/>
                <w:bCs w:val="false"/>
                <w:color w:val="4D6462"/>
                <w:sz w:val="18"/>
                <w:szCs w:val="18"/>
              </w:rPr>
              <w:t xml:space="preserve">40 days</w:t>
            </w:r>
          </w:p>
        </w:tc>
        <w:tc>
          <w:tcPr>
            <w:tcW w:type="dxa" w:w="3992"/>
            <w:tcMar>
              <w:top w:type="dxa" w:w="90"/>
              <w:left w:type="dxa" w:w="120"/>
              <w:bottom w:type="dxa" w:w="90"/>
              <w:right w:type="dxa" w:w="120"/>
            </w:tcMar>
          </w:tcPr>
          <w:p>
            <w:pPr>
              <w:spacing w:after="0" w:line="260"/>
            </w:pPr>
            <w:r>
              <w:rPr>
                <w:b w:val="false"/>
                <w:bCs w:val="false"/>
                <w:color w:val="4D6462"/>
                <w:sz w:val="18"/>
                <w:szCs w:val="18"/>
              </w:rPr>
              <w:t xml:space="preserve">Prob. Code § 13100</w:t>
            </w:r>
          </w:p>
        </w:tc>
      </w:tr>
      <w:tr>
        <w:trPr>
          <w:tblHeader w:val="false"/>
        </w:trPr>
        <w:tc>
          <w:tcPr>
            <w:tcW w:type="dxa" w:w="3800"/>
            <w:tcMar>
              <w:top w:type="dxa" w:w="90"/>
              <w:left w:type="dxa" w:w="120"/>
              <w:bottom w:type="dxa" w:w="90"/>
              <w:right w:type="dxa" w:w="120"/>
            </w:tcMar>
          </w:tcPr>
          <w:p>
            <w:pPr>
              <w:spacing w:after="0" w:line="260"/>
            </w:pPr>
            <w:r>
              <w:rPr>
                <w:b w:val="false"/>
                <w:bCs w:val="false"/>
                <w:color w:val="4D6462"/>
                <w:sz w:val="18"/>
                <w:szCs w:val="18"/>
              </w:rPr>
              <w:t xml:space="preserve">Waiting period — § 13200</w:t>
            </w:r>
          </w:p>
        </w:tc>
        <w:tc>
          <w:tcPr>
            <w:tcW w:type="dxa" w:w="2000"/>
            <w:tcMar>
              <w:top w:type="dxa" w:w="90"/>
              <w:left w:type="dxa" w:w="120"/>
              <w:bottom w:type="dxa" w:w="90"/>
              <w:right w:type="dxa" w:w="120"/>
            </w:tcMar>
          </w:tcPr>
          <w:p>
            <w:pPr>
              <w:spacing w:after="0" w:line="260"/>
            </w:pPr>
            <w:r>
              <w:rPr>
                <w:b w:val="false"/>
                <w:bCs w:val="false"/>
                <w:color w:val="4D6462"/>
                <w:sz w:val="18"/>
                <w:szCs w:val="18"/>
              </w:rPr>
              <w:t xml:space="preserve">6 months</w:t>
            </w:r>
          </w:p>
        </w:tc>
        <w:tc>
          <w:tcPr>
            <w:tcW w:type="dxa" w:w="3992"/>
            <w:tcMar>
              <w:top w:type="dxa" w:w="90"/>
              <w:left w:type="dxa" w:w="120"/>
              <w:bottom w:type="dxa" w:w="90"/>
              <w:right w:type="dxa" w:w="120"/>
            </w:tcMar>
          </w:tcPr>
          <w:p>
            <w:pPr>
              <w:spacing w:after="0" w:line="260"/>
            </w:pPr>
            <w:r>
              <w:rPr>
                <w:b w:val="false"/>
                <w:bCs w:val="false"/>
                <w:color w:val="4D6462"/>
                <w:sz w:val="18"/>
                <w:szCs w:val="18"/>
              </w:rPr>
              <w:t xml:space="preserve">Prob. Code § 13200</w:t>
            </w:r>
          </w:p>
        </w:tc>
      </w:tr>
    </w:tbl>
    <w:p>
      <w:pPr>
        <w:spacing w:after="120" w:line="276"/>
      </w:pPr>
      <w:r>
        <w:rPr>
          <w:color w:val="4D6462"/>
          <w:sz w:val="20"/>
          <w:szCs w:val="20"/>
        </w:rPr>
        <w:t xml:space="preserve">Routes modelled: § 13100 affidavit, § 13151 primary-residence petition, § 13200 affidavit, spousal property petition (no dollar limit), formal probate, DMV vehicle transfer.</w:t>
      </w:r>
    </w:p>
    <w:tbl>
      <w:tblPr>
        <w:tblW w:type="dxa" w:w="9792"/>
        <w:tblBorders>
          <w:top w:val="none"/>
          <w:left w:val="single" w:color="2C7A87" w:sz="12"/>
          <w:bottom w:val="none"/>
          <w:right w:val="none"/>
          <w:insideH w:val="none"/>
          <w:insideV w:val="none"/>
        </w:tblBorders>
      </w:tblPr>
      <w:tblGrid>
        <w:gridCol w:w="9792"/>
      </w:tblGrid>
      <w:tr>
        <w:tc>
          <w:tcPr>
            <w:tcW w:type="dxa" w:w="9792"/>
            <w:shd w:fill="FDF3E2" w:color="auto" w:val="clear"/>
            <w:tcMar>
              <w:top w:type="dxa" w:w="160"/>
              <w:left w:type="dxa" w:w="200"/>
              <w:bottom w:type="dxa" w:w="160"/>
              <w:right w:type="dxa" w:w="200"/>
            </w:tcMar>
          </w:tcPr>
          <w:p>
            <w:pPr>
              <w:spacing w:after="100" w:line="276"/>
            </w:pPr>
            <w:r>
              <w:rPr>
                <w:b/>
                <w:bCs/>
                <w:color w:val="12211F"/>
                <w:sz w:val="19"/>
                <w:szCs w:val="19"/>
              </w:rPr>
              <w:t xml:space="preserve">The interaction that matters</w:t>
            </w:r>
          </w:p>
          <w:p>
            <w:pPr>
              <w:spacing w:after="0" w:line="276"/>
            </w:pPr>
            <w:r>
              <w:rPr>
                <w:color w:val="4D6462"/>
                <w:sz w:val="19"/>
                <w:szCs w:val="19"/>
              </w:rPr>
              <w:t xml:space="preserve">§ 13100 excludes “any property included in a petition filed under Section 13151”. While the residence qualifies under § 13151 it stays out of the § 13100 sum; cross $750,000 and it loses eligibility and falls back into the computation, closing both economical routes at once.</w:t>
            </w:r>
          </w:p>
        </w:tc>
      </w:tr>
    </w:tbl>
    <w:p>
      <w:pPr>
        <w:spacing w:after="160"/>
      </w:pPr>
      <w:r>
        <w:t xml:space="preserve"/>
      </w:r>
    </w:p>
    <w:p>
      <w:pPr>
        <w:pStyle w:val="Heading2"/>
        <w:spacing w:after="120" w:before="260"/>
      </w:pPr>
      <w:r>
        <w:rPr>
          <w:rFonts w:ascii="Georgia" w:cs="Georgia" w:eastAsia="Georgia" w:hAnsi="Georgia"/>
          <w:b/>
          <w:bCs/>
          <w:color w:val="12211F"/>
          <w:sz w:val="24"/>
          <w:szCs w:val="24"/>
        </w:rPr>
        <w:t xml:space="preserve">6.2 All 58 counties</w:t>
      </w:r>
    </w:p>
    <w:p>
      <w:pPr>
        <w:spacing w:after="120" w:line="276"/>
      </w:pPr>
      <w:r>
        <w:rPr>
          <w:color w:val="4D6462"/>
          <w:sz w:val="20"/>
          <w:szCs w:val="20"/>
        </w:rPr>
        <w:t xml:space="preserve">Two kinds of county knowledge, deliberately distinguished:</w:t>
      </w:r>
    </w:p>
    <w:p>
      <w:pPr>
        <w:pStyle w:val="ListParagraph"/>
        <w:numPr>
          <w:ilvl w:val="0"/>
          <w:numId w:val="2"/>
        </w:numPr>
        <w:spacing w:after="80" w:line="276"/>
      </w:pPr>
      <w:r>
        <w:rPr>
          <w:color w:val="4D6462"/>
          <w:sz w:val="20"/>
          <w:szCs w:val="20"/>
        </w:rPr>
        <w:t xml:space="preserve">Filing fees are known for every county from one authority. The Judicial Council schedule states asterisked fees vary “only in the counties of Riverside, San Bernardino, and San Francisco” — an exhaustive negative statement. Riverside and San Francisco charge $450; the other 56 charge $435.</w:t>
      </w:r>
    </w:p>
    <w:p>
      <w:pPr>
        <w:pStyle w:val="ListParagraph"/>
        <w:numPr>
          <w:ilvl w:val="0"/>
          <w:numId w:val="2"/>
        </w:numPr>
        <w:spacing w:after="80" w:line="276"/>
      </w:pPr>
      <w:r>
        <w:rPr>
          <w:color w:val="4D6462"/>
          <w:sz w:val="20"/>
          <w:szCs w:val="20"/>
        </w:rPr>
        <w:t xml:space="preserve">Local rules are not. Los Angeles, San Francisco and San Mateo were read against their published text. The other 55 generate a rule that says they are unverified rather than implying no local requirements exist.</w:t>
      </w:r>
    </w:p>
    <w:p>
      <w:pPr>
        <w:spacing w:after="120" w:line="276"/>
      </w:pPr>
      <w:r>
        <w:rPr>
          <w:color w:val="4D6462"/>
          <w:sz w:val="20"/>
          <w:szCs w:val="20"/>
        </w:rPr>
        <w:t xml:space="preserve">Researched counties carry local forms (PRO 010, PR-5, PR-13), e-filing exclusions, examiner and tentative-ruling practice, and stale-data warnings — including that lacourt.ca.gov still serves the superseded 2022 chapter 4 while the operative version lives on a different host.</w:t>
      </w:r>
    </w:p>
    <w:p>
      <w:pPr>
        <w:spacing w:after="120" w:line="276"/>
      </w:pPr>
      <w:r>
        <w:rPr>
          <w:color w:val="4D6462"/>
          <w:sz w:val="20"/>
          <w:szCs w:val="20"/>
        </w:rPr>
        <w:t xml:space="preserve">Switching county re-decides the estate with no fact re-extracted, because everything is a pure function of the facts.</w:t>
      </w:r>
    </w:p>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7. Infrastructure</w:t>
      </w:r>
    </w:p>
    <w:p>
      <w:pPr>
        <w:pStyle w:val="ListParagraph"/>
        <w:numPr>
          <w:ilvl w:val="0"/>
          <w:numId w:val="2"/>
        </w:numPr>
        <w:spacing w:after="80" w:line="276"/>
      </w:pPr>
      <w:r>
        <w:rPr>
          <w:color w:val="4D6462"/>
          <w:sz w:val="20"/>
          <w:szCs w:val="20"/>
        </w:rPr>
        <w:t xml:space="preserve">Multi-model provider layer — Anthropic, OpenAI, Google, DeepSeek, Moonshot, any OpenAI-compatible endpoint. Model IDs and prices are data. Keys live in Rust; the frontend sees has_key only.</w:t>
      </w:r>
    </w:p>
    <w:p>
      <w:pPr>
        <w:pStyle w:val="ListParagraph"/>
        <w:numPr>
          <w:ilvl w:val="0"/>
          <w:numId w:val="2"/>
        </w:numPr>
        <w:spacing w:after="80" w:line="276"/>
      </w:pPr>
      <w:r>
        <w:rPr>
          <w:color w:val="4D6462"/>
          <w:sz w:val="20"/>
          <w:szCs w:val="20"/>
        </w:rPr>
        <w:t xml:space="preserve">Injection fencing — third-party documents are fenced as untrusted with forged delimiters neutralised before any model sees them.</w:t>
      </w:r>
    </w:p>
    <w:p>
      <w:pPr>
        <w:pStyle w:val="ListParagraph"/>
        <w:numPr>
          <w:ilvl w:val="0"/>
          <w:numId w:val="2"/>
        </w:numPr>
        <w:spacing w:after="80" w:line="276"/>
      </w:pPr>
      <w:r>
        <w:rPr>
          <w:color w:val="4D6462"/>
          <w:sz w:val="20"/>
          <w:szCs w:val="20"/>
        </w:rPr>
        <w:t xml:space="preserve">Rate limiting and hard spend cap — per-provider concurrency, exponential backoff with jitter, immediate failure on a bad key, and a USD ceiling that aborts a run.</w:t>
      </w:r>
    </w:p>
    <w:p>
      <w:pPr>
        <w:pStyle w:val="ListParagraph"/>
        <w:numPr>
          <w:ilvl w:val="0"/>
          <w:numId w:val="2"/>
        </w:numPr>
        <w:spacing w:after="80" w:line="276"/>
      </w:pPr>
      <w:r>
        <w:rPr>
          <w:color w:val="4D6462"/>
          <w:sz w:val="20"/>
          <w:szCs w:val="20"/>
        </w:rPr>
        <w:t xml:space="preserve">Context budgeting — token-aware document selection; documents that do not fit are named in the prompt rather than silently dropped.</w:t>
      </w:r>
    </w:p>
    <w:p>
      <w:pPr>
        <w:spacing w:after="120" w:line="276"/>
      </w:pPr>
      <w:r>
        <w:rPr>
          <w:color w:val="4D6462"/>
          <w:sz w:val="20"/>
          <w:szCs w:val="20"/>
        </w:rPr>
        <w:t xml:space="preserve">Interface: twelve panes — Estate, Data room, Fact ledger, Investigation, Decisions, Forms, Document store, Anvil, Administration, Jurisdiction, Change log. The whole demo runs with no network call, so it cannot fail on venue wifi.</w:t>
      </w:r>
    </w:p>
    <w:p>
      <w:pPr>
        <w:pBdr>
          <w:bottom w:val="single" w:color="DDE8E8" w:sz="6"/>
        </w:pBdr>
        <w:spacing w:after="200" w:before="80"/>
      </w:pPr>
      <w:r>
        <w:rPr>
          <w:sz w:val="2"/>
          <w:szCs w:val="2"/>
        </w:rPr>
        <w:t xml:space="preserve"/>
      </w:r>
    </w:p>
    <w:p>
      <w:pPr>
        <w:pStyle w:val="Heading1"/>
        <w:spacing w:after="160" w:before="360"/>
      </w:pPr>
      <w:r>
        <w:rPr>
          <w:rFonts w:ascii="Georgia" w:cs="Georgia" w:eastAsia="Georgia" w:hAnsi="Georgia"/>
          <w:b/>
          <w:bCs/>
          <w:color w:val="12211F"/>
          <w:sz w:val="30"/>
          <w:szCs w:val="30"/>
        </w:rPr>
        <w:t xml:space="preserve">8. Honest limitations</w:t>
      </w:r>
    </w:p>
    <w:p>
      <w:pPr>
        <w:spacing w:after="120" w:line="276"/>
      </w:pPr>
      <w:r>
        <w:rPr>
          <w:i/>
          <w:iCs/>
          <w:color w:val="839997"/>
          <w:sz w:val="20"/>
          <w:szCs w:val="20"/>
        </w:rPr>
        <w:t xml:space="preserve">Stated plainly, because a limitation volunteered is a strength and one extracted is a wound.</w:t>
      </w:r>
    </w:p>
    <w:p>
      <w:pPr>
        <w:pStyle w:val="ListParagraph"/>
        <w:numPr>
          <w:ilvl w:val="0"/>
          <w:numId w:val="2"/>
        </w:numPr>
        <w:spacing w:after="80" w:line="276"/>
      </w:pPr>
      <w:r>
        <w:rPr>
          <w:color w:val="4D6462"/>
          <w:sz w:val="20"/>
          <w:szCs w:val="20"/>
        </w:rPr>
        <w:t xml:space="preserve">No live model call has ever been made from this codebase or its parent. Extraction is stubbed with hand-written candidates in the identical FactCandidate shape.</w:t>
      </w:r>
    </w:p>
    <w:p>
      <w:pPr>
        <w:pStyle w:val="ListParagraph"/>
        <w:numPr>
          <w:ilvl w:val="0"/>
          <w:numId w:val="2"/>
        </w:numPr>
        <w:spacing w:after="80" w:line="276"/>
      </w:pPr>
      <w:r>
        <w:rPr>
          <w:color w:val="4D6462"/>
          <w:sz w:val="20"/>
          <w:szCs w:val="20"/>
        </w:rPr>
        <w:t xml:space="preserve">No live Anvil call has ever been made. The createCast file encoding and the exact etch input types are the least certain parts.</w:t>
      </w:r>
    </w:p>
    <w:p>
      <w:pPr>
        <w:pStyle w:val="ListParagraph"/>
        <w:numPr>
          <w:ilvl w:val="0"/>
          <w:numId w:val="2"/>
        </w:numPr>
        <w:spacing w:after="80" w:line="276"/>
      </w:pPr>
      <w:r>
        <w:rPr>
          <w:color w:val="4D6462"/>
          <w:sz w:val="20"/>
          <w:szCs w:val="20"/>
        </w:rPr>
        <w:t xml:space="preserve">Resolved: the governing thresholds are confirmed against form DE-300 [Rev. April 28, 2025] — § 13100 at $208,850, § 13151 at $750,000, § 13200 at $69,625, for deaths on or after 1 April 2025, next adjusted 1 April 2028. The prior figures in the form’s left column, $184,500 and $61,500, are the ones still circulating widely online.</w:t>
      </w:r>
    </w:p>
    <w:p>
      <w:pPr>
        <w:pStyle w:val="ListParagraph"/>
        <w:numPr>
          <w:ilvl w:val="0"/>
          <w:numId w:val="2"/>
        </w:numPr>
        <w:spacing w:after="80" w:line="276"/>
      </w:pPr>
      <w:r>
        <w:rPr>
          <w:color w:val="4D6462"/>
          <w:sz w:val="20"/>
          <w:szCs w:val="20"/>
        </w:rPr>
        <w:t xml:space="preserve">55 of 58 counties have unread local rules. Flagged, not defaulted.</w:t>
      </w:r>
    </w:p>
    <w:p>
      <w:pPr>
        <w:pStyle w:val="ListParagraph"/>
        <w:numPr>
          <w:ilvl w:val="0"/>
          <w:numId w:val="2"/>
        </w:numPr>
        <w:spacing w:after="80" w:line="276"/>
      </w:pPr>
      <w:r>
        <w:rPr>
          <w:color w:val="4D6462"/>
          <w:sz w:val="20"/>
          <w:szCs w:val="20"/>
        </w:rPr>
        <w:t xml:space="preserve">Heggstad / § 850 is not modelled — the actual remedy for an unfunded trust.</w:t>
      </w:r>
    </w:p>
    <w:p>
      <w:pPr>
        <w:pStyle w:val="ListParagraph"/>
        <w:numPr>
          <w:ilvl w:val="0"/>
          <w:numId w:val="2"/>
        </w:numPr>
        <w:spacing w:after="80" w:line="276"/>
      </w:pPr>
      <w:r>
        <w:rPr>
          <w:color w:val="4D6462"/>
          <w:sz w:val="20"/>
          <w:szCs w:val="20"/>
        </w:rPr>
        <w:t xml:space="preserve">Liabilities are not in the ledger. Assets only; creditor work exists as tasks.</w:t>
      </w:r>
    </w:p>
    <w:p>
      <w:pPr>
        <w:pStyle w:val="ListParagraph"/>
        <w:numPr>
          <w:ilvl w:val="0"/>
          <w:numId w:val="2"/>
        </w:numPr>
        <w:spacing w:after="80" w:line="276"/>
      </w:pPr>
      <w:r>
        <w:rPr>
          <w:color w:val="4D6462"/>
          <w:sz w:val="20"/>
          <w:szCs w:val="20"/>
        </w:rPr>
        <w:t xml:space="preserve">No foreign jurisdiction rule pack. Ancillary probate and resealing appear as lead actions, not rules.</w:t>
      </w:r>
    </w:p>
    <w:p>
      <w:pPr>
        <w:pStyle w:val="ListParagraph"/>
        <w:numPr>
          <w:ilvl w:val="0"/>
          <w:numId w:val="2"/>
        </w:numPr>
        <w:spacing w:after="80" w:line="276"/>
      </w:pPr>
      <w:r>
        <w:rPr>
          <w:color w:val="4D6462"/>
          <w:sz w:val="20"/>
          <w:szCs w:val="20"/>
        </w:rPr>
        <w:t xml:space="preserve">No entity resolution. Whether two references describe the same account is unanswered.</w:t>
      </w:r>
    </w:p>
    <w:p>
      <w:pPr>
        <w:pStyle w:val="ListParagraph"/>
        <w:numPr>
          <w:ilvl w:val="0"/>
          <w:numId w:val="2"/>
        </w:numPr>
        <w:spacing w:after="80" w:line="276"/>
      </w:pPr>
      <w:r>
        <w:rPr>
          <w:color w:val="4D6462"/>
          <w:sz w:val="20"/>
          <w:szCs w:val="20"/>
        </w:rPr>
        <w:t xml:space="preserve">The investigation log is derived, not persisted — recomputed per run rather than append-only.</w:t>
      </w:r>
    </w:p>
    <w:p>
      <w:pPr>
        <w:pStyle w:val="ListParagraph"/>
        <w:numPr>
          <w:ilvl w:val="0"/>
          <w:numId w:val="2"/>
        </w:numPr>
        <w:spacing w:after="80" w:line="276"/>
      </w:pPr>
      <w:r>
        <w:rPr>
          <w:color w:val="4D6462"/>
          <w:sz w:val="20"/>
          <w:szCs w:val="20"/>
        </w:rPr>
        <w:t xml:space="preserve">Track 2 (voice) is designed, not built.</w:t>
      </w:r>
    </w:p>
    <w:p>
      <w:pPr>
        <w:pStyle w:val="ListParagraph"/>
        <w:numPr>
          <w:ilvl w:val="0"/>
          <w:numId w:val="2"/>
        </w:numPr>
        <w:spacing w:after="80" w:line="276"/>
      </w:pPr>
      <w:r>
        <w:rPr>
          <w:color w:val="4D6462"/>
          <w:sz w:val="20"/>
          <w:szCs w:val="20"/>
        </w:rPr>
        <w:t xml:space="preserve">Verification proves a quote exists, not that the conclusion follows. It eliminates fabricated evidence, not bad reasoning from real evidence.</w:t>
      </w:r>
    </w:p>
    <w:p>
      <w:pPr>
        <w:pStyle w:val="ListParagraph"/>
        <w:numPr>
          <w:ilvl w:val="0"/>
          <w:numId w:val="2"/>
        </w:numPr>
        <w:spacing w:after="80" w:line="276"/>
      </w:pPr>
      <w:r>
        <w:rPr>
          <w:color w:val="4D6462"/>
          <w:sz w:val="20"/>
          <w:szCs w:val="20"/>
        </w:rPr>
        <w:t xml:space="preserve">This is not legal advice. It is analysis support a human owns, reviews and signs — which is Alix’s own product stance.</w:t>
      </w:r>
    </w:p>
    <w:sectPr>
      <w:footerReference w:type="default" r:id="rId7"/>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39997"/>
        <w:sz w:val="16"/>
        <w:szCs w:val="16"/>
      </w:rPr>
      <w:t xml:space="preserve">Warrant · capability reference · </w:t>
    </w:r>
    <w:r>
      <w:rPr>
        <w:color w:val="83999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D646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 — Complete capability reference</dc:title>
  <dc:creator>Warrant</dc:creator>
  <dc:description>Estate settlement decision, investigation and filing engine</dc:description>
  <cp:lastModifiedBy>Un-named</cp:lastModifiedBy>
  <cp:revision>1</cp:revision>
  <dcterms:created xsi:type="dcterms:W3CDTF">2026-07-27T22:11:04.536Z</dcterms:created>
  <dcterms:modified xsi:type="dcterms:W3CDTF">2026-07-27T22:11:04.536Z</dcterms:modified>
</cp:coreProperties>
</file>

<file path=docProps/custom.xml><?xml version="1.0" encoding="utf-8"?>
<Properties xmlns="http://schemas.openxmlformats.org/officeDocument/2006/custom-properties" xmlns:vt="http://schemas.openxmlformats.org/officeDocument/2006/docPropsVTypes"/>
</file>