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Services Agreement — Apex Retail</w:t>
      </w:r>
    </w:p>
    <w:p>
      <w:r>
        <w:t>This Agreement is made between Northwind Logistics Ltd. (the "Supplier") and Apex Retail plc.</w:t>
      </w:r>
    </w:p>
    <w:p>
      <w:pPr>
        <w:pStyle w:val="Heading1"/>
      </w:pPr>
      <w:r>
        <w:t>12. Change of Control</w:t>
      </w:r>
    </w:p>
    <w:p>
      <w:r>
        <w:t xml:space="preserve">Upon a </w:t>
      </w:r>
      <w:r>
        <w:t xml:space="preserve">change of </w:t>
      </w:r>
      <w:r>
        <w:t>control of the Supplier, Apex Retail may terminate this Agreement on thirty (30) days written notice.</w:t>
      </w:r>
    </w:p>
    <w:p>
      <w:r>
        <w:t>Liability under this Agreement is capped at twelve months of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