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3864"/>
          <w:sz w:val="44"/>
          <w:szCs w:val="44"/>
        </w:rPr>
        <w:t xml:space="preserve">Visualization of Molecular</w:t>
      </w:r>
    </w:p>
    <w:p>
      <w:pPr>
        <w:spacing w:after="300"/>
        <w:jc w:val="center"/>
      </w:pPr>
      <w:r>
        <w:rPr>
          <w:b/>
          <w:bCs/>
          <w:color w:val="1F3864"/>
          <w:sz w:val="44"/>
          <w:szCs w:val="44"/>
        </w:rPr>
        <w:t xml:space="preserve">Electrostatic Potentials</w:t>
      </w:r>
    </w:p>
    <w:p>
      <w:pPr>
        <w:spacing w:after="100"/>
        <w:jc w:val="center"/>
      </w:pPr>
      <w:r>
        <w:rPr>
          <w:i/>
          <w:iCs/>
          <w:sz w:val="22"/>
          <w:szCs w:val="22"/>
        </w:rPr>
        <w:t xml:space="preserve">Two reproducible pipelines from Turbomole grid output to publication figures,</w:t>
      </w:r>
    </w:p>
    <w:p>
      <w:pPr>
        <w:spacing w:after="500"/>
        <w:jc w:val="center"/>
      </w:pPr>
      <w:r>
        <w:rPr>
          <w:i/>
          <w:iCs/>
          <w:sz w:val="22"/>
          <w:szCs w:val="22"/>
        </w:rPr>
        <w:t xml:space="preserve">and a measurement of what actually moves the result</w:t>
      </w:r>
    </w:p>
    <w:p>
      <w:pPr>
        <w:spacing w:after="80" w:before="140"/>
        <w:jc w:val="center"/>
      </w:pPr>
      <w:r>
        <w:drawing>
          <wp:inline distT="0" distB="0" distL="0" distR="0">
            <wp:extent cx="5334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038225"/>
                    </a:xfrm>
                    <a:prstGeom prst="rect">
                      <a:avLst/>
                    </a:prstGeom>
                  </pic:spPr>
                </pic:pic>
              </a:graphicData>
            </a:graphic>
          </wp:inline>
        </w:drawing>
      </w:r>
    </w:p>
    <w:p>
      <w:pPr>
        <w:spacing w:after="220" w:line="240" w:lineRule="auto"/>
      </w:pPr>
      <w:r>
        <w:rPr>
          <w:i/>
          <w:iCs/>
          <w:color w:val="4A5568"/>
          <w:sz w:val="18"/>
          <w:szCs w:val="18"/>
        </w:rPr>
        <w:t xml:space="preserve">Figure 1 — 4-Chloro-3-nitropyridine at ρ = 0.001 a.u. Left: the π face, with the nitro oxygens as the deep red region. Centre: the in-plane profile. Right: the view along the C–Cl axis, with the blue σ-hole cap in the middle of the chlorine. Colour scale ±0.0600 a.u., PyMOL pipeline.</w:t>
      </w:r>
    </w:p>
    <w:p>
      <w:pPr>
        <w:spacing w:before="400"/>
        <w:jc w:val="center"/>
      </w:pPr>
      <w:r>
        <w:rPr>
          <w:sz w:val="20"/>
          <w:szCs w:val="20"/>
        </w:rPr>
        <w:t xml:space="preserve">Practical Bioinformatics Project · Frontiers of Applied Drug Design</w:t>
      </w:r>
    </w:p>
    <w:p>
      <w:pPr>
        <w:spacing w:after="0"/>
        <w:jc w:val="center"/>
      </w:pPr>
      <w:r>
        <w:rPr>
          <w:color w:val="4A5568"/>
          <w:sz w:val="20"/>
          <w:szCs w:val="20"/>
        </w:rPr>
        <w:t xml:space="preserve">August 2026</w:t>
      </w:r>
    </w:p>
    <w:p>
      <w:r>
        <w:br w:type="page"/>
      </w:r>
    </w:p>
    <w:p>
      <w:pPr>
        <w:pStyle w:val="Heading1"/>
        <w:spacing w:after="160" w:before="360"/>
      </w:pPr>
      <w:r>
        <w:rPr>
          <w:b/>
          <w:bCs/>
          <w:color w:val="1F3864"/>
          <w:sz w:val="30"/>
          <w:szCs w:val="30"/>
        </w:rPr>
        <w:t xml:space="preserve">Summary</w:t>
      </w:r>
    </w:p>
    <w:p>
      <w:pPr>
        <w:spacing w:after="120" w:line="276" w:lineRule="auto"/>
      </w:pPr>
      <w:r>
        <w:rPr>
          <w:sz w:val="21"/>
          <w:szCs w:val="21"/>
        </w:rPr>
        <w:t xml:space="preserve">Turbomole </w:t>
      </w:r>
      <w:r>
        <w:rPr>
          <w:rFonts w:ascii="Consolas" w:cs="Consolas" w:eastAsia="Consolas" w:hAnsi="Consolas"/>
          <w:sz w:val="21"/>
          <w:szCs w:val="21"/>
        </w:rPr>
        <w:t xml:space="preserve">pointval</w:t>
      </w:r>
      <w:r>
        <w:rPr>
          <w:sz w:val="21"/>
          <w:szCs w:val="21"/>
        </w:rPr>
        <w:t xml:space="preserve"> output was turned into a reproducible set of electrostatic-potential figures by two independent pipelines, one built on PyMOL and one on VMD. </w:t>
      </w:r>
      <w:r>
        <w:rPr>
          <w:sz w:val="21"/>
          <w:szCs w:val="21"/>
        </w:rPr>
        <w:t xml:space="preserve">Ten molecules were processed: six pyridines, three halobenzenes and one drug molecule. Both pipelines convert the raw grids themselves, derive their own colour scale and render their own images; nothing but the raw data is shared.</w:t>
      </w:r>
    </w:p>
    <w:p>
      <w:pPr>
        <w:spacing w:after="120" w:line="276" w:lineRule="auto"/>
      </w:pPr>
      <w:r>
        <w:rPr>
          <w:b/>
          <w:bCs/>
          <w:sz w:val="21"/>
          <w:szCs w:val="21"/>
        </w:rPr>
        <w:t xml:space="preserve">The central result is a separation. </w:t>
      </w:r>
      <w:r>
        <w:rPr>
          <w:sz w:val="21"/>
          <w:szCs w:val="21"/>
        </w:rPr>
        <w:t xml:space="preserve">On identical input the two pipelines return identical numbers — all twenty surface extrema agree to every printed digit, and so do all ten colour scales — while the images differ visibly. </w:t>
      </w:r>
      <w:r>
        <w:rPr>
          <w:sz w:val="21"/>
          <w:szCs w:val="21"/>
        </w:rPr>
        <w:t xml:space="preserve">What a viewer contributes is therefore appearance, not measurement. Building on that, the four parameters of the workflow were measured one by one, and they rank unambiguously: the isovalue changes the reported σ-hole by a factor of 4.4 over a plausible range, the evaluation method by up to a factor of 1.6 on a coarse grid, the grid spacing by 17 % over a 480-fold cost range, and the choice of viewer by nothing at all.</w:t>
      </w:r>
    </w:p>
    <w:p>
      <w:pPr>
        <w:spacing w:after="120" w:line="276" w:lineRule="auto"/>
      </w:pPr>
      <w:r>
        <w:rPr>
          <w:sz w:val="21"/>
          <w:szCs w:val="21"/>
        </w:rPr>
        <w:t xml:space="preserve">The σ-hole values obtained here for the halobenzene series — chlorobenzene +4.9, bromobenzene +10.2, iodobenzene +16.1 kcal/(mol·e) — fall inside the range of published values computed on the same ρ = 0.001 a.u. surface (§6.4), which is the external check the numbers were missing.</w:t>
      </w:r>
    </w:p>
    <w:p>
      <w:pPr>
        <w:spacing w:after="120" w:line="276" w:lineRule="auto"/>
      </w:pPr>
      <w:r>
        <w:rPr>
          <w:sz w:val="21"/>
          <w:szCs w:val="21"/>
        </w:rPr>
        <w:t xml:space="preserve">Two failure modes were found, diagnosed and guarded against: a structure file that does not match the grids it is paired with, and a folder holding more than one candidate structure. Both produced plausible-looking but wrong figures before they were caught (§8).</w:t>
      </w:r>
    </w:p>
    <w:p>
      <w:pPr>
        <w:pStyle w:val="Heading2"/>
        <w:spacing w:after="120" w:before="260"/>
      </w:pPr>
      <w:r>
        <w:rPr>
          <w:b/>
          <w:bCs/>
          <w:color w:val="1F3864"/>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Software evaluation and selection</w:t>
      </w:r>
    </w:p>
    <w:p>
      <w:pPr>
        <w:spacing w:after="120" w:line="276" w:lineRule="auto"/>
      </w:pPr>
      <w:r>
        <w:rPr>
          <w:sz w:val="21"/>
          <w:szCs w:val="21"/>
        </w:rPr>
        <w:t xml:space="preserve">The project required a reproducible route from Turbomole </w:t>
      </w:r>
      <w:r>
        <w:rPr>
          <w:rFonts w:ascii="Consolas" w:cs="Consolas" w:eastAsia="Consolas" w:hAnsi="Consolas"/>
          <w:sz w:val="21"/>
          <w:szCs w:val="21"/>
        </w:rPr>
        <w:t xml:space="preserve">pointval</w:t>
      </w:r>
      <w:r>
        <w:rPr>
          <w:sz w:val="21"/>
          <w:szCs w:val="21"/>
        </w:rPr>
        <w:t xml:space="preserve"> grid output to publication-quality images of the molecular electrostatic potential (ESP) mapped onto an electron-density isosurface. </w:t>
      </w:r>
      <w:r>
        <w:rPr>
          <w:sz w:val="21"/>
          <w:szCs w:val="21"/>
        </w:rPr>
        <w:t xml:space="preserve">The visualization program is only one component of that route, but it is the one that had to be chosen first, because the format of everything upstream depends on it.</w:t>
      </w:r>
    </w:p>
    <w:p>
      <w:pPr>
        <w:pStyle w:val="Heading2"/>
        <w:spacing w:after="120" w:before="260"/>
      </w:pPr>
      <w:r>
        <w:rPr>
          <w:b/>
          <w:bCs/>
          <w:color w:val="1F3864"/>
          <w:sz w:val="24"/>
          <w:szCs w:val="24"/>
        </w:rPr>
        <w:t xml:space="preserve">1.1  Requirements</w:t>
      </w:r>
    </w:p>
    <w:p>
      <w:pPr>
        <w:spacing w:after="120" w:line="276" w:lineRule="auto"/>
      </w:pPr>
      <w:r>
        <w:rPr>
          <w:sz w:val="21"/>
          <w:szCs w:val="21"/>
        </w:rPr>
        <w:t xml:space="preserve">Five requirements follow from the task. The first three are hard: a program failing any of them cannot produce the required figures at all.</w:t>
      </w:r>
    </w:p>
    <w:tbl>
      <w:tblPr>
        <w:tblW w:type="dxa" w:w="9020"/>
        <w:tblBorders>
          <w:top w:val="single" w:color="B0B7C3" w:sz="4"/>
          <w:left w:val="none"/>
          <w:bottom w:val="single" w:color="B0B7C3" w:sz="4"/>
          <w:right w:val="none"/>
          <w:insideH w:val="single" w:color="D9DEE7" w:sz="2"/>
          <w:insideV w:val="none"/>
        </w:tblBorders>
      </w:tblPr>
      <w:tblGrid>
        <w:gridCol w:w="520"/>
        <w:gridCol w:w="2300"/>
        <w:gridCol w:w="6200"/>
      </w:tblGrid>
      <w:tr>
        <w:trPr>
          <w:tblHeader/>
        </w:trPr>
        <w:tc>
          <w:tcPr>
            <w:tcW w:type="dxa" w:w="520"/>
            <w:shd w:fill="F2F4F7" w:val="clear"/>
            <w:tcMar>
              <w:top w:type="dxa" w:w="60"/>
              <w:left w:type="dxa" w:w="90"/>
              <w:bottom w:type="dxa" w:w="60"/>
              <w:right w:type="dxa" w:w="90"/>
            </w:tcMar>
          </w:tcPr>
          <w:p>
            <w:pPr>
              <w:spacing w:after="0" w:line="240" w:lineRule="auto"/>
            </w:pPr>
            <w:r>
              <w:rPr>
                <w:b/>
                <w:bCs/>
                <w:sz w:val="17"/>
                <w:szCs w:val="17"/>
              </w:rPr>
              <w:t xml:space="preserve">#</w:t>
            </w:r>
          </w:p>
        </w:tc>
        <w:tc>
          <w:tcPr>
            <w:tcW w:type="dxa" w:w="2300"/>
            <w:shd w:fill="F2F4F7" w:val="clear"/>
            <w:tcMar>
              <w:top w:type="dxa" w:w="60"/>
              <w:left w:type="dxa" w:w="90"/>
              <w:bottom w:type="dxa" w:w="60"/>
              <w:right w:type="dxa" w:w="90"/>
            </w:tcMar>
          </w:tcPr>
          <w:p>
            <w:pPr>
              <w:spacing w:after="0" w:line="240" w:lineRule="auto"/>
            </w:pPr>
            <w:r>
              <w:rPr>
                <w:b/>
                <w:bCs/>
                <w:sz w:val="17"/>
                <w:szCs w:val="17"/>
              </w:rPr>
              <w:t xml:space="preserve">Requirement</w:t>
            </w:r>
          </w:p>
        </w:tc>
        <w:tc>
          <w:tcPr>
            <w:tcW w:type="dxa" w:w="6200"/>
            <w:shd w:fill="F2F4F7" w:val="clear"/>
            <w:tcMar>
              <w:top w:type="dxa" w:w="60"/>
              <w:left w:type="dxa" w:w="90"/>
              <w:bottom w:type="dxa" w:w="60"/>
              <w:right w:type="dxa" w:w="90"/>
            </w:tcMar>
          </w:tcPr>
          <w:p>
            <w:pPr>
              <w:spacing w:after="0" w:line="240" w:lineRule="auto"/>
            </w:pPr>
            <w:r>
              <w:rPr>
                <w:b/>
                <w:bCs/>
                <w:sz w:val="17"/>
                <w:szCs w:val="17"/>
              </w:rPr>
              <w:t xml:space="preserve">Why it is required</w:t>
            </w:r>
          </w:p>
        </w:tc>
      </w:tr>
      <w:tr>
        <w:trPr>
          <w:cantSplit/>
        </w:trPr>
        <w:tc>
          <w:tcPr>
            <w:tcW w:type="dxa" w:w="520"/>
            <w:tcMar>
              <w:top w:type="dxa" w:w="60"/>
              <w:left w:type="dxa" w:w="90"/>
              <w:bottom w:type="dxa" w:w="60"/>
              <w:right w:type="dxa" w:w="90"/>
            </w:tcMar>
          </w:tcPr>
          <w:p>
            <w:pPr>
              <w:spacing w:after="0" w:line="240" w:lineRule="auto"/>
            </w:pPr>
            <w:r>
              <w:rPr>
                <w:b w:val="false"/>
                <w:bCs w:val="false"/>
                <w:sz w:val="17"/>
                <w:szCs w:val="17"/>
              </w:rPr>
              <w:t xml:space="preserve">R1</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Reads Gaussian cube</w:t>
            </w:r>
          </w:p>
        </w:tc>
        <w:tc>
          <w:tcPr>
            <w:tcW w:type="dxa" w:w="6200"/>
            <w:tcMar>
              <w:top w:type="dxa" w:w="60"/>
              <w:left w:type="dxa" w:w="90"/>
              <w:bottom w:type="dxa" w:w="60"/>
              <w:right w:type="dxa" w:w="90"/>
            </w:tcMar>
          </w:tcPr>
          <w:p>
            <w:pPr>
              <w:spacing w:after="0" w:line="240" w:lineRule="auto"/>
            </w:pPr>
            <w:r>
              <w:rPr>
                <w:b w:val="false"/>
                <w:bCs w:val="false"/>
                <w:sz w:val="17"/>
                <w:szCs w:val="17"/>
              </w:rPr>
              <w:t xml:space="preserve">The converter writes cube files. A program that cannot read them is out of scope before anything else is considered.</w:t>
            </w:r>
          </w:p>
        </w:tc>
      </w:tr>
      <w:tr>
        <w:trPr>
          <w:cantSplit/>
        </w:trPr>
        <w:tc>
          <w:tcPr>
            <w:tcW w:type="dxa" w:w="520"/>
            <w:tcMar>
              <w:top w:type="dxa" w:w="60"/>
              <w:left w:type="dxa" w:w="90"/>
              <w:bottom w:type="dxa" w:w="60"/>
              <w:right w:type="dxa" w:w="90"/>
            </w:tcMar>
          </w:tcPr>
          <w:p>
            <w:pPr>
              <w:spacing w:after="0" w:line="240" w:lineRule="auto"/>
            </w:pPr>
            <w:r>
              <w:rPr>
                <w:b w:val="false"/>
                <w:bCs w:val="false"/>
                <w:sz w:val="17"/>
                <w:szCs w:val="17"/>
              </w:rPr>
              <w:t xml:space="preserve">R2</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Maps one volume onto an isosurface of another</w:t>
            </w:r>
          </w:p>
        </w:tc>
        <w:tc>
          <w:tcPr>
            <w:tcW w:type="dxa" w:w="6200"/>
            <w:tcMar>
              <w:top w:type="dxa" w:w="60"/>
              <w:left w:type="dxa" w:w="90"/>
              <w:bottom w:type="dxa" w:w="60"/>
              <w:right w:type="dxa" w:w="90"/>
            </w:tcMar>
          </w:tcPr>
          <w:p>
            <w:pPr>
              <w:spacing w:after="0" w:line="240" w:lineRule="auto"/>
            </w:pPr>
            <w:r>
              <w:rPr>
                <w:b w:val="false"/>
                <w:bCs w:val="false"/>
                <w:sz w:val="17"/>
                <w:szCs w:val="17"/>
              </w:rPr>
              <w:t xml:space="preserve">The surface is the ρ = 0.001 a.u. density isosurface; the colour is the ESP on it. Two separate volumetric datasets, one shaping the surface and one colouring it.</w:t>
            </w:r>
          </w:p>
        </w:tc>
      </w:tr>
      <w:tr>
        <w:trPr>
          <w:cantSplit/>
        </w:trPr>
        <w:tc>
          <w:tcPr>
            <w:tcW w:type="dxa" w:w="520"/>
            <w:tcMar>
              <w:top w:type="dxa" w:w="60"/>
              <w:left w:type="dxa" w:w="90"/>
              <w:bottom w:type="dxa" w:w="60"/>
              <w:right w:type="dxa" w:w="90"/>
            </w:tcMar>
          </w:tcPr>
          <w:p>
            <w:pPr>
              <w:spacing w:after="0" w:line="240" w:lineRule="auto"/>
            </w:pPr>
            <w:r>
              <w:rPr>
                <w:b w:val="false"/>
                <w:bCs w:val="false"/>
                <w:sz w:val="17"/>
                <w:szCs w:val="17"/>
              </w:rPr>
              <w:t xml:space="preserve">R3</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Explicit control of the colour scale</w:t>
            </w:r>
          </w:p>
        </w:tc>
        <w:tc>
          <w:tcPr>
            <w:tcW w:type="dxa" w:w="6200"/>
            <w:tcMar>
              <w:top w:type="dxa" w:w="60"/>
              <w:left w:type="dxa" w:w="90"/>
              <w:bottom w:type="dxa" w:w="60"/>
              <w:right w:type="dxa" w:w="90"/>
            </w:tcMar>
          </w:tcPr>
          <w:p>
            <w:pPr>
              <w:spacing w:after="0" w:line="240" w:lineRule="auto"/>
            </w:pPr>
            <w:r>
              <w:rPr>
                <w:b w:val="false"/>
                <w:bCs w:val="false"/>
                <w:sz w:val="17"/>
                <w:szCs w:val="17"/>
              </w:rPr>
              <w:t xml:space="preserve">Comparing molecules requires that a given colour means the same potential in every figure. An auto-scaling viewer with no numeric handle cannot guarantee that.</w:t>
            </w:r>
          </w:p>
        </w:tc>
      </w:tr>
      <w:tr>
        <w:trPr>
          <w:cantSplit/>
        </w:trPr>
        <w:tc>
          <w:tcPr>
            <w:tcW w:type="dxa" w:w="520"/>
            <w:tcMar>
              <w:top w:type="dxa" w:w="60"/>
              <w:left w:type="dxa" w:w="90"/>
              <w:bottom w:type="dxa" w:w="60"/>
              <w:right w:type="dxa" w:w="90"/>
            </w:tcMar>
          </w:tcPr>
          <w:p>
            <w:pPr>
              <w:spacing w:after="0" w:line="240" w:lineRule="auto"/>
            </w:pPr>
            <w:r>
              <w:rPr>
                <w:b w:val="false"/>
                <w:bCs w:val="false"/>
                <w:sz w:val="17"/>
                <w:szCs w:val="17"/>
              </w:rPr>
              <w:t xml:space="preserve">R4</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Scriptable, non-interactive</w:t>
            </w:r>
          </w:p>
        </w:tc>
        <w:tc>
          <w:tcPr>
            <w:tcW w:type="dxa" w:w="6200"/>
            <w:tcMar>
              <w:top w:type="dxa" w:w="60"/>
              <w:left w:type="dxa" w:w="90"/>
              <w:bottom w:type="dxa" w:w="60"/>
              <w:right w:type="dxa" w:w="90"/>
            </w:tcMar>
          </w:tcPr>
          <w:p>
            <w:pPr>
              <w:spacing w:after="0" w:line="240" w:lineRule="auto"/>
            </w:pPr>
            <w:r>
              <w:rPr>
                <w:b w:val="false"/>
                <w:bCs w:val="false"/>
                <w:sz w:val="17"/>
                <w:szCs w:val="17"/>
              </w:rPr>
              <w:t xml:space="preserve">Reproducibility. Figure settings must live in a file, not in a sequence of clicks, and the whole set must be regenerable with one command.</w:t>
            </w:r>
          </w:p>
        </w:tc>
      </w:tr>
      <w:tr>
        <w:trPr>
          <w:cantSplit/>
        </w:trPr>
        <w:tc>
          <w:tcPr>
            <w:tcW w:type="dxa" w:w="520"/>
            <w:tcMar>
              <w:top w:type="dxa" w:w="60"/>
              <w:left w:type="dxa" w:w="90"/>
              <w:bottom w:type="dxa" w:w="60"/>
              <w:right w:type="dxa" w:w="90"/>
            </w:tcMar>
          </w:tcPr>
          <w:p>
            <w:pPr>
              <w:spacing w:after="0" w:line="240" w:lineRule="auto"/>
            </w:pPr>
            <w:r>
              <w:rPr>
                <w:b w:val="false"/>
                <w:bCs w:val="false"/>
                <w:sz w:val="17"/>
                <w:szCs w:val="17"/>
              </w:rPr>
              <w:t xml:space="preserve">R5</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Free, no licence server</w:t>
            </w:r>
          </w:p>
        </w:tc>
        <w:tc>
          <w:tcPr>
            <w:tcW w:type="dxa" w:w="6200"/>
            <w:tcMar>
              <w:top w:type="dxa" w:w="60"/>
              <w:left w:type="dxa" w:w="90"/>
              <w:bottom w:type="dxa" w:w="60"/>
              <w:right w:type="dxa" w:w="90"/>
            </w:tcMar>
          </w:tcPr>
          <w:p>
            <w:pPr>
              <w:spacing w:after="0" w:line="240" w:lineRule="auto"/>
            </w:pPr>
            <w:r>
              <w:rPr>
                <w:b w:val="false"/>
                <w:bCs w:val="false"/>
                <w:sz w:val="17"/>
                <w:szCs w:val="17"/>
              </w:rPr>
              <w:t xml:space="preserve">The workflow has to be executable by the next person without a purchase or a licence negotiation.</w:t>
            </w:r>
          </w:p>
        </w:tc>
      </w:tr>
    </w:tbl>
    <w:p>
      <w:pPr>
        <w:spacing w:after="220" w:line="240" w:lineRule="auto"/>
      </w:pPr>
      <w:r>
        <w:rPr>
          <w:i/>
          <w:iCs/>
          <w:color w:val="4A5568"/>
          <w:sz w:val="18"/>
          <w:szCs w:val="18"/>
        </w:rPr>
        <w:t xml:space="preserve">Table 1 — Requirements used to assess the candidates.</w:t>
      </w:r>
    </w:p>
    <w:p>
      <w:pPr>
        <w:spacing w:after="120" w:line="276" w:lineRule="auto"/>
      </w:pPr>
      <w:r>
        <w:rPr>
          <w:b/>
          <w:bCs/>
          <w:sz w:val="21"/>
          <w:szCs w:val="21"/>
        </w:rPr>
        <w:t xml:space="preserve">R4 does the actual filtering. </w:t>
      </w:r>
      <w:r>
        <w:rPr>
          <w:sz w:val="21"/>
          <w:szCs w:val="21"/>
        </w:rPr>
        <w:t xml:space="preserve">Every program in Table 2 can, with enough clicking, produce one correct picture. Only some can guarantee that the twenty-first picture was made with the same settings as the first — and that is the difference between a figure and a result.</w:t>
      </w:r>
    </w:p>
    <w:p>
      <w:pPr>
        <w:pStyle w:val="Heading2"/>
        <w:spacing w:after="120" w:before="260"/>
      </w:pPr>
      <w:r>
        <w:rPr>
          <w:b/>
          <w:bCs/>
          <w:color w:val="1F3864"/>
          <w:sz w:val="24"/>
          <w:szCs w:val="24"/>
        </w:rPr>
        <w:t xml:space="preserve">1.2  Candidates</w:t>
      </w:r>
    </w:p>
    <w:p>
      <w:pPr>
        <w:spacing w:after="120" w:line="276" w:lineRule="auto"/>
      </w:pPr>
      <w:r>
        <w:rPr>
          <w:sz w:val="21"/>
          <w:szCs w:val="21"/>
        </w:rPr>
        <w:t xml:space="preserve">Five general-purpose molecular viewers that read volumetric data were assessed. The comparison is a desk study compiled from vendor documentation and the primary literature; only PyMOL and VMD were installed and driven in this project.</w:t>
      </w:r>
    </w:p>
    <w:tbl>
      <w:tblPr>
        <w:tblW w:type="dxa" w:w="9020"/>
        <w:tblBorders>
          <w:top w:val="single" w:color="B0B7C3" w:sz="4"/>
          <w:left w:val="none"/>
          <w:bottom w:val="single" w:color="B0B7C3" w:sz="4"/>
          <w:right w:val="none"/>
          <w:insideH w:val="single" w:color="D9DEE7" w:sz="2"/>
          <w:insideV w:val="none"/>
        </w:tblBorders>
      </w:tblPr>
      <w:tblGrid>
        <w:gridCol w:w="1235"/>
        <w:gridCol w:w="1503"/>
        <w:gridCol w:w="644"/>
        <w:gridCol w:w="2523"/>
        <w:gridCol w:w="1933"/>
        <w:gridCol w:w="1181"/>
      </w:tblGrid>
      <w:tr>
        <w:trPr>
          <w:tblHeader/>
        </w:trPr>
        <w:tc>
          <w:tcPr>
            <w:tcW w:type="dxa" w:w="1235"/>
            <w:shd w:fill="F2F4F7" w:val="clear"/>
            <w:tcMar>
              <w:top w:type="dxa" w:w="60"/>
              <w:left w:type="dxa" w:w="90"/>
              <w:bottom w:type="dxa" w:w="60"/>
              <w:right w:type="dxa" w:w="90"/>
            </w:tcMar>
          </w:tcPr>
          <w:p>
            <w:pPr>
              <w:spacing w:after="0" w:line="240" w:lineRule="auto"/>
            </w:pPr>
            <w:r>
              <w:rPr>
                <w:b/>
                <w:bCs/>
                <w:sz w:val="17"/>
                <w:szCs w:val="17"/>
              </w:rPr>
              <w:t xml:space="preserve">Program</w:t>
            </w:r>
          </w:p>
        </w:tc>
        <w:tc>
          <w:tcPr>
            <w:tcW w:type="dxa" w:w="1503"/>
            <w:shd w:fill="F2F4F7" w:val="clear"/>
            <w:tcMar>
              <w:top w:type="dxa" w:w="60"/>
              <w:left w:type="dxa" w:w="90"/>
              <w:bottom w:type="dxa" w:w="60"/>
              <w:right w:type="dxa" w:w="90"/>
            </w:tcMar>
          </w:tcPr>
          <w:p>
            <w:pPr>
              <w:spacing w:after="0" w:line="240" w:lineRule="auto"/>
            </w:pPr>
            <w:r>
              <w:rPr>
                <w:b/>
                <w:bCs/>
                <w:sz w:val="17"/>
                <w:szCs w:val="17"/>
              </w:rPr>
              <w:t xml:space="preserve">Licence</w:t>
            </w:r>
          </w:p>
        </w:tc>
        <w:tc>
          <w:tcPr>
            <w:tcW w:type="dxa" w:w="644"/>
            <w:shd w:fill="F2F4F7" w:val="clear"/>
            <w:tcMar>
              <w:top w:type="dxa" w:w="60"/>
              <w:left w:type="dxa" w:w="90"/>
              <w:bottom w:type="dxa" w:w="60"/>
              <w:right w:type="dxa" w:w="90"/>
            </w:tcMar>
          </w:tcPr>
          <w:p>
            <w:pPr>
              <w:spacing w:after="0" w:line="240" w:lineRule="auto"/>
            </w:pPr>
            <w:r>
              <w:rPr>
                <w:b/>
                <w:bCs/>
                <w:sz w:val="17"/>
                <w:szCs w:val="17"/>
              </w:rPr>
              <w:t xml:space="preserve">Cube</w:t>
            </w:r>
          </w:p>
        </w:tc>
        <w:tc>
          <w:tcPr>
            <w:tcW w:type="dxa" w:w="2523"/>
            <w:shd w:fill="F2F4F7" w:val="clear"/>
            <w:tcMar>
              <w:top w:type="dxa" w:w="60"/>
              <w:left w:type="dxa" w:w="90"/>
              <w:bottom w:type="dxa" w:w="60"/>
              <w:right w:type="dxa" w:w="90"/>
            </w:tcMar>
          </w:tcPr>
          <w:p>
            <w:pPr>
              <w:spacing w:after="0" w:line="240" w:lineRule="auto"/>
            </w:pPr>
            <w:r>
              <w:rPr>
                <w:b/>
                <w:bCs/>
                <w:sz w:val="17"/>
                <w:szCs w:val="17"/>
              </w:rPr>
              <w:t xml:space="preserve">ESP on isosurface</w:t>
            </w:r>
          </w:p>
        </w:tc>
        <w:tc>
          <w:tcPr>
            <w:tcW w:type="dxa" w:w="1933"/>
            <w:shd w:fill="F2F4F7" w:val="clear"/>
            <w:tcMar>
              <w:top w:type="dxa" w:w="60"/>
              <w:left w:type="dxa" w:w="90"/>
              <w:bottom w:type="dxa" w:w="60"/>
              <w:right w:type="dxa" w:w="90"/>
            </w:tcMar>
          </w:tcPr>
          <w:p>
            <w:pPr>
              <w:spacing w:after="0" w:line="240" w:lineRule="auto"/>
            </w:pPr>
            <w:r>
              <w:rPr>
                <w:b/>
                <w:bCs/>
                <w:sz w:val="17"/>
                <w:szCs w:val="17"/>
              </w:rPr>
              <w:t xml:space="preserve">Scripting / headless</w:t>
            </w:r>
          </w:p>
        </w:tc>
        <w:tc>
          <w:tcPr>
            <w:tcW w:type="dxa" w:w="1181"/>
            <w:shd w:fill="F2F4F7" w:val="clear"/>
            <w:tcMar>
              <w:top w:type="dxa" w:w="60"/>
              <w:left w:type="dxa" w:w="90"/>
              <w:bottom w:type="dxa" w:w="60"/>
              <w:right w:type="dxa" w:w="90"/>
            </w:tcMar>
          </w:tcPr>
          <w:p>
            <w:pPr>
              <w:spacing w:after="0" w:line="240" w:lineRule="auto"/>
            </w:pPr>
            <w:r>
              <w:rPr>
                <w:b/>
                <w:bCs/>
                <w:sz w:val="17"/>
                <w:szCs w:val="17"/>
              </w:rPr>
              <w:t xml:space="preserve">Ray tracing</w:t>
            </w:r>
          </w:p>
        </w:tc>
      </w:tr>
      <w:tr>
        <w:trPr>
          <w:cantSplit/>
        </w:trPr>
        <w:tc>
          <w:tcPr>
            <w:tcW w:type="dxa" w:w="1235"/>
            <w:tcMar>
              <w:top w:type="dxa" w:w="60"/>
              <w:left w:type="dxa" w:w="90"/>
              <w:bottom w:type="dxa" w:w="60"/>
              <w:right w:type="dxa" w:w="90"/>
            </w:tcMar>
          </w:tcPr>
          <w:p>
            <w:pPr>
              <w:spacing w:after="0" w:line="240" w:lineRule="auto"/>
            </w:pPr>
            <w:r>
              <w:rPr>
                <w:b w:val="false"/>
                <w:bCs w:val="false"/>
                <w:sz w:val="17"/>
                <w:szCs w:val="17"/>
              </w:rPr>
              <w:t xml:space="preserve">PyMOL</w:t>
            </w:r>
          </w:p>
          <w:p>
            <w:pPr>
              <w:spacing w:after="0" w:line="240" w:lineRule="auto"/>
            </w:pPr>
            <w:r>
              <w:rPr>
                <w:b w:val="false"/>
                <w:bCs w:val="false"/>
                <w:sz w:val="17"/>
                <w:szCs w:val="17"/>
              </w:rPr>
              <w:t xml:space="preserve">(open-source build)</w:t>
            </w:r>
          </w:p>
        </w:tc>
        <w:tc>
          <w:tcPr>
            <w:tcW w:type="dxa" w:w="1503"/>
            <w:tcMar>
              <w:top w:type="dxa" w:w="60"/>
              <w:left w:type="dxa" w:w="90"/>
              <w:bottom w:type="dxa" w:w="60"/>
              <w:right w:type="dxa" w:w="90"/>
            </w:tcMar>
          </w:tcPr>
          <w:p>
            <w:pPr>
              <w:spacing w:after="0" w:line="240" w:lineRule="auto"/>
            </w:pPr>
            <w:r>
              <w:rPr>
                <w:b w:val="false"/>
                <w:bCs w:val="false"/>
                <w:sz w:val="17"/>
                <w:szCs w:val="17"/>
              </w:rPr>
              <w:t xml:space="preserve">BSD-like, free; the Schrödinger build is commercial</w:t>
            </w:r>
          </w:p>
        </w:tc>
        <w:tc>
          <w:tcPr>
            <w:tcW w:type="dxa" w:w="644"/>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523"/>
            <w:tcMar>
              <w:top w:type="dxa" w:w="60"/>
              <w:left w:type="dxa" w:w="90"/>
              <w:bottom w:type="dxa" w:w="60"/>
              <w:right w:type="dxa" w:w="90"/>
            </w:tcMar>
          </w:tcPr>
          <w:p>
            <w:pPr>
              <w:spacing w:after="0" w:line="240" w:lineRule="auto"/>
            </w:pPr>
            <w:r>
              <w:rPr>
                <w:b w:val="false"/>
                <w:bCs w:val="false"/>
                <w:sz w:val="17"/>
                <w:szCs w:val="17"/>
              </w:rPr>
              <w:t xml:space="preserve">yes — isosurface from one map, ramp_new over a second, attached with set surface_color</w:t>
            </w:r>
          </w:p>
        </w:tc>
        <w:tc>
          <w:tcPr>
            <w:tcW w:type="dxa" w:w="1933"/>
            <w:tcMar>
              <w:top w:type="dxa" w:w="60"/>
              <w:left w:type="dxa" w:w="90"/>
              <w:bottom w:type="dxa" w:w="60"/>
              <w:right w:type="dxa" w:w="90"/>
            </w:tcMar>
          </w:tcPr>
          <w:p>
            <w:pPr>
              <w:spacing w:after="0" w:line="240" w:lineRule="auto"/>
            </w:pPr>
            <w:r>
              <w:rPr>
                <w:b w:val="false"/>
                <w:bCs w:val="false"/>
                <w:sz w:val="17"/>
                <w:szCs w:val="17"/>
              </w:rPr>
              <w:t xml:space="preserve">Python API and .pml; pymol -cq runs with no display</w:t>
            </w:r>
          </w:p>
        </w:tc>
        <w:tc>
          <w:tcPr>
            <w:tcW w:type="dxa" w:w="1181"/>
            <w:tcMar>
              <w:top w:type="dxa" w:w="60"/>
              <w:left w:type="dxa" w:w="90"/>
              <w:bottom w:type="dxa" w:w="60"/>
              <w:right w:type="dxa" w:w="90"/>
            </w:tcMar>
          </w:tcPr>
          <w:p>
            <w:pPr>
              <w:spacing w:after="0" w:line="240" w:lineRule="auto"/>
            </w:pPr>
            <w:r>
              <w:rPr>
                <w:b w:val="false"/>
                <w:bCs w:val="false"/>
                <w:sz w:val="17"/>
                <w:szCs w:val="17"/>
              </w:rPr>
              <w:t xml:space="preserve">built in (ray)</w:t>
            </w:r>
          </w:p>
        </w:tc>
      </w:tr>
      <w:tr>
        <w:trPr>
          <w:cantSplit/>
        </w:trPr>
        <w:tc>
          <w:tcPr>
            <w:tcW w:type="dxa" w:w="1235"/>
            <w:tcMar>
              <w:top w:type="dxa" w:w="60"/>
              <w:left w:type="dxa" w:w="90"/>
              <w:bottom w:type="dxa" w:w="60"/>
              <w:right w:type="dxa" w:w="90"/>
            </w:tcMar>
          </w:tcPr>
          <w:p>
            <w:pPr>
              <w:spacing w:after="0" w:line="240" w:lineRule="auto"/>
            </w:pPr>
            <w:r>
              <w:rPr>
                <w:b w:val="false"/>
                <w:bCs w:val="false"/>
                <w:sz w:val="17"/>
                <w:szCs w:val="17"/>
              </w:rPr>
              <w:t xml:space="preserve">VMD 1.9.4 / 2.0</w:t>
            </w:r>
          </w:p>
        </w:tc>
        <w:tc>
          <w:tcPr>
            <w:tcW w:type="dxa" w:w="1503"/>
            <w:tcMar>
              <w:top w:type="dxa" w:w="60"/>
              <w:left w:type="dxa" w:w="90"/>
              <w:bottom w:type="dxa" w:w="60"/>
              <w:right w:type="dxa" w:w="90"/>
            </w:tcMar>
          </w:tcPr>
          <w:p>
            <w:pPr>
              <w:spacing w:after="0" w:line="240" w:lineRule="auto"/>
            </w:pPr>
            <w:r>
              <w:rPr>
                <w:b w:val="false"/>
                <w:bCs w:val="false"/>
                <w:sz w:val="17"/>
                <w:szCs w:val="17"/>
              </w:rPr>
              <w:t xml:space="preserve">free of charge but proprietary; academic and internal use only; registration required</w:t>
            </w:r>
          </w:p>
        </w:tc>
        <w:tc>
          <w:tcPr>
            <w:tcW w:type="dxa" w:w="644"/>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523"/>
            <w:tcMar>
              <w:top w:type="dxa" w:w="60"/>
              <w:left w:type="dxa" w:w="90"/>
              <w:bottom w:type="dxa" w:w="60"/>
              <w:right w:type="dxa" w:w="90"/>
            </w:tcMar>
          </w:tcPr>
          <w:p>
            <w:pPr>
              <w:spacing w:after="0" w:line="240" w:lineRule="auto"/>
            </w:pPr>
            <w:r>
              <w:rPr>
                <w:b w:val="false"/>
                <w:bCs w:val="false"/>
                <w:sz w:val="17"/>
                <w:szCs w:val="17"/>
              </w:rPr>
              <w:t xml:space="preserve">yes — both cubes into one molecule with mol addfile, Isosurface representation coloured by Volume</w:t>
            </w:r>
          </w:p>
        </w:tc>
        <w:tc>
          <w:tcPr>
            <w:tcW w:type="dxa" w:w="1933"/>
            <w:tcMar>
              <w:top w:type="dxa" w:w="60"/>
              <w:left w:type="dxa" w:w="90"/>
              <w:bottom w:type="dxa" w:w="60"/>
              <w:right w:type="dxa" w:w="90"/>
            </w:tcMar>
          </w:tcPr>
          <w:p>
            <w:pPr>
              <w:spacing w:after="0" w:line="240" w:lineRule="auto"/>
            </w:pPr>
            <w:r>
              <w:rPr>
                <w:b w:val="false"/>
                <w:bCs w:val="false"/>
                <w:sz w:val="17"/>
                <w:szCs w:val="17"/>
              </w:rPr>
              <w:t xml:space="preserve">Tcl; vmd -dispdev text -e script.tcl</w:t>
            </w:r>
          </w:p>
        </w:tc>
        <w:tc>
          <w:tcPr>
            <w:tcW w:type="dxa" w:w="1181"/>
            <w:tcMar>
              <w:top w:type="dxa" w:w="60"/>
              <w:left w:type="dxa" w:w="90"/>
              <w:bottom w:type="dxa" w:w="60"/>
              <w:right w:type="dxa" w:w="90"/>
            </w:tcMar>
          </w:tcPr>
          <w:p>
            <w:pPr>
              <w:spacing w:after="0" w:line="240" w:lineRule="auto"/>
            </w:pPr>
            <w:r>
              <w:rPr>
                <w:b w:val="false"/>
                <w:bCs w:val="false"/>
                <w:sz w:val="17"/>
                <w:szCs w:val="17"/>
              </w:rPr>
              <w:t xml:space="preserve">Tachyon, TachyonInternal, TachyonL-OptiX</w:t>
            </w:r>
          </w:p>
        </w:tc>
      </w:tr>
      <w:tr>
        <w:trPr>
          <w:cantSplit/>
        </w:trPr>
        <w:tc>
          <w:tcPr>
            <w:tcW w:type="dxa" w:w="1235"/>
            <w:tcMar>
              <w:top w:type="dxa" w:w="60"/>
              <w:left w:type="dxa" w:w="90"/>
              <w:bottom w:type="dxa" w:w="60"/>
              <w:right w:type="dxa" w:w="90"/>
            </w:tcMar>
          </w:tcPr>
          <w:p>
            <w:pPr>
              <w:spacing w:after="0" w:line="240" w:lineRule="auto"/>
            </w:pPr>
            <w:r>
              <w:rPr>
                <w:b w:val="false"/>
                <w:bCs w:val="false"/>
                <w:sz w:val="17"/>
                <w:szCs w:val="17"/>
              </w:rPr>
              <w:t xml:space="preserve">UCSF ChimeraX 1.11</w:t>
            </w:r>
          </w:p>
        </w:tc>
        <w:tc>
          <w:tcPr>
            <w:tcW w:type="dxa" w:w="1503"/>
            <w:tcMar>
              <w:top w:type="dxa" w:w="60"/>
              <w:left w:type="dxa" w:w="90"/>
              <w:bottom w:type="dxa" w:w="60"/>
              <w:right w:type="dxa" w:w="90"/>
            </w:tcMar>
          </w:tcPr>
          <w:p>
            <w:pPr>
              <w:spacing w:after="0" w:line="240" w:lineRule="auto"/>
            </w:pPr>
            <w:r>
              <w:rPr>
                <w:b w:val="false"/>
                <w:bCs w:val="false"/>
                <w:sz w:val="17"/>
                <w:szCs w:val="17"/>
              </w:rPr>
              <w:t xml:space="preserve">free for academic use; commercial licence separate; source is not OSI open</w:t>
            </w:r>
          </w:p>
        </w:tc>
        <w:tc>
          <w:tcPr>
            <w:tcW w:type="dxa" w:w="644"/>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523"/>
            <w:tcMar>
              <w:top w:type="dxa" w:w="60"/>
              <w:left w:type="dxa" w:w="90"/>
              <w:bottom w:type="dxa" w:w="60"/>
              <w:right w:type="dxa" w:w="90"/>
            </w:tcMar>
          </w:tcPr>
          <w:p>
            <w:pPr>
              <w:spacing w:after="0" w:line="240" w:lineRule="auto"/>
            </w:pPr>
            <w:r>
              <w:rPr>
                <w:b w:val="false"/>
                <w:bCs w:val="false"/>
                <w:sz w:val="17"/>
                <w:szCs w:val="17"/>
              </w:rPr>
              <w:t xml:space="preserve">yes — color sample on any surface from a second map</w:t>
            </w:r>
          </w:p>
        </w:tc>
        <w:tc>
          <w:tcPr>
            <w:tcW w:type="dxa" w:w="1933"/>
            <w:tcMar>
              <w:top w:type="dxa" w:w="60"/>
              <w:left w:type="dxa" w:w="90"/>
              <w:bottom w:type="dxa" w:w="60"/>
              <w:right w:type="dxa" w:w="90"/>
            </w:tcMar>
          </w:tcPr>
          <w:p>
            <w:pPr>
              <w:spacing w:after="0" w:line="240" w:lineRule="auto"/>
            </w:pPr>
            <w:r>
              <w:rPr>
                <w:b w:val="false"/>
                <w:bCs w:val="false"/>
                <w:sz w:val="17"/>
                <w:szCs w:val="17"/>
              </w:rPr>
              <w:t xml:space="preserve">command files (.cxc) and Python; --nogui, --offscreen (Linux)</w:t>
            </w:r>
          </w:p>
        </w:tc>
        <w:tc>
          <w:tcPr>
            <w:tcW w:type="dxa" w:w="1181"/>
            <w:tcMar>
              <w:top w:type="dxa" w:w="60"/>
              <w:left w:type="dxa" w:w="90"/>
              <w:bottom w:type="dxa" w:w="60"/>
              <w:right w:type="dxa" w:w="90"/>
            </w:tcMar>
          </w:tcPr>
          <w:p>
            <w:pPr>
              <w:spacing w:after="0" w:line="240" w:lineRule="auto"/>
            </w:pPr>
            <w:r>
              <w:rPr>
                <w:b w:val="false"/>
                <w:bCs w:val="false"/>
                <w:sz w:val="17"/>
                <w:szCs w:val="17"/>
              </w:rPr>
              <w:t xml:space="preserve">none documented; lighting presets with multi-shadow</w:t>
            </w:r>
          </w:p>
        </w:tc>
      </w:tr>
      <w:tr>
        <w:trPr>
          <w:cantSplit/>
        </w:trPr>
        <w:tc>
          <w:tcPr>
            <w:tcW w:type="dxa" w:w="1235"/>
            <w:tcMar>
              <w:top w:type="dxa" w:w="60"/>
              <w:left w:type="dxa" w:w="90"/>
              <w:bottom w:type="dxa" w:w="60"/>
              <w:right w:type="dxa" w:w="90"/>
            </w:tcMar>
          </w:tcPr>
          <w:p>
            <w:pPr>
              <w:spacing w:after="0" w:line="240" w:lineRule="auto"/>
            </w:pPr>
            <w:r>
              <w:rPr>
                <w:b w:val="false"/>
                <w:bCs w:val="false"/>
                <w:sz w:val="17"/>
                <w:szCs w:val="17"/>
              </w:rPr>
              <w:t xml:space="preserve">Avogadro 2 (2.0.0)</w:t>
            </w:r>
          </w:p>
        </w:tc>
        <w:tc>
          <w:tcPr>
            <w:tcW w:type="dxa" w:w="1503"/>
            <w:tcMar>
              <w:top w:type="dxa" w:w="60"/>
              <w:left w:type="dxa" w:w="90"/>
              <w:bottom w:type="dxa" w:w="60"/>
              <w:right w:type="dxa" w:w="90"/>
            </w:tcMar>
          </w:tcPr>
          <w:p>
            <w:pPr>
              <w:spacing w:after="0" w:line="240" w:lineRule="auto"/>
            </w:pPr>
            <w:r>
              <w:rPr>
                <w:b w:val="false"/>
                <w:bCs w:val="false"/>
                <w:sz w:val="17"/>
                <w:szCs w:val="17"/>
              </w:rPr>
              <w:t xml:space="preserve">BSD 3-clause, free</w:t>
            </w:r>
          </w:p>
        </w:tc>
        <w:tc>
          <w:tcPr>
            <w:tcW w:type="dxa" w:w="644"/>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523"/>
            <w:tcMar>
              <w:top w:type="dxa" w:w="60"/>
              <w:left w:type="dxa" w:w="90"/>
              <w:bottom w:type="dxa" w:w="60"/>
              <w:right w:type="dxa" w:w="90"/>
            </w:tcMar>
          </w:tcPr>
          <w:p>
            <w:pPr>
              <w:spacing w:after="0" w:line="240" w:lineRule="auto"/>
            </w:pPr>
            <w:r>
              <w:rPr>
                <w:b w:val="false"/>
                <w:bCs w:val="false"/>
                <w:sz w:val="17"/>
                <w:szCs w:val="17"/>
              </w:rPr>
              <w:t xml:space="preserve">partly — the documented ESP colouring comes from an internal charge model, not from a second cube</w:t>
            </w:r>
          </w:p>
        </w:tc>
        <w:tc>
          <w:tcPr>
            <w:tcW w:type="dxa" w:w="1933"/>
            <w:tcMar>
              <w:top w:type="dxa" w:w="60"/>
              <w:left w:type="dxa" w:w="90"/>
              <w:bottom w:type="dxa" w:w="60"/>
              <w:right w:type="dxa" w:w="90"/>
            </w:tcMar>
          </w:tcPr>
          <w:p>
            <w:pPr>
              <w:spacing w:after="0" w:line="240" w:lineRule="auto"/>
            </w:pPr>
            <w:r>
              <w:rPr>
                <w:b w:val="false"/>
                <w:bCs w:val="false"/>
                <w:sz w:val="17"/>
                <w:szCs w:val="17"/>
              </w:rPr>
              <w:t xml:space="preserve">Python command scripts, invoked from the GUI menu; no documented headless mode</w:t>
            </w:r>
          </w:p>
        </w:tc>
        <w:tc>
          <w:tcPr>
            <w:tcW w:type="dxa" w:w="1181"/>
            <w:tcMar>
              <w:top w:type="dxa" w:w="60"/>
              <w:left w:type="dxa" w:w="90"/>
              <w:bottom w:type="dxa" w:w="60"/>
              <w:right w:type="dxa" w:w="90"/>
            </w:tcMar>
          </w:tcPr>
          <w:p>
            <w:pPr>
              <w:spacing w:after="0" w:line="240" w:lineRule="auto"/>
            </w:pPr>
            <w:r>
              <w:rPr>
                <w:b w:val="false"/>
                <w:bCs w:val="false"/>
                <w:sz w:val="17"/>
                <w:szCs w:val="17"/>
              </w:rPr>
              <w:t xml:space="preserve">via POV-Ray export only</w:t>
            </w:r>
          </w:p>
        </w:tc>
      </w:tr>
      <w:tr>
        <w:trPr>
          <w:cantSplit/>
        </w:trPr>
        <w:tc>
          <w:tcPr>
            <w:tcW w:type="dxa" w:w="1235"/>
            <w:tcMar>
              <w:top w:type="dxa" w:w="60"/>
              <w:left w:type="dxa" w:w="90"/>
              <w:bottom w:type="dxa" w:w="60"/>
              <w:right w:type="dxa" w:w="90"/>
            </w:tcMar>
          </w:tcPr>
          <w:p>
            <w:pPr>
              <w:spacing w:after="0" w:line="240" w:lineRule="auto"/>
            </w:pPr>
            <w:r>
              <w:rPr>
                <w:b w:val="false"/>
                <w:bCs w:val="false"/>
                <w:sz w:val="17"/>
                <w:szCs w:val="17"/>
              </w:rPr>
              <w:t xml:space="preserve">GaussView 6.1.1</w:t>
            </w:r>
          </w:p>
        </w:tc>
        <w:tc>
          <w:tcPr>
            <w:tcW w:type="dxa" w:w="1503"/>
            <w:tcMar>
              <w:top w:type="dxa" w:w="60"/>
              <w:left w:type="dxa" w:w="90"/>
              <w:bottom w:type="dxa" w:w="60"/>
              <w:right w:type="dxa" w:w="90"/>
            </w:tcMar>
          </w:tcPr>
          <w:p>
            <w:pPr>
              <w:spacing w:after="0" w:line="240" w:lineRule="auto"/>
            </w:pPr>
            <w:r>
              <w:rPr>
                <w:b w:val="false"/>
                <w:bCs w:val="false"/>
                <w:sz w:val="17"/>
                <w:szCs w:val="17"/>
              </w:rPr>
              <w:t xml:space="preserve">commercial; academic single computer USD 750, site USD 2500–3500</w:t>
            </w:r>
          </w:p>
        </w:tc>
        <w:tc>
          <w:tcPr>
            <w:tcW w:type="dxa" w:w="644"/>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523"/>
            <w:tcMar>
              <w:top w:type="dxa" w:w="60"/>
              <w:left w:type="dxa" w:w="90"/>
              <w:bottom w:type="dxa" w:w="60"/>
              <w:right w:type="dxa" w:w="90"/>
            </w:tcMar>
          </w:tcPr>
          <w:p>
            <w:pPr>
              <w:spacing w:after="0" w:line="240" w:lineRule="auto"/>
            </w:pPr>
            <w:r>
              <w:rPr>
                <w:b w:val="false"/>
                <w:bCs w:val="false"/>
                <w:sz w:val="17"/>
                <w:szCs w:val="17"/>
              </w:rPr>
              <w:t xml:space="preserve">yes — New Mapped Surface, density surface coloured by an ESP cube</w:t>
            </w:r>
          </w:p>
        </w:tc>
        <w:tc>
          <w:tcPr>
            <w:tcW w:type="dxa" w:w="1933"/>
            <w:tcMar>
              <w:top w:type="dxa" w:w="60"/>
              <w:left w:type="dxa" w:w="90"/>
              <w:bottom w:type="dxa" w:w="60"/>
              <w:right w:type="dxa" w:w="90"/>
            </w:tcMar>
          </w:tcPr>
          <w:p>
            <w:pPr>
              <w:spacing w:after="0" w:line="240" w:lineRule="auto"/>
            </w:pPr>
            <w:r>
              <w:rPr>
                <w:b w:val="false"/>
                <w:bCs w:val="false"/>
                <w:sz w:val="17"/>
                <w:szCs w:val="17"/>
              </w:rPr>
              <w:t xml:space="preserve">none documented for the visualization side</w:t>
            </w:r>
          </w:p>
        </w:tc>
        <w:tc>
          <w:tcPr>
            <w:tcW w:type="dxa" w:w="1181"/>
            <w:tcMar>
              <w:top w:type="dxa" w:w="60"/>
              <w:left w:type="dxa" w:w="90"/>
              <w:bottom w:type="dxa" w:w="60"/>
              <w:right w:type="dxa" w:w="90"/>
            </w:tcMar>
          </w:tcPr>
          <w:p>
            <w:pPr>
              <w:spacing w:after="0" w:line="240" w:lineRule="auto"/>
            </w:pPr>
            <w:r>
              <w:rPr>
                <w:b w:val="false"/>
                <w:bCs w:val="false"/>
                <w:sz w:val="17"/>
                <w:szCs w:val="17"/>
              </w:rPr>
              <w:t xml:space="preserve">none documented</w:t>
            </w:r>
          </w:p>
        </w:tc>
      </w:tr>
    </w:tbl>
    <w:p>
      <w:pPr>
        <w:spacing w:after="220" w:line="240" w:lineRule="auto"/>
      </w:pPr>
      <w:r>
        <w:rPr>
          <w:i/>
          <w:iCs/>
          <w:color w:val="4A5568"/>
          <w:sz w:val="18"/>
          <w:szCs w:val="18"/>
        </w:rPr>
        <w:t xml:space="preserve">Table 2 — Capability comparison. Compiled from the documentation cited in §11; not from hands-on testing except for PyMOL and VMD. Versions and licence terms checked August 2026.</w:t>
      </w:r>
    </w:p>
    <w:p>
      <w:pPr>
        <w:pStyle w:val="Heading3"/>
        <w:spacing w:after="100" w:before="200"/>
      </w:pPr>
      <w:r>
        <w:rPr>
          <w:b/>
          <w:bCs/>
          <w:sz w:val="21"/>
          <w:szCs w:val="21"/>
        </w:rPr>
        <w:t xml:space="preserve">Notes on the individual programs</w:t>
      </w:r>
    </w:p>
    <w:p>
      <w:pPr>
        <w:spacing w:after="120" w:line="276" w:lineRule="auto"/>
      </w:pPr>
      <w:r>
        <w:rPr>
          <w:b/>
          <w:bCs/>
          <w:sz w:val="21"/>
          <w:szCs w:val="21"/>
        </w:rPr>
        <w:t xml:space="preserve">PyMOL. </w:t>
      </w:r>
      <w:r>
        <w:rPr>
          <w:sz w:val="21"/>
          <w:szCs w:val="21"/>
        </w:rPr>
        <w:t xml:space="preserve">The colour ramp is an object in its own right, which is what makes R3 easy: the same explicit range can be attached to every molecule of a batch and written into the generated scene file, so the figure and the interactive scene cannot drift apart. </w:t>
      </w:r>
      <w:r>
        <w:rPr>
          <w:rFonts w:ascii="Consolas" w:cs="Consolas" w:eastAsia="Consolas" w:hAnsi="Consolas"/>
          <w:sz w:val="21"/>
          <w:szCs w:val="21"/>
        </w:rPr>
        <w:t xml:space="preserve">pymol -cq</w:t>
      </w:r>
      <w:r>
        <w:rPr>
          <w:sz w:val="21"/>
          <w:szCs w:val="21"/>
        </w:rPr>
        <w:t xml:space="preserve"> is a first-class headless mode.</w:t>
      </w:r>
    </w:p>
    <w:p>
      <w:pPr>
        <w:spacing w:after="120" w:line="276" w:lineRule="auto"/>
      </w:pPr>
      <w:r>
        <w:rPr>
          <w:b/>
          <w:bCs/>
          <w:sz w:val="21"/>
          <w:szCs w:val="21"/>
        </w:rPr>
        <w:t xml:space="preserve">VMD. </w:t>
      </w:r>
      <w:r>
        <w:rPr>
          <w:sz w:val="21"/>
          <w:szCs w:val="21"/>
        </w:rPr>
        <w:t xml:space="preserve">Technically the closest competitor and the one named in the project brief. It has no ramp object; instead both grids are loaded into the same molecule ID and the isosurface of the first is coloured by the values of the second. </w:t>
      </w:r>
      <w:r>
        <w:rPr>
          <w:sz w:val="21"/>
          <w:szCs w:val="21"/>
        </w:rPr>
        <w:t xml:space="preserve">Two practical caveats emerged only in use, and neither is visible in the documentation: its ray tracer aborts unpredictably on stacked transparency (§8.4), and </w:t>
      </w:r>
      <w:r>
        <w:rPr>
          <w:rFonts w:ascii="Consolas" w:cs="Consolas" w:eastAsia="Consolas" w:hAnsi="Consolas"/>
          <w:sz w:val="21"/>
          <w:szCs w:val="21"/>
        </w:rPr>
        <w:t xml:space="preserve">TachyonInternal</w:t>
      </w:r>
      <w:r>
        <w:rPr>
          <w:sz w:val="21"/>
          <w:szCs w:val="21"/>
        </w:rPr>
        <w:t xml:space="preserve"> renders at window size, so image dimensions are capped by the screen.</w:t>
      </w:r>
    </w:p>
    <w:p>
      <w:pPr>
        <w:spacing w:after="120" w:line="276" w:lineRule="auto"/>
      </w:pPr>
      <w:r>
        <w:rPr>
          <w:b/>
          <w:bCs/>
          <w:sz w:val="21"/>
          <w:szCs w:val="21"/>
        </w:rPr>
        <w:t xml:space="preserve">ChimeraX. </w:t>
      </w:r>
      <w:r>
        <w:rPr>
          <w:sz w:val="21"/>
          <w:szCs w:val="21"/>
        </w:rPr>
        <w:t xml:space="preserve">Meets all five requirements on paper and would have been a defensible third choice. One detail matters for this application: </w:t>
      </w:r>
      <w:r>
        <w:rPr>
          <w:rFonts w:ascii="Consolas" w:cs="Consolas" w:eastAsia="Consolas" w:hAnsi="Consolas"/>
          <w:sz w:val="21"/>
          <w:szCs w:val="21"/>
        </w:rPr>
        <w:t xml:space="preserve">color sample</w:t>
      </w:r>
      <w:r>
        <w:rPr>
          <w:sz w:val="21"/>
          <w:szCs w:val="21"/>
        </w:rPr>
        <w:t xml:space="preserve"> has an </w:t>
      </w:r>
      <w:r>
        <w:rPr>
          <w:rFonts w:ascii="Consolas" w:cs="Consolas" w:eastAsia="Consolas" w:hAnsi="Consolas"/>
          <w:sz w:val="21"/>
          <w:szCs w:val="21"/>
        </w:rPr>
        <w:t xml:space="preserve">offset</w:t>
      </w:r>
      <w:r>
        <w:rPr>
          <w:sz w:val="21"/>
          <w:szCs w:val="21"/>
        </w:rPr>
        <w:t xml:space="preserve"> parameter, and the value typical for protein surfaces (1.4 Å) is wrong here — the Politzer/Murray convention samples the potential on the isosurface itself, i.e. at offset 0. </w:t>
      </w:r>
      <w:r>
        <w:rPr>
          <w:sz w:val="21"/>
          <w:szCs w:val="21"/>
        </w:rPr>
        <w:t xml:space="preserve">ChimeraX also reduces map resolution by default above 16 million voxels; a 251³ grid is 15.8 million and therefore just below that threshold, but a script should set </w:t>
      </w:r>
      <w:r>
        <w:rPr>
          <w:rFonts w:ascii="Consolas" w:cs="Consolas" w:eastAsia="Consolas" w:hAnsi="Consolas"/>
          <w:sz w:val="21"/>
          <w:szCs w:val="21"/>
        </w:rPr>
        <w:t xml:space="preserve">step 1</w:t>
      </w:r>
      <w:r>
        <w:rPr>
          <w:sz w:val="21"/>
          <w:szCs w:val="21"/>
        </w:rPr>
        <w:t xml:space="preserve"> explicitly rather than rely on it.</w:t>
      </w:r>
    </w:p>
    <w:p>
      <w:pPr>
        <w:spacing w:after="120" w:line="276" w:lineRule="auto"/>
      </w:pPr>
      <w:r>
        <w:rPr>
          <w:b/>
          <w:bCs/>
          <w:sz w:val="21"/>
          <w:szCs w:val="21"/>
        </w:rPr>
        <w:t xml:space="preserve">Avogadro 2. </w:t>
      </w:r>
      <w:r>
        <w:rPr>
          <w:sz w:val="21"/>
          <w:szCs w:val="21"/>
        </w:rPr>
        <w:t xml:space="preserve">Free, open source and pleasant for building structures, but its ESP display is oriented towards computing a potential from a charge model (EEM, AM1-BCC) and painting it on a van der Waals surface. </w:t>
      </w:r>
      <w:r>
        <w:rPr>
          <w:sz w:val="21"/>
          <w:szCs w:val="21"/>
        </w:rPr>
        <w:t xml:space="preserve">Colouring a density isosurface by a separately loaded ESP cube is not documented, and the recommended isovalue band (0.01–0.10, default 0.03) sits an order of magnitude above the 0.001 a.u. convention used here. It fails R2 in substance and R4 outright.</w:t>
      </w:r>
    </w:p>
    <w:p>
      <w:pPr>
        <w:spacing w:after="120" w:line="276" w:lineRule="auto"/>
      </w:pPr>
      <w:r>
        <w:rPr>
          <w:b/>
          <w:bCs/>
          <w:sz w:val="21"/>
          <w:szCs w:val="21"/>
        </w:rPr>
        <w:t xml:space="preserve">GaussView 6. </w:t>
      </w:r>
      <w:r>
        <w:rPr>
          <w:sz w:val="21"/>
          <w:szCs w:val="21"/>
        </w:rPr>
        <w:t xml:space="preserve">Reads cube files and produces perfectly good ESP maps — </w:t>
      </w:r>
      <w:r>
        <w:rPr>
          <w:rFonts w:ascii="Consolas" w:cs="Consolas" w:eastAsia="Consolas" w:hAnsi="Consolas"/>
          <w:sz w:val="21"/>
          <w:szCs w:val="21"/>
        </w:rPr>
        <w:t xml:space="preserve">New Mapped Surface</w:t>
      </w:r>
      <w:r>
        <w:rPr>
          <w:sz w:val="21"/>
          <w:szCs w:val="21"/>
        </w:rPr>
        <w:t xml:space="preserve"> is exactly R2. It is a commercial front end to Gaussian with no scripting interface for the visualization side, so it fails R4 and R5 together. </w:t>
      </w:r>
      <w:r>
        <w:rPr>
          <w:sz w:val="21"/>
          <w:szCs w:val="21"/>
        </w:rPr>
        <w:t xml:space="preserve">Its most recent documented release is 6.1.1 from February 2020.</w:t>
      </w:r>
    </w:p>
    <w:p>
      <w:pPr>
        <w:pStyle w:val="Heading2"/>
        <w:spacing w:after="120" w:before="260"/>
      </w:pPr>
      <w:r>
        <w:rPr>
          <w:b/>
          <w:bCs/>
          <w:color w:val="1F3864"/>
          <w:sz w:val="24"/>
          <w:szCs w:val="24"/>
        </w:rPr>
        <w:t xml:space="preserve">1.3  Assessment</w:t>
      </w:r>
    </w:p>
    <w:tbl>
      <w:tblPr>
        <w:tblW w:type="dxa" w:w="9020"/>
        <w:tblBorders>
          <w:top w:val="single" w:color="B0B7C3" w:sz="4"/>
          <w:left w:val="none"/>
          <w:bottom w:val="single" w:color="B0B7C3" w:sz="4"/>
          <w:right w:val="none"/>
          <w:insideH w:val="single" w:color="D9DEE7" w:sz="2"/>
          <w:insideV w:val="none"/>
        </w:tblBorders>
      </w:tblPr>
      <w:tblGrid>
        <w:gridCol w:w="2100"/>
        <w:gridCol w:w="900"/>
        <w:gridCol w:w="1100"/>
        <w:gridCol w:w="900"/>
        <w:gridCol w:w="1000"/>
        <w:gridCol w:w="900"/>
        <w:gridCol w:w="2120"/>
      </w:tblGrid>
      <w:tr>
        <w:trPr>
          <w:tblHeader/>
        </w:trPr>
        <w:tc>
          <w:tcPr>
            <w:tcW w:type="dxa" w:w="2100"/>
            <w:shd w:fill="F2F4F7" w:val="clear"/>
            <w:tcMar>
              <w:top w:type="dxa" w:w="60"/>
              <w:left w:type="dxa" w:w="90"/>
              <w:bottom w:type="dxa" w:w="60"/>
              <w:right w:type="dxa" w:w="90"/>
            </w:tcMar>
          </w:tcPr>
          <w:p>
            <w:pPr>
              <w:spacing w:after="0" w:line="240" w:lineRule="auto"/>
            </w:pPr>
            <w:r>
              <w:rPr>
                <w:b/>
                <w:bCs/>
                <w:sz w:val="17"/>
                <w:szCs w:val="17"/>
              </w:rPr>
              <w:t xml:space="preserve">Program</w:t>
            </w:r>
          </w:p>
        </w:tc>
        <w:tc>
          <w:tcPr>
            <w:tcW w:type="dxa" w:w="900"/>
            <w:shd w:fill="F2F4F7" w:val="clear"/>
            <w:tcMar>
              <w:top w:type="dxa" w:w="60"/>
              <w:left w:type="dxa" w:w="90"/>
              <w:bottom w:type="dxa" w:w="60"/>
              <w:right w:type="dxa" w:w="90"/>
            </w:tcMar>
          </w:tcPr>
          <w:p>
            <w:pPr>
              <w:spacing w:after="0" w:line="240" w:lineRule="auto"/>
            </w:pPr>
            <w:r>
              <w:rPr>
                <w:b/>
                <w:bCs/>
                <w:sz w:val="17"/>
                <w:szCs w:val="17"/>
              </w:rPr>
              <w:t xml:space="preserve">R1 cube</w:t>
            </w:r>
          </w:p>
        </w:tc>
        <w:tc>
          <w:tcPr>
            <w:tcW w:type="dxa" w:w="1100"/>
            <w:shd w:fill="F2F4F7" w:val="clear"/>
            <w:tcMar>
              <w:top w:type="dxa" w:w="60"/>
              <w:left w:type="dxa" w:w="90"/>
              <w:bottom w:type="dxa" w:w="60"/>
              <w:right w:type="dxa" w:w="90"/>
            </w:tcMar>
          </w:tcPr>
          <w:p>
            <w:pPr>
              <w:spacing w:after="0" w:line="240" w:lineRule="auto"/>
            </w:pPr>
            <w:r>
              <w:rPr>
                <w:b/>
                <w:bCs/>
                <w:sz w:val="17"/>
                <w:szCs w:val="17"/>
              </w:rPr>
              <w:t xml:space="preserve">R2 mapping</w:t>
            </w:r>
          </w:p>
        </w:tc>
        <w:tc>
          <w:tcPr>
            <w:tcW w:type="dxa" w:w="900"/>
            <w:shd w:fill="F2F4F7" w:val="clear"/>
            <w:tcMar>
              <w:top w:type="dxa" w:w="60"/>
              <w:left w:type="dxa" w:w="90"/>
              <w:bottom w:type="dxa" w:w="60"/>
              <w:right w:type="dxa" w:w="90"/>
            </w:tcMar>
          </w:tcPr>
          <w:p>
            <w:pPr>
              <w:spacing w:after="0" w:line="240" w:lineRule="auto"/>
            </w:pPr>
            <w:r>
              <w:rPr>
                <w:b/>
                <w:bCs/>
                <w:sz w:val="17"/>
                <w:szCs w:val="17"/>
              </w:rPr>
              <w:t xml:space="preserve">R3 scale</w:t>
            </w:r>
          </w:p>
        </w:tc>
        <w:tc>
          <w:tcPr>
            <w:tcW w:type="dxa" w:w="1000"/>
            <w:shd w:fill="F2F4F7" w:val="clear"/>
            <w:tcMar>
              <w:top w:type="dxa" w:w="60"/>
              <w:left w:type="dxa" w:w="90"/>
              <w:bottom w:type="dxa" w:w="60"/>
              <w:right w:type="dxa" w:w="90"/>
            </w:tcMar>
          </w:tcPr>
          <w:p>
            <w:pPr>
              <w:spacing w:after="0" w:line="240" w:lineRule="auto"/>
            </w:pPr>
            <w:r>
              <w:rPr>
                <w:b/>
                <w:bCs/>
                <w:sz w:val="17"/>
                <w:szCs w:val="17"/>
              </w:rPr>
              <w:t xml:space="preserve">R4 script</w:t>
            </w:r>
          </w:p>
        </w:tc>
        <w:tc>
          <w:tcPr>
            <w:tcW w:type="dxa" w:w="900"/>
            <w:shd w:fill="F2F4F7" w:val="clear"/>
            <w:tcMar>
              <w:top w:type="dxa" w:w="60"/>
              <w:left w:type="dxa" w:w="90"/>
              <w:bottom w:type="dxa" w:w="60"/>
              <w:right w:type="dxa" w:w="90"/>
            </w:tcMar>
          </w:tcPr>
          <w:p>
            <w:pPr>
              <w:spacing w:after="0" w:line="240" w:lineRule="auto"/>
            </w:pPr>
            <w:r>
              <w:rPr>
                <w:b/>
                <w:bCs/>
                <w:sz w:val="17"/>
                <w:szCs w:val="17"/>
              </w:rPr>
              <w:t xml:space="preserve">R5 free</w:t>
            </w:r>
          </w:p>
        </w:tc>
        <w:tc>
          <w:tcPr>
            <w:tcW w:type="dxa" w:w="2120"/>
            <w:shd w:fill="F2F4F7" w:val="clear"/>
            <w:tcMar>
              <w:top w:type="dxa" w:w="60"/>
              <w:left w:type="dxa" w:w="90"/>
              <w:bottom w:type="dxa" w:w="60"/>
              <w:right w:type="dxa" w:w="90"/>
            </w:tcMar>
          </w:tcPr>
          <w:p>
            <w:pPr>
              <w:spacing w:after="0" w:line="240" w:lineRule="auto"/>
            </w:pPr>
            <w:r>
              <w:rPr>
                <w:b/>
                <w:bCs/>
                <w:sz w:val="17"/>
                <w:szCs w:val="17"/>
              </w:rPr>
              <w:t xml:space="preserve">Outcome</w:t>
            </w:r>
          </w:p>
        </w:tc>
      </w:tr>
      <w:tr>
        <w:trPr>
          <w:cantSplit/>
        </w:trPr>
        <w:tc>
          <w:tcPr>
            <w:tcW w:type="dxa" w:w="2100"/>
            <w:tcMar>
              <w:top w:type="dxa" w:w="60"/>
              <w:left w:type="dxa" w:w="90"/>
              <w:bottom w:type="dxa" w:w="60"/>
              <w:right w:type="dxa" w:w="90"/>
            </w:tcMar>
          </w:tcPr>
          <w:p>
            <w:pPr>
              <w:spacing w:after="0" w:line="240" w:lineRule="auto"/>
            </w:pPr>
            <w:r>
              <w:rPr>
                <w:b w:val="false"/>
                <w:bCs w:val="false"/>
                <w:sz w:val="17"/>
                <w:szCs w:val="17"/>
              </w:rPr>
              <w:t xml:space="preserve">PyMOL (open source)</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1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0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120"/>
            <w:tcMar>
              <w:top w:type="dxa" w:w="60"/>
              <w:left w:type="dxa" w:w="90"/>
              <w:bottom w:type="dxa" w:w="60"/>
              <w:right w:type="dxa" w:w="90"/>
            </w:tcMar>
          </w:tcPr>
          <w:p>
            <w:pPr>
              <w:spacing w:after="0" w:line="240" w:lineRule="auto"/>
            </w:pPr>
            <w:r>
              <w:rPr>
                <w:b w:val="false"/>
                <w:bCs w:val="false"/>
                <w:sz w:val="17"/>
                <w:szCs w:val="17"/>
              </w:rPr>
              <w:t xml:space="preserve">Selected — primary pipeline</w:t>
            </w:r>
          </w:p>
        </w:tc>
      </w:tr>
      <w:tr>
        <w:trPr>
          <w:cantSplit/>
        </w:trPr>
        <w:tc>
          <w:tcPr>
            <w:tcW w:type="dxa" w:w="2100"/>
            <w:tcMar>
              <w:top w:type="dxa" w:w="60"/>
              <w:left w:type="dxa" w:w="90"/>
              <w:bottom w:type="dxa" w:w="60"/>
              <w:right w:type="dxa" w:w="90"/>
            </w:tcMar>
          </w:tcPr>
          <w:p>
            <w:pPr>
              <w:spacing w:after="0" w:line="240" w:lineRule="auto"/>
            </w:pPr>
            <w:r>
              <w:rPr>
                <w:b w:val="false"/>
                <w:bCs w:val="false"/>
                <w:sz w:val="17"/>
                <w:szCs w:val="17"/>
              </w:rPr>
              <w:t xml:space="preserve">VMD</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1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0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120"/>
            <w:tcMar>
              <w:top w:type="dxa" w:w="60"/>
              <w:left w:type="dxa" w:w="90"/>
              <w:bottom w:type="dxa" w:w="60"/>
              <w:right w:type="dxa" w:w="90"/>
            </w:tcMar>
          </w:tcPr>
          <w:p>
            <w:pPr>
              <w:spacing w:after="0" w:line="240" w:lineRule="auto"/>
            </w:pPr>
            <w:r>
              <w:rPr>
                <w:b w:val="false"/>
                <w:bCs w:val="false"/>
                <w:sz w:val="17"/>
                <w:szCs w:val="17"/>
              </w:rPr>
              <w:t xml:space="preserve">Selected — second pipeline</w:t>
            </w:r>
          </w:p>
        </w:tc>
      </w:tr>
      <w:tr>
        <w:trPr>
          <w:cantSplit/>
        </w:trPr>
        <w:tc>
          <w:tcPr>
            <w:tcW w:type="dxa" w:w="2100"/>
            <w:tcMar>
              <w:top w:type="dxa" w:w="60"/>
              <w:left w:type="dxa" w:w="90"/>
              <w:bottom w:type="dxa" w:w="60"/>
              <w:right w:type="dxa" w:w="90"/>
            </w:tcMar>
          </w:tcPr>
          <w:p>
            <w:pPr>
              <w:spacing w:after="0" w:line="240" w:lineRule="auto"/>
            </w:pPr>
            <w:r>
              <w:rPr>
                <w:b w:val="false"/>
                <w:bCs w:val="false"/>
                <w:sz w:val="17"/>
                <w:szCs w:val="17"/>
              </w:rPr>
              <w:t xml:space="preserve">UCSF ChimeraX</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1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0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120"/>
            <w:tcMar>
              <w:top w:type="dxa" w:w="60"/>
              <w:left w:type="dxa" w:w="90"/>
              <w:bottom w:type="dxa" w:w="60"/>
              <w:right w:type="dxa" w:w="90"/>
            </w:tcMar>
          </w:tcPr>
          <w:p>
            <w:pPr>
              <w:spacing w:after="0" w:line="240" w:lineRule="auto"/>
            </w:pPr>
            <w:r>
              <w:rPr>
                <w:b w:val="false"/>
                <w:bCs w:val="false"/>
                <w:sz w:val="17"/>
                <w:szCs w:val="17"/>
              </w:rPr>
              <w:t xml:space="preserve">Viable, not built</w:t>
            </w:r>
          </w:p>
        </w:tc>
      </w:tr>
      <w:tr>
        <w:trPr>
          <w:cantSplit/>
        </w:trPr>
        <w:tc>
          <w:tcPr>
            <w:tcW w:type="dxa" w:w="2100"/>
            <w:tcMar>
              <w:top w:type="dxa" w:w="60"/>
              <w:left w:type="dxa" w:w="90"/>
              <w:bottom w:type="dxa" w:w="60"/>
              <w:right w:type="dxa" w:w="90"/>
            </w:tcMar>
          </w:tcPr>
          <w:p>
            <w:pPr>
              <w:spacing w:after="0" w:line="240" w:lineRule="auto"/>
            </w:pPr>
            <w:r>
              <w:rPr>
                <w:b w:val="false"/>
                <w:bCs w:val="false"/>
                <w:sz w:val="17"/>
                <w:szCs w:val="17"/>
              </w:rPr>
              <w:t xml:space="preserve">Avogadro 2</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100"/>
            <w:tcMar>
              <w:top w:type="dxa" w:w="60"/>
              <w:left w:type="dxa" w:w="90"/>
              <w:bottom w:type="dxa" w:w="60"/>
              <w:right w:type="dxa" w:w="90"/>
            </w:tcMar>
          </w:tcPr>
          <w:p>
            <w:pPr>
              <w:spacing w:after="0" w:line="240" w:lineRule="auto"/>
            </w:pPr>
            <w:r>
              <w:rPr>
                <w:b w:val="false"/>
                <w:bCs w:val="false"/>
                <w:sz w:val="17"/>
                <w:szCs w:val="17"/>
              </w:rPr>
              <w:t xml:space="preserve">partly</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no</w:t>
            </w:r>
          </w:p>
        </w:tc>
        <w:tc>
          <w:tcPr>
            <w:tcW w:type="dxa" w:w="1000"/>
            <w:tcMar>
              <w:top w:type="dxa" w:w="60"/>
              <w:left w:type="dxa" w:w="90"/>
              <w:bottom w:type="dxa" w:w="60"/>
              <w:right w:type="dxa" w:w="90"/>
            </w:tcMar>
          </w:tcPr>
          <w:p>
            <w:pPr>
              <w:spacing w:after="0" w:line="240" w:lineRule="auto"/>
            </w:pPr>
            <w:r>
              <w:rPr>
                <w:b w:val="false"/>
                <w:bCs w:val="false"/>
                <w:sz w:val="17"/>
                <w:szCs w:val="17"/>
              </w:rPr>
              <w:t xml:space="preserve">no</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2120"/>
            <w:tcMar>
              <w:top w:type="dxa" w:w="60"/>
              <w:left w:type="dxa" w:w="90"/>
              <w:bottom w:type="dxa" w:w="60"/>
              <w:right w:type="dxa" w:w="90"/>
            </w:tcMar>
          </w:tcPr>
          <w:p>
            <w:pPr>
              <w:spacing w:after="0" w:line="240" w:lineRule="auto"/>
            </w:pPr>
            <w:r>
              <w:rPr>
                <w:b w:val="false"/>
                <w:bCs w:val="false"/>
                <w:sz w:val="17"/>
                <w:szCs w:val="17"/>
              </w:rPr>
              <w:t xml:space="preserve">Fails R2, R3, R4</w:t>
            </w:r>
          </w:p>
        </w:tc>
      </w:tr>
      <w:tr>
        <w:trPr>
          <w:cantSplit/>
        </w:trPr>
        <w:tc>
          <w:tcPr>
            <w:tcW w:type="dxa" w:w="2100"/>
            <w:tcMar>
              <w:top w:type="dxa" w:w="60"/>
              <w:left w:type="dxa" w:w="90"/>
              <w:bottom w:type="dxa" w:w="60"/>
              <w:right w:type="dxa" w:w="90"/>
            </w:tcMar>
          </w:tcPr>
          <w:p>
            <w:pPr>
              <w:spacing w:after="0" w:line="240" w:lineRule="auto"/>
            </w:pPr>
            <w:r>
              <w:rPr>
                <w:b w:val="false"/>
                <w:bCs w:val="false"/>
                <w:sz w:val="17"/>
                <w:szCs w:val="17"/>
              </w:rPr>
              <w:t xml:space="preserve">GaussView 6</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1100"/>
            <w:tcMar>
              <w:top w:type="dxa" w:w="60"/>
              <w:left w:type="dxa" w:w="90"/>
              <w:bottom w:type="dxa" w:w="60"/>
              <w:right w:type="dxa" w:w="90"/>
            </w:tcMar>
          </w:tcPr>
          <w:p>
            <w:pPr>
              <w:spacing w:after="0" w:line="240" w:lineRule="auto"/>
            </w:pPr>
            <w:r>
              <w:rPr>
                <w:b w:val="false"/>
                <w:bCs w:val="false"/>
                <w:sz w:val="17"/>
                <w:szCs w:val="17"/>
              </w:rPr>
              <w:t xml:space="preserve">yes</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partly</w:t>
            </w:r>
          </w:p>
        </w:tc>
        <w:tc>
          <w:tcPr>
            <w:tcW w:type="dxa" w:w="1000"/>
            <w:tcMar>
              <w:top w:type="dxa" w:w="60"/>
              <w:left w:type="dxa" w:w="90"/>
              <w:bottom w:type="dxa" w:w="60"/>
              <w:right w:type="dxa" w:w="90"/>
            </w:tcMar>
          </w:tcPr>
          <w:p>
            <w:pPr>
              <w:spacing w:after="0" w:line="240" w:lineRule="auto"/>
            </w:pPr>
            <w:r>
              <w:rPr>
                <w:b w:val="false"/>
                <w:bCs w:val="false"/>
                <w:sz w:val="17"/>
                <w:szCs w:val="17"/>
              </w:rPr>
              <w:t xml:space="preserve">no</w:t>
            </w:r>
          </w:p>
        </w:tc>
        <w:tc>
          <w:tcPr>
            <w:tcW w:type="dxa" w:w="900"/>
            <w:tcMar>
              <w:top w:type="dxa" w:w="60"/>
              <w:left w:type="dxa" w:w="90"/>
              <w:bottom w:type="dxa" w:w="60"/>
              <w:right w:type="dxa" w:w="90"/>
            </w:tcMar>
          </w:tcPr>
          <w:p>
            <w:pPr>
              <w:spacing w:after="0" w:line="240" w:lineRule="auto"/>
            </w:pPr>
            <w:r>
              <w:rPr>
                <w:b w:val="false"/>
                <w:bCs w:val="false"/>
                <w:sz w:val="17"/>
                <w:szCs w:val="17"/>
              </w:rPr>
              <w:t xml:space="preserve">no</w:t>
            </w:r>
          </w:p>
        </w:tc>
        <w:tc>
          <w:tcPr>
            <w:tcW w:type="dxa" w:w="2120"/>
            <w:tcMar>
              <w:top w:type="dxa" w:w="60"/>
              <w:left w:type="dxa" w:w="90"/>
              <w:bottom w:type="dxa" w:w="60"/>
              <w:right w:type="dxa" w:w="90"/>
            </w:tcMar>
          </w:tcPr>
          <w:p>
            <w:pPr>
              <w:spacing w:after="0" w:line="240" w:lineRule="auto"/>
            </w:pPr>
            <w:r>
              <w:rPr>
                <w:b w:val="false"/>
                <w:bCs w:val="false"/>
                <w:sz w:val="17"/>
                <w:szCs w:val="17"/>
              </w:rPr>
              <w:t xml:space="preserve">Fails R4 and R5</w:t>
            </w:r>
          </w:p>
        </w:tc>
      </w:tr>
    </w:tbl>
    <w:p>
      <w:pPr>
        <w:spacing w:after="220" w:line="240" w:lineRule="auto"/>
      </w:pPr>
      <w:r>
        <w:rPr>
          <w:i/>
          <w:iCs/>
          <w:color w:val="4A5568"/>
          <w:sz w:val="18"/>
          <w:szCs w:val="18"/>
        </w:rPr>
        <w:t xml:space="preserve">Table 3 — (yes) marks a licence that is free of charge for academic use but carries restrictions: registration, academic-only terms, or a separate agreement for commercial use.</w:t>
      </w:r>
    </w:p>
    <w:p>
      <w:pPr>
        <w:pStyle w:val="Heading2"/>
        <w:spacing w:after="120" w:before="260"/>
      </w:pPr>
      <w:r>
        <w:rPr>
          <w:b/>
          <w:bCs/>
          <w:color w:val="1F3864"/>
          <w:sz w:val="24"/>
          <w:szCs w:val="24"/>
        </w:rPr>
        <w:t xml:space="preserve">1.4  Why PyMOL and VMD</w:t>
      </w:r>
    </w:p>
    <w:p>
      <w:pPr>
        <w:spacing w:after="120" w:line="276" w:lineRule="auto"/>
      </w:pPr>
      <w:r>
        <w:rPr>
          <w:sz w:val="21"/>
          <w:szCs w:val="21"/>
        </w:rPr>
        <w:t xml:space="preserve">Three programs — PyMOL, VMD and ChimeraX — satisfy all five requirements in substance. On the published criteria alone any of the three would have produced a defensible workflow, so the choice between them was not made by Table 3.</w:t>
      </w:r>
    </w:p>
    <w:p>
      <w:pPr>
        <w:spacing w:after="120" w:line="276" w:lineRule="auto"/>
      </w:pPr>
      <w:r>
        <w:rPr>
          <w:b/>
          <w:bCs/>
          <w:sz w:val="21"/>
          <w:szCs w:val="21"/>
        </w:rPr>
        <w:t xml:space="preserve">PyMOL was chosen first, and the honest reason is availability. </w:t>
      </w:r>
      <w:r>
        <w:rPr>
          <w:sz w:val="21"/>
          <w:szCs w:val="21"/>
        </w:rPr>
        <w:t xml:space="preserve">It was already installed and in use from the introductory exercises of this course, so the time not spent installing and learning a second program went into the workflow instead. That is a practical argument rather than a technical one, and it is worth stating plainly: Table 2 documents that the choice is defensible, it does not describe how the choice was made.</w:t>
      </w:r>
    </w:p>
    <w:p>
      <w:pPr>
        <w:spacing w:after="120" w:line="276" w:lineRule="auto"/>
      </w:pPr>
      <w:r>
        <w:rPr>
          <w:sz w:val="21"/>
          <w:szCs w:val="21"/>
        </w:rPr>
        <w:t xml:space="preserve">Three properties turned out to matter once the pipeline existed, none of them predicted in advance. The view matrix is programmable, so the camera is set from a rotation matrix computed out of the molecular geometry rather than from an interactive orientation. The colour ramp is a separate object, so one explicit range can be applied across a batch. And headless rendering is a first-class mode, which is what makes the whole result set regenerable with a single command after any change.</w:t>
      </w:r>
    </w:p>
    <w:p>
      <w:pPr>
        <w:spacing w:after="120" w:line="276" w:lineRule="auto"/>
      </w:pPr>
      <w:r>
        <w:rPr>
          <w:b/>
          <w:bCs/>
          <w:sz w:val="21"/>
          <w:szCs w:val="21"/>
        </w:rPr>
        <w:t xml:space="preserve">VMD was added as a second pipeline for two reasons. </w:t>
      </w:r>
      <w:r>
        <w:rPr>
          <w:sz w:val="21"/>
          <w:szCs w:val="21"/>
        </w:rPr>
        <w:t xml:space="preserve">It is named explicitly in the project brief, and — more usefully — two independent viewers reading the same cube files are a control on each other. Isosurface extraction, interpolation of the potential onto the surface vertices and the mapping of values to colours are three places where a plausible-looking but wrong picture can be produced, and a single implementation cannot detect any of them. </w:t>
      </w:r>
      <w:r>
        <w:rPr>
          <w:sz w:val="21"/>
          <w:szCs w:val="21"/>
        </w:rPr>
        <w:t xml:space="preserve">That control is the subject of §6.6, and it paid off: the agreement of the two independent implementations to five decimal places is the strongest evidence in this report that the numbers are right.</w:t>
      </w:r>
    </w:p>
    <w:p>
      <w:pPr>
        <w:spacing w:after="120" w:line="276" w:lineRule="auto"/>
      </w:pPr>
      <w:r>
        <w:rPr>
          <w:b/>
          <w:bCs/>
          <w:sz w:val="21"/>
          <w:szCs w:val="21"/>
        </w:rPr>
        <w:t xml:space="preserve">ChimeraX was not built. </w:t>
      </w:r>
      <w:r>
        <w:rPr>
          <w:sz w:val="21"/>
          <w:szCs w:val="21"/>
        </w:rPr>
        <w:t xml:space="preserve">Two pipelines already answer the question a third would have answered, and the remaining project time was better spent on the parameter study of §7 than on a third implementation of the same figure. This is a scope decision, not a verdict on the program.</w:t>
      </w:r>
    </w:p>
    <w:p>
      <w:pPr>
        <w:pStyle w:val="Heading2"/>
        <w:spacing w:after="120" w:before="260"/>
      </w:pPr>
      <w:r>
        <w:rPr>
          <w:b/>
          <w:bCs/>
          <w:color w:val="1F3864"/>
          <w:sz w:val="24"/>
          <w:szCs w:val="24"/>
        </w:rPr>
        <w:t xml:space="preserve">1.5  What this evaluation does not cover</w:t>
      </w:r>
    </w:p>
    <w:p>
      <w:pPr>
        <w:pStyle w:val="ListParagraph"/>
        <w:numPr>
          <w:ilvl w:val="0"/>
          <w:numId w:val="2"/>
        </w:numPr>
        <w:spacing w:after="80" w:line="276" w:lineRule="auto"/>
      </w:pPr>
      <w:r>
        <w:rPr>
          <w:sz w:val="21"/>
          <w:szCs w:val="21"/>
        </w:rPr>
        <w:t xml:space="preserve">Avogadro 2 and GaussView 6 were assessed from documentation only. In particular, the claim that Avogadro 2 cannot colour a density isosurface from a separately loaded ESP cube rests on the absence of documentation for it, not on a failed attempt.</w:t>
      </w:r>
    </w:p>
    <w:p>
      <w:pPr>
        <w:pStyle w:val="ListParagraph"/>
        <w:numPr>
          <w:ilvl w:val="0"/>
          <w:numId w:val="2"/>
        </w:numPr>
        <w:spacing w:after="80" w:line="276" w:lineRule="auto"/>
      </w:pPr>
      <w:r>
        <w:rPr>
          <w:sz w:val="21"/>
          <w:szCs w:val="21"/>
        </w:rPr>
        <w:t xml:space="preserve">No hands-on comparison of rendering quality or effort was made against ChimeraX.</w:t>
      </w:r>
    </w:p>
    <w:p>
      <w:pPr>
        <w:pStyle w:val="ListParagraph"/>
        <w:numPr>
          <w:ilvl w:val="0"/>
          <w:numId w:val="2"/>
        </w:numPr>
        <w:spacing w:after="80" w:line="276" w:lineRule="auto"/>
      </w:pPr>
      <w:r>
        <w:rPr>
          <w:sz w:val="21"/>
          <w:szCs w:val="21"/>
        </w:rPr>
        <w:t xml:space="preserve">Licence terms and version numbers were checked in August 2026 and change without notice. VMD in particular: version 1.9.4, used here, has never been promoted beyond alpha status, while VMD 2.0.0 was released in March 2026 and was not tested.</w:t>
      </w:r>
    </w:p>
    <w:p>
      <w:pPr>
        <w:pStyle w:val="ListParagraph"/>
        <w:numPr>
          <w:ilvl w:val="0"/>
          <w:numId w:val="2"/>
        </w:numPr>
        <w:spacing w:after="80" w:line="276" w:lineRule="auto"/>
      </w:pPr>
      <w:r>
        <w:rPr>
          <w:sz w:val="21"/>
          <w:szCs w:val="21"/>
        </w:rPr>
        <w:t xml:space="preserve">Multiwfn was considered and set aside as a complement rather than a competitor: it is the reference implementation for quantitative molecular surface analysis, but it produces numbers rather than figures.</w:t>
      </w:r>
    </w:p>
    <w:p>
      <w:pPr>
        <w:pStyle w:val="Heading1"/>
        <w:spacing w:after="160" w:before="360"/>
      </w:pPr>
      <w:r>
        <w:rPr>
          <w:b/>
          <w:bCs/>
          <w:color w:val="1F3864"/>
          <w:sz w:val="30"/>
          <w:szCs w:val="30"/>
        </w:rPr>
        <w:t xml:space="preserve">2  Introduction</w:t>
      </w:r>
    </w:p>
    <w:p>
      <w:pPr>
        <w:pStyle w:val="Heading2"/>
        <w:spacing w:after="120" w:before="260"/>
      </w:pPr>
      <w:r>
        <w:rPr>
          <w:b/>
          <w:bCs/>
          <w:color w:val="1F3864"/>
          <w:sz w:val="24"/>
          <w:szCs w:val="24"/>
        </w:rPr>
        <w:t xml:space="preserve">2.1  Electrostatics as a recognition principle</w:t>
      </w:r>
    </w:p>
    <w:p>
      <w:pPr>
        <w:spacing w:after="120" w:line="276" w:lineRule="auto"/>
      </w:pPr>
      <w:r>
        <w:rPr>
          <w:sz w:val="21"/>
          <w:szCs w:val="21"/>
        </w:rPr>
        <w:t xml:space="preserve">Non-covalent recognition between a ligand and its target is, to a first approximation, electrostatic. The molecular electrostatic potential on the surface of a molecule is therefore one of the more directly interpretable quantities in structure-based design: it says where a molecule is electron-rich and where it is electron-poor, in units that can be compared between molecules.</w:t>
      </w:r>
    </w:p>
    <w:p>
      <w:pPr>
        <w:spacing w:after="120" w:line="276" w:lineRule="auto"/>
      </w:pPr>
      <w:r>
        <w:rPr>
          <w:sz w:val="21"/>
          <w:szCs w:val="21"/>
        </w:rPr>
        <w:t xml:space="preserve">The halogen bond is the case where this matters most visibly. A covalently bound halogen carries an anisotropic potential: negative in a belt perpendicular to the C–X bond and positive in a cap on its extension. That positive cap — the </w:t>
      </w:r>
      <w:r>
        <w:rPr>
          <w:b/>
          <w:bCs/>
          <w:sz w:val="21"/>
          <w:szCs w:val="21"/>
        </w:rPr>
        <w:t xml:space="preserve">σ-hole</w:t>
      </w:r>
      <w:r>
        <w:rPr>
          <w:sz w:val="21"/>
          <w:szCs w:val="21"/>
        </w:rPr>
        <w:t xml:space="preserve"> — is what allows a chlorine, bromine or iodine to act as an electrophile towards a carbonyl oxygen or a backbone nitrogen, and it grows down the group as the halogen becomes more polarizable. </w:t>
      </w:r>
      <w:r>
        <w:rPr>
          <w:sz w:val="21"/>
          <w:szCs w:val="21"/>
        </w:rPr>
        <w:t xml:space="preserve">A single partial charge cannot represent this at all: it is one number where the physics has two signs on the same atom.</w:t>
      </w:r>
    </w:p>
    <w:p>
      <w:pPr>
        <w:spacing w:after="120" w:line="276" w:lineRule="auto"/>
      </w:pPr>
      <w:r>
        <w:rPr>
          <w:sz w:val="21"/>
          <w:szCs w:val="21"/>
        </w:rPr>
        <w:t xml:space="preserve">This is not an academic point. Halogen bonds appear in a substantial share of medicinal-chemistry optimization campaigns, and the design question — is this chlorine worth replacing with a bromine? — is answered by a number that this workflow computes: the potential at the maximum of the σ-hole.</w:t>
      </w:r>
    </w:p>
    <w:p>
      <w:pPr>
        <w:pStyle w:val="Heading2"/>
        <w:spacing w:after="120" w:before="260"/>
      </w:pPr>
      <w:r>
        <w:rPr>
          <w:b/>
          <w:bCs/>
          <w:color w:val="1F3864"/>
          <w:sz w:val="24"/>
          <w:szCs w:val="24"/>
        </w:rPr>
        <w:t xml:space="preserve">2.2  Why the picture and not only the table</w:t>
      </w:r>
    </w:p>
    <w:p>
      <w:pPr>
        <w:spacing w:after="120" w:line="276" w:lineRule="auto"/>
      </w:pPr>
      <w:r>
        <w:rPr>
          <w:sz w:val="21"/>
          <w:szCs w:val="21"/>
        </w:rPr>
        <w:t xml:space="preserve">A table of surface extrema is more precise than a figure and less useful. The extremum says how strong the strongest feature is; the figure says where every feature sits relative to the others, which is what a medicinal chemist needs when deciding where to grow a molecule. </w:t>
      </w:r>
      <w:r>
        <w:rPr>
          <w:sz w:val="21"/>
          <w:szCs w:val="21"/>
        </w:rPr>
        <w:t xml:space="preserve">The two are complementary and this project produces both, but the figure is the deliverable — and a figure carries an implicit claim of objectivity that deserves testing. That test is what the second pipeline is for.</w:t>
      </w:r>
    </w:p>
    <w:p>
      <w:pPr>
        <w:pStyle w:val="Heading2"/>
        <w:spacing w:after="120" w:before="260"/>
      </w:pPr>
      <w:r>
        <w:rPr>
          <w:b/>
          <w:bCs/>
          <w:color w:val="1F3864"/>
          <w:sz w:val="24"/>
          <w:szCs w:val="24"/>
        </w:rPr>
        <w:t xml:space="preserve">2.3  Aim and scope</w:t>
      </w:r>
    </w:p>
    <w:p>
      <w:pPr>
        <w:pStyle w:val="ListParagraph"/>
        <w:numPr>
          <w:ilvl w:val="0"/>
          <w:numId w:val="2"/>
        </w:numPr>
        <w:spacing w:after="80" w:line="276" w:lineRule="auto"/>
      </w:pPr>
      <w:r>
        <w:rPr>
          <w:sz w:val="21"/>
          <w:szCs w:val="21"/>
        </w:rPr>
        <w:t xml:space="preserve">Build a reproducible route from Turbomole pointval output to a standard set of ESP figures, executable end to end with one command.</w:t>
      </w:r>
    </w:p>
    <w:p>
      <w:pPr>
        <w:pStyle w:val="ListParagraph"/>
        <w:numPr>
          <w:ilvl w:val="0"/>
          <w:numId w:val="2"/>
        </w:numPr>
        <w:spacing w:after="80" w:line="276" w:lineRule="auto"/>
      </w:pPr>
      <w:r>
        <w:rPr>
          <w:sz w:val="21"/>
          <w:szCs w:val="21"/>
        </w:rPr>
        <w:t xml:space="preserve">Establish which of the workflow’s parameters actually change the reported numbers, and by how much.</w:t>
      </w:r>
    </w:p>
    <w:p>
      <w:pPr>
        <w:pStyle w:val="ListParagraph"/>
        <w:numPr>
          <w:ilvl w:val="0"/>
          <w:numId w:val="2"/>
        </w:numPr>
        <w:spacing w:after="80" w:line="276" w:lineRule="auto"/>
      </w:pPr>
      <w:r>
        <w:rPr>
          <w:sz w:val="21"/>
          <w:szCs w:val="21"/>
        </w:rPr>
        <w:t xml:space="preserve">Test whether the choice of visualization program changes the result, by building the same workflow twice on two independent viewers.</w:t>
      </w:r>
    </w:p>
    <w:p>
      <w:pPr>
        <w:pStyle w:val="ListParagraph"/>
        <w:numPr>
          <w:ilvl w:val="0"/>
          <w:numId w:val="2"/>
        </w:numPr>
        <w:spacing w:after="80" w:line="276" w:lineRule="auto"/>
      </w:pPr>
      <w:r>
        <w:rPr>
          <w:sz w:val="21"/>
          <w:szCs w:val="21"/>
        </w:rPr>
        <w:t xml:space="preserve">Report the surface potential, the σ-hole and the halogen belt for a set of ten molecules, and compare the halobenzene values against the published literature.</w:t>
      </w:r>
    </w:p>
    <w:p>
      <w:pPr>
        <w:spacing w:after="120" w:line="276" w:lineRule="auto"/>
      </w:pPr>
      <w:r>
        <w:rPr>
          <w:b/>
          <w:bCs/>
          <w:sz w:val="21"/>
          <w:szCs w:val="21"/>
        </w:rPr>
        <w:t xml:space="preserve">Out of scope: </w:t>
      </w:r>
      <w:r>
        <w:rPr>
          <w:sz w:val="21"/>
          <w:szCs w:val="21"/>
        </w:rPr>
        <w:t xml:space="preserve">the quantum chemistry itself. The wavefunctions and grids were provided; this project consumes them. No basis-set or functional comparison was performed, and the consequences of that limitation are stated in §9.3.</w:t>
      </w:r>
    </w:p>
    <w:p>
      <w:pPr>
        <w:pStyle w:val="Heading1"/>
        <w:spacing w:after="160" w:before="360"/>
      </w:pPr>
      <w:r>
        <w:rPr>
          <w:b/>
          <w:bCs/>
          <w:color w:val="1F3864"/>
          <w:sz w:val="30"/>
          <w:szCs w:val="30"/>
        </w:rPr>
        <w:t xml:space="preserve">3  Theoretical background</w:t>
      </w:r>
    </w:p>
    <w:p>
      <w:pPr>
        <w:pStyle w:val="Heading2"/>
        <w:spacing w:after="120" w:before="260"/>
      </w:pPr>
      <w:r>
        <w:rPr>
          <w:b/>
          <w:bCs/>
          <w:color w:val="1F3864"/>
          <w:sz w:val="24"/>
          <w:szCs w:val="24"/>
        </w:rPr>
        <w:t xml:space="preserve">3.1  The molecular electrostatic potential</w:t>
      </w:r>
    </w:p>
    <w:p>
      <w:pPr>
        <w:spacing w:after="120" w:line="276" w:lineRule="auto"/>
      </w:pPr>
      <w:r>
        <w:rPr>
          <w:sz w:val="21"/>
          <w:szCs w:val="21"/>
        </w:rPr>
        <w:t xml:space="preserve">The electrostatic potential V(r) at a point r is the energy a unit positive test charge would feel there. It has two contributions of opposite sign: the nuclei, which are positive and concentrated, and the electrons, which are negative and diffuse. </w:t>
      </w:r>
      <w:r>
        <w:rPr>
          <w:sz w:val="21"/>
          <w:szCs w:val="21"/>
        </w:rPr>
        <w:t xml:space="preserve">Where the electron density outweighs the nuclear contribution the potential is negative; where it does not, positive. Both are computed by the quantum-chemical program and delivered on a regular grid.</w:t>
      </w:r>
    </w:p>
    <w:p>
      <w:pPr>
        <w:spacing w:after="120" w:line="276" w:lineRule="auto"/>
      </w:pPr>
      <w:r>
        <w:rPr>
          <w:sz w:val="21"/>
          <w:szCs w:val="21"/>
        </w:rPr>
        <w:t xml:space="preserve">Two grids are therefore needed and they answer different questions. The density ρ determines </w:t>
      </w:r>
      <w:r>
        <w:rPr>
          <w:b/>
          <w:bCs/>
          <w:sz w:val="21"/>
          <w:szCs w:val="21"/>
        </w:rPr>
        <w:t xml:space="preserve">where the surface lies</w:t>
      </w:r>
      <w:r>
        <w:rPr>
          <w:sz w:val="21"/>
          <w:szCs w:val="21"/>
        </w:rPr>
        <w:t xml:space="preserve"> — the shape. The potential V determines </w:t>
      </w:r>
      <w:r>
        <w:rPr>
          <w:b/>
          <w:bCs/>
          <w:sz w:val="21"/>
          <w:szCs w:val="21"/>
        </w:rPr>
        <w:t xml:space="preserve">what colour a point on it gets</w:t>
      </w:r>
      <w:r>
        <w:rPr>
          <w:sz w:val="21"/>
          <w:szCs w:val="21"/>
        </w:rPr>
        <w:t xml:space="preserve"> — the property. This is why the workflow always handles a pair of cube files, and why a viewer must be able to colour the isosurface of one dataset by the values of a second (requirement R2).</w:t>
      </w:r>
    </w:p>
    <w:p>
      <w:pPr>
        <w:pStyle w:val="Heading2"/>
        <w:spacing w:after="120" w:before="260"/>
      </w:pPr>
      <w:r>
        <w:rPr>
          <w:b/>
          <w:bCs/>
          <w:color w:val="1F3864"/>
          <w:sz w:val="24"/>
          <w:szCs w:val="24"/>
        </w:rPr>
        <w:t xml:space="preserve">3.2  Why ρ = 0.001 a.u.</w:t>
      </w:r>
    </w:p>
    <w:p>
      <w:pPr>
        <w:spacing w:after="120" w:line="276" w:lineRule="auto"/>
      </w:pPr>
      <w:r>
        <w:rPr>
          <w:sz w:val="21"/>
          <w:szCs w:val="21"/>
        </w:rPr>
        <w:t xml:space="preserve">The surface used throughout is the electron-density isosurface at ρ = 0.001 a.u., not a van der Waals surface assembled from tabulated atomic radii. This is the convention introduced by Bader and adopted by Politzer and Murray: it encloses roughly 96–97 % of the electronic charge, it responds to the actual bonding situation rather than to a lookup table, and it is the surface on which essentially all published V</w:t>
      </w:r>
      <w:r>
        <w:rPr>
          <w:i/>
          <w:iCs/>
          <w:sz w:val="21"/>
          <w:szCs w:val="21"/>
        </w:rPr>
        <w:t xml:space="preserve">S,max</w:t>
      </w:r>
      <w:r>
        <w:rPr>
          <w:sz w:val="21"/>
          <w:szCs w:val="21"/>
        </w:rPr>
        <w:t xml:space="preserve"> values are defined.</w:t>
      </w:r>
    </w:p>
    <w:p>
      <w:pPr>
        <w:spacing w:after="120" w:line="276" w:lineRule="auto"/>
      </w:pPr>
      <w:r>
        <w:rPr>
          <w:sz w:val="21"/>
          <w:szCs w:val="21"/>
        </w:rPr>
        <w:t xml:space="preserve">The surface lies closer to the nuclei than the number suggests. Measured along the C–Br axis of 4-bromoacetophenone:</w:t>
      </w:r>
    </w:p>
    <w:tbl>
      <w:tblPr>
        <w:tblW w:type="dxa" w:w="9020"/>
        <w:tblBorders>
          <w:top w:val="single" w:color="B0B7C3" w:sz="4"/>
          <w:left w:val="none"/>
          <w:bottom w:val="single" w:color="B0B7C3" w:sz="4"/>
          <w:right w:val="none"/>
          <w:insideH w:val="single" w:color="D9DEE7" w:sz="2"/>
          <w:insideV w:val="none"/>
        </w:tblBorders>
      </w:tblPr>
      <w:tblGrid>
        <w:gridCol w:w="3000"/>
        <w:gridCol w:w="2000"/>
        <w:gridCol w:w="4020"/>
      </w:tblGrid>
      <w:tr>
        <w:trPr>
          <w:tblHeader/>
        </w:trPr>
        <w:tc>
          <w:tcPr>
            <w:tcW w:type="dxa" w:w="3000"/>
            <w:shd w:fill="F2F4F7" w:val="clear"/>
            <w:tcMar>
              <w:top w:type="dxa" w:w="60"/>
              <w:left w:type="dxa" w:w="90"/>
              <w:bottom w:type="dxa" w:w="60"/>
              <w:right w:type="dxa" w:w="90"/>
            </w:tcMar>
          </w:tcPr>
          <w:p>
            <w:pPr>
              <w:spacing w:after="0" w:line="240" w:lineRule="auto"/>
            </w:pPr>
            <w:r>
              <w:rPr>
                <w:b/>
                <w:bCs/>
                <w:sz w:val="17"/>
                <w:szCs w:val="17"/>
              </w:rPr>
              <w:t xml:space="preserve">Distance from the Br nucleus</w:t>
            </w:r>
          </w:p>
        </w:tc>
        <w:tc>
          <w:tcPr>
            <w:tcW w:type="dxa" w:w="2000"/>
            <w:shd w:fill="F2F4F7" w:val="clear"/>
            <w:tcMar>
              <w:top w:type="dxa" w:w="60"/>
              <w:left w:type="dxa" w:w="90"/>
              <w:bottom w:type="dxa" w:w="60"/>
              <w:right w:type="dxa" w:w="90"/>
            </w:tcMar>
          </w:tcPr>
          <w:p>
            <w:pPr>
              <w:spacing w:after="0" w:line="240" w:lineRule="auto"/>
            </w:pPr>
            <w:r>
              <w:rPr>
                <w:b/>
                <w:bCs/>
                <w:sz w:val="17"/>
                <w:szCs w:val="17"/>
              </w:rPr>
              <w:t xml:space="preserve">ρ / a.u.</w:t>
            </w:r>
          </w:p>
        </w:tc>
        <w:tc>
          <w:tcPr>
            <w:tcW w:type="dxa" w:w="4020"/>
            <w:shd w:fill="F2F4F7" w:val="clear"/>
            <w:tcMar>
              <w:top w:type="dxa" w:w="60"/>
              <w:left w:type="dxa" w:w="90"/>
              <w:bottom w:type="dxa" w:w="60"/>
              <w:right w:type="dxa" w:w="90"/>
            </w:tcMar>
          </w:tcPr>
          <w:p>
            <w:pPr>
              <w:spacing w:after="0" w:line="240" w:lineRule="auto"/>
            </w:pPr>
            <w:r>
              <w:rPr>
                <w:b/>
                <w:bCs/>
                <w:sz w:val="17"/>
                <w:szCs w:val="17"/>
              </w:rPr>
              <w:t xml:space="preserve">Interpretation</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0.0 Å</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428</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nuclear region</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1.0 Å</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0.0668</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inside the bond</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1.5 Å</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0.00866</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inside the bond</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2.07 Å</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0.00100</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the surface</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3.0 Å</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0.00001</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effectively vacuum</w:t>
            </w:r>
          </w:p>
        </w:tc>
      </w:tr>
    </w:tbl>
    <w:p>
      <w:pPr>
        <w:spacing w:after="220" w:line="240" w:lineRule="auto"/>
      </w:pPr>
      <w:r>
        <w:rPr>
          <w:i/>
          <w:iCs/>
          <w:color w:val="4A5568"/>
          <w:sz w:val="18"/>
          <w:szCs w:val="18"/>
        </w:rPr>
        <w:t xml:space="preserve">Table 4 — Seven orders of magnitude across roughly two Ångström. The C–Br bond is 1.89 Å long and the van der Waals radius of bromine is 1.85 Å, so the ρ = 0.001 surface at 2.07 Å sits just outside the conventional contact distance.</w:t>
      </w:r>
    </w:p>
    <w:p>
      <w:pPr>
        <w:pStyle w:val="Heading2"/>
        <w:spacing w:after="120" w:before="260"/>
      </w:pPr>
      <w:r>
        <w:rPr>
          <w:b/>
          <w:bCs/>
          <w:color w:val="1F3864"/>
          <w:sz w:val="24"/>
          <w:szCs w:val="24"/>
        </w:rPr>
        <w:t xml:space="preserve">3.3  V_S,min and V_S,max</w:t>
      </w:r>
    </w:p>
    <w:p>
      <w:pPr>
        <w:spacing w:after="120" w:line="276" w:lineRule="auto"/>
      </w:pPr>
      <w:r>
        <w:rPr>
          <w:sz w:val="21"/>
          <w:szCs w:val="21"/>
        </w:rPr>
        <w:t xml:space="preserve">The two conventional descriptors are the most negative and most positive values of the potential on that surface, written V</w:t>
      </w:r>
      <w:r>
        <w:rPr>
          <w:i/>
          <w:iCs/>
          <w:sz w:val="21"/>
          <w:szCs w:val="21"/>
        </w:rPr>
        <w:t xml:space="preserve">S,min</w:t>
      </w:r>
      <w:r>
        <w:rPr>
          <w:sz w:val="21"/>
          <w:szCs w:val="21"/>
        </w:rPr>
        <w:t xml:space="preserve"> and V</w:t>
      </w:r>
      <w:r>
        <w:rPr>
          <w:i/>
          <w:iCs/>
          <w:sz w:val="21"/>
          <w:szCs w:val="21"/>
        </w:rPr>
        <w:t xml:space="preserve">S,max</w:t>
      </w:r>
      <w:r>
        <w:rPr>
          <w:sz w:val="21"/>
          <w:szCs w:val="21"/>
        </w:rPr>
        <w:t xml:space="preserve">. They are global extrema over the whole molecular surface, and for the molecules studied here that global character is the first thing that has to be qualified — see §3.4.</w:t>
      </w:r>
    </w:p>
    <w:p>
      <w:pPr>
        <w:pStyle w:val="Heading2"/>
        <w:spacing w:after="120" w:before="260"/>
      </w:pPr>
      <w:r>
        <w:rPr>
          <w:b/>
          <w:bCs/>
          <w:color w:val="1F3864"/>
          <w:sz w:val="24"/>
          <w:szCs w:val="24"/>
        </w:rPr>
        <w:t xml:space="preserve">3.4  The σ-hole, and why V_S,max is not it</w:t>
      </w:r>
    </w:p>
    <w:p>
      <w:pPr>
        <w:spacing w:after="120" w:line="276" w:lineRule="auto"/>
      </w:pPr>
      <w:r>
        <w:rPr>
          <w:sz w:val="21"/>
          <w:szCs w:val="21"/>
        </w:rPr>
        <w:t xml:space="preserve">On an aryl halide the global maximum of the surface potential does not sit on the halogen. It sits on the ring hydrogens. The three halobenzenes make the point cleanly, all measured on the same 251³ grid at ρ = 0.001 a.u.:</w:t>
      </w:r>
    </w:p>
    <w:tbl>
      <w:tblPr>
        <w:tblW w:type="dxa" w:w="9020"/>
        <w:tblBorders>
          <w:top w:val="single" w:color="B0B7C3" w:sz="4"/>
          <w:left w:val="none"/>
          <w:bottom w:val="single" w:color="B0B7C3" w:sz="4"/>
          <w:right w:val="none"/>
          <w:insideH w:val="single" w:color="D9DEE7" w:sz="2"/>
          <w:insideV w:val="none"/>
        </w:tblBorders>
      </w:tblPr>
      <w:tblGrid>
        <w:gridCol w:w="2600"/>
        <w:gridCol w:w="2140"/>
        <w:gridCol w:w="2140"/>
        <w:gridCol w:w="2140"/>
      </w:tblGrid>
      <w:tr>
        <w:trPr>
          <w:tblHeader/>
        </w:trPr>
        <w:tc>
          <w:tcPr>
            <w:tcW w:type="dxa" w:w="2600"/>
            <w:shd w:fill="F2F4F7" w:val="clear"/>
            <w:tcMar>
              <w:top w:type="dxa" w:w="60"/>
              <w:left w:type="dxa" w:w="90"/>
              <w:bottom w:type="dxa" w:w="60"/>
              <w:right w:type="dxa" w:w="90"/>
            </w:tcMar>
          </w:tcPr>
          <w:p>
            <w:pPr>
              <w:spacing w:after="0" w:line="240" w:lineRule="auto"/>
            </w:pPr>
            <w:r>
              <w:rPr>
                <w:b/>
                <w:bCs/>
                <w:sz w:val="17"/>
                <w:szCs w:val="17"/>
              </w:rPr>
              <w:t xml:space="preserve"/>
            </w:r>
          </w:p>
        </w:tc>
        <w:tc>
          <w:tcPr>
            <w:tcW w:type="dxa" w:w="2140"/>
            <w:shd w:fill="F2F4F7" w:val="clear"/>
            <w:tcMar>
              <w:top w:type="dxa" w:w="60"/>
              <w:left w:type="dxa" w:w="90"/>
              <w:bottom w:type="dxa" w:w="60"/>
              <w:right w:type="dxa" w:w="90"/>
            </w:tcMar>
          </w:tcPr>
          <w:p>
            <w:pPr>
              <w:spacing w:after="0" w:line="240" w:lineRule="auto"/>
            </w:pPr>
            <w:r>
              <w:rPr>
                <w:b/>
                <w:bCs/>
                <w:sz w:val="17"/>
                <w:szCs w:val="17"/>
              </w:rPr>
              <w:t xml:space="preserve">chlorobenzene</w:t>
            </w:r>
          </w:p>
        </w:tc>
        <w:tc>
          <w:tcPr>
            <w:tcW w:type="dxa" w:w="2140"/>
            <w:shd w:fill="F2F4F7" w:val="clear"/>
            <w:tcMar>
              <w:top w:type="dxa" w:w="60"/>
              <w:left w:type="dxa" w:w="90"/>
              <w:bottom w:type="dxa" w:w="60"/>
              <w:right w:type="dxa" w:w="90"/>
            </w:tcMar>
          </w:tcPr>
          <w:p>
            <w:pPr>
              <w:spacing w:after="0" w:line="240" w:lineRule="auto"/>
            </w:pPr>
            <w:r>
              <w:rPr>
                <w:b/>
                <w:bCs/>
                <w:sz w:val="17"/>
                <w:szCs w:val="17"/>
              </w:rPr>
              <w:t xml:space="preserve">bromobenzene</w:t>
            </w:r>
          </w:p>
        </w:tc>
        <w:tc>
          <w:tcPr>
            <w:tcW w:type="dxa" w:w="2140"/>
            <w:shd w:fill="F2F4F7" w:val="clear"/>
            <w:tcMar>
              <w:top w:type="dxa" w:w="60"/>
              <w:left w:type="dxa" w:w="90"/>
              <w:bottom w:type="dxa" w:w="60"/>
              <w:right w:type="dxa" w:w="90"/>
            </w:tcMar>
          </w:tcPr>
          <w:p>
            <w:pPr>
              <w:spacing w:after="0" w:line="240" w:lineRule="auto"/>
            </w:pPr>
            <w:r>
              <w:rPr>
                <w:b/>
                <w:bCs/>
                <w:sz w:val="17"/>
                <w:szCs w:val="17"/>
              </w:rPr>
              <w:t xml:space="preserve">iodobenzene</w:t>
            </w:r>
          </w:p>
        </w:tc>
      </w:tr>
      <w:tr>
        <w:trPr>
          <w:cantSplit/>
        </w:trPr>
        <w:tc>
          <w:tcPr>
            <w:tcW w:type="dxa" w:w="2600"/>
            <w:tcMar>
              <w:top w:type="dxa" w:w="60"/>
              <w:left w:type="dxa" w:w="90"/>
              <w:bottom w:type="dxa" w:w="60"/>
              <w:right w:type="dxa" w:w="90"/>
            </w:tcMar>
          </w:tcPr>
          <w:p>
            <w:pPr>
              <w:spacing w:after="0" w:line="240" w:lineRule="auto"/>
            </w:pPr>
            <w:r>
              <w:rPr>
                <w:b w:val="false"/>
                <w:bCs w:val="false"/>
                <w:sz w:val="17"/>
                <w:szCs w:val="17"/>
              </w:rPr>
              <w:t xml:space="preserve">σ-hole (cap on the C–X axis)</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+0.00786 a.u.</w:t>
            </w:r>
          </w:p>
          <w:p>
            <w:pPr>
              <w:spacing w:after="0" w:line="240" w:lineRule="auto"/>
            </w:pPr>
            <w:r>
              <w:rPr>
                <w:b w:val="false"/>
                <w:bCs w:val="false"/>
                <w:sz w:val="17"/>
                <w:szCs w:val="17"/>
              </w:rPr>
              <w:t xml:space="preserve">+4.9 kcal/(mol·e)</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+0.01629 a.u.</w:t>
            </w:r>
          </w:p>
          <w:p>
            <w:pPr>
              <w:spacing w:after="0" w:line="240" w:lineRule="auto"/>
            </w:pPr>
            <w:r>
              <w:rPr>
                <w:b w:val="false"/>
                <w:bCs w:val="false"/>
                <w:sz w:val="17"/>
                <w:szCs w:val="17"/>
              </w:rPr>
              <w:t xml:space="preserve">+10.2</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+0.02559 a.u.</w:t>
            </w:r>
          </w:p>
          <w:p>
            <w:pPr>
              <w:spacing w:after="0" w:line="240" w:lineRule="auto"/>
            </w:pPr>
            <w:r>
              <w:rPr>
                <w:b w:val="false"/>
                <w:bCs w:val="false"/>
                <w:sz w:val="17"/>
                <w:szCs w:val="17"/>
              </w:rPr>
              <w:t xml:space="preserve">+16.1</w:t>
            </w:r>
          </w:p>
        </w:tc>
      </w:tr>
      <w:tr>
        <w:trPr>
          <w:cantSplit/>
        </w:trPr>
        <w:tc>
          <w:tcPr>
            <w:tcW w:type="dxa" w:w="2600"/>
            <w:tcMar>
              <w:top w:type="dxa" w:w="60"/>
              <w:left w:type="dxa" w:w="90"/>
              <w:bottom w:type="dxa" w:w="60"/>
              <w:right w:type="dxa" w:w="90"/>
            </w:tcMar>
          </w:tcPr>
          <w:p>
            <w:pPr>
              <w:spacing w:after="0" w:line="240" w:lineRule="auto"/>
            </w:pPr>
            <w:r>
              <w:rPr>
                <w:b w:val="false"/>
                <w:bCs w:val="false"/>
                <w:sz w:val="17"/>
                <w:szCs w:val="17"/>
              </w:rPr>
              <w:t xml:space="preserve">ring hydrogens = global V_S,max</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+0.03129 a.u.</w:t>
            </w:r>
          </w:p>
          <w:p>
            <w:pPr>
              <w:spacing w:after="0" w:line="240" w:lineRule="auto"/>
            </w:pPr>
            <w:r>
              <w:rPr>
                <w:b w:val="false"/>
                <w:bCs w:val="false"/>
                <w:sz w:val="17"/>
                <w:szCs w:val="17"/>
              </w:rPr>
              <w:t xml:space="preserve">+19.6</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+0.03154 a.u.</w:t>
            </w:r>
          </w:p>
          <w:p>
            <w:pPr>
              <w:spacing w:after="0" w:line="240" w:lineRule="auto"/>
            </w:pPr>
            <w:r>
              <w:rPr>
                <w:b w:val="false"/>
                <w:bCs w:val="false"/>
                <w:sz w:val="17"/>
                <w:szCs w:val="17"/>
              </w:rPr>
              <w:t xml:space="preserve">+19.8</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+0.03168 a.u.</w:t>
            </w:r>
          </w:p>
          <w:p>
            <w:pPr>
              <w:spacing w:after="0" w:line="240" w:lineRule="auto"/>
            </w:pPr>
            <w:r>
              <w:rPr>
                <w:b w:val="false"/>
                <w:bCs w:val="false"/>
                <w:sz w:val="17"/>
                <w:szCs w:val="17"/>
              </w:rPr>
              <w:t xml:space="preserve">+19.9</w:t>
            </w:r>
          </w:p>
        </w:tc>
      </w:tr>
      <w:tr>
        <w:trPr>
          <w:cantSplit/>
        </w:trPr>
        <w:tc>
          <w:tcPr>
            <w:tcW w:type="dxa" w:w="2600"/>
            <w:tcMar>
              <w:top w:type="dxa" w:w="60"/>
              <w:left w:type="dxa" w:w="90"/>
              <w:bottom w:type="dxa" w:w="60"/>
              <w:right w:type="dxa" w:w="90"/>
            </w:tcMar>
          </w:tcPr>
          <w:p>
            <w:pPr>
              <w:spacing w:after="0" w:line="240" w:lineRule="auto"/>
            </w:pPr>
            <w:r>
              <w:rPr>
                <w:b w:val="false"/>
                <w:bCs w:val="false"/>
                <w:sz w:val="17"/>
                <w:szCs w:val="17"/>
              </w:rPr>
              <w:t xml:space="preserve">halogen belt = global V_S,min</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−0.01896 a.u.</w:t>
            </w:r>
          </w:p>
          <w:p>
            <w:pPr>
              <w:spacing w:after="0" w:line="240" w:lineRule="auto"/>
            </w:pPr>
            <w:r>
              <w:rPr>
                <w:b w:val="false"/>
                <w:bCs w:val="false"/>
                <w:sz w:val="17"/>
                <w:szCs w:val="17"/>
              </w:rPr>
              <w:t xml:space="preserve">−11.9</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−0.01882 a.u.</w:t>
            </w:r>
          </w:p>
          <w:p>
            <w:pPr>
              <w:spacing w:after="0" w:line="240" w:lineRule="auto"/>
            </w:pPr>
            <w:r>
              <w:rPr>
                <w:b w:val="false"/>
                <w:bCs w:val="false"/>
                <w:sz w:val="17"/>
                <w:szCs w:val="17"/>
              </w:rPr>
              <w:t xml:space="preserve">−11.8</w:t>
            </w:r>
          </w:p>
        </w:tc>
        <w:tc>
          <w:tcPr>
            <w:tcW w:type="dxa" w:w="2140"/>
            <w:tcMar>
              <w:top w:type="dxa" w:w="60"/>
              <w:left w:type="dxa" w:w="90"/>
              <w:bottom w:type="dxa" w:w="60"/>
              <w:right w:type="dxa" w:w="90"/>
            </w:tcMar>
          </w:tcPr>
          <w:p>
            <w:pPr>
              <w:spacing w:after="0" w:line="240" w:lineRule="auto"/>
            </w:pPr>
            <w:r>
              <w:rPr>
                <w:b w:val="false"/>
                <w:bCs w:val="false"/>
                <w:sz w:val="17"/>
                <w:szCs w:val="17"/>
              </w:rPr>
              <w:t xml:space="preserve">−0.01685 a.u.</w:t>
            </w:r>
          </w:p>
          <w:p>
            <w:pPr>
              <w:spacing w:after="0" w:line="240" w:lineRule="auto"/>
            </w:pPr>
            <w:r>
              <w:rPr>
                <w:b w:val="false"/>
                <w:bCs w:val="false"/>
                <w:sz w:val="17"/>
                <w:szCs w:val="17"/>
              </w:rPr>
              <w:t xml:space="preserve">−10.6</w:t>
            </w:r>
          </w:p>
        </w:tc>
      </w:tr>
    </w:tbl>
    <w:p>
      <w:pPr>
        <w:spacing w:after="220" w:line="240" w:lineRule="auto"/>
      </w:pPr>
      <w:r>
        <w:rPr>
          <w:i/>
          <w:iCs/>
          <w:color w:val="4A5568"/>
          <w:sz w:val="18"/>
          <w:szCs w:val="18"/>
        </w:rPr>
        <w:t xml:space="preserve">Table 5 — The three global maxima agree to within 1.3 %, because all three are the same aromatic C–H. The σ-holes span a factor of 3.3 in the expected order Cl &lt; Br &lt; I. Reporting only V_S,max would therefore return the same number three times for three molecules whose halogen-bonding behaviour differs by a factor of three.</w:t>
      </w:r>
    </w:p>
    <w:p>
      <w:pPr>
        <w:spacing w:after="120" w:line="276" w:lineRule="auto"/>
      </w:pPr>
      <w:r>
        <w:rPr>
          <w:sz w:val="21"/>
          <w:szCs w:val="21"/>
        </w:rPr>
        <w:t xml:space="preserve">The consequence for the workflow is that the σ-hole must be located as a </w:t>
      </w:r>
      <w:r>
        <w:rPr>
          <w:b/>
          <w:bCs/>
          <w:sz w:val="21"/>
          <w:szCs w:val="21"/>
        </w:rPr>
        <w:t xml:space="preserve">local</w:t>
      </w:r>
      <w:r>
        <w:rPr>
          <w:sz w:val="21"/>
          <w:szCs w:val="21"/>
        </w:rPr>
        <w:t xml:space="preserve"> maximum in a cone around the extended C–X axis, not read off the global extremum. </w:t>
      </w:r>
      <w:r>
        <w:rPr>
          <w:sz w:val="21"/>
          <w:szCs w:val="21"/>
        </w:rPr>
        <w:t xml:space="preserve">Its counterpart, the halogen belt, is the minimum in a band perpendicular to that axis. Together the two numbers describe the anisotropy that makes a halogen bond directional: positive ahead, negative to the side.</w:t>
      </w:r>
    </w:p>
    <w:p>
      <w:pPr>
        <w:pStyle w:val="Heading2"/>
        <w:spacing w:after="120" w:before="260"/>
      </w:pPr>
      <w:r>
        <w:rPr>
          <w:b/>
          <w:bCs/>
          <w:color w:val="1F3864"/>
          <w:sz w:val="24"/>
          <w:szCs w:val="24"/>
        </w:rPr>
        <w:t xml:space="preserve">3.5  Atomic units</w:t>
      </w:r>
    </w:p>
    <w:tbl>
      <w:tblPr>
        <w:tblW w:type="dxa" w:w="9020"/>
        <w:tblBorders>
          <w:top w:val="single" w:color="B0B7C3" w:sz="4"/>
          <w:left w:val="none"/>
          <w:bottom w:val="single" w:color="B0B7C3" w:sz="4"/>
          <w:right w:val="none"/>
          <w:insideH w:val="single" w:color="D9DEE7" w:sz="2"/>
          <w:insideV w:val="none"/>
        </w:tblBorders>
      </w:tblPr>
      <w:tblGrid>
        <w:gridCol w:w="2600"/>
        <w:gridCol w:w="3200"/>
        <w:gridCol w:w="3220"/>
      </w:tblGrid>
      <w:tr>
        <w:trPr>
          <w:tblHeader/>
        </w:trPr>
        <w:tc>
          <w:tcPr>
            <w:tcW w:type="dxa" w:w="2600"/>
            <w:shd w:fill="F2F4F7" w:val="clear"/>
            <w:tcMar>
              <w:top w:type="dxa" w:w="60"/>
              <w:left w:type="dxa" w:w="90"/>
              <w:bottom w:type="dxa" w:w="60"/>
              <w:right w:type="dxa" w:w="90"/>
            </w:tcMar>
          </w:tcPr>
          <w:p>
            <w:pPr>
              <w:spacing w:after="0" w:line="240" w:lineRule="auto"/>
            </w:pPr>
            <w:r>
              <w:rPr>
                <w:b/>
                <w:bCs/>
                <w:sz w:val="17"/>
                <w:szCs w:val="17"/>
              </w:rPr>
              <w:t xml:space="preserve">Quantity</w:t>
            </w:r>
          </w:p>
        </w:tc>
        <w:tc>
          <w:tcPr>
            <w:tcW w:type="dxa" w:w="3200"/>
            <w:shd w:fill="F2F4F7" w:val="clear"/>
            <w:tcMar>
              <w:top w:type="dxa" w:w="60"/>
              <w:left w:type="dxa" w:w="90"/>
              <w:bottom w:type="dxa" w:w="60"/>
              <w:right w:type="dxa" w:w="90"/>
            </w:tcMar>
          </w:tcPr>
          <w:p>
            <w:pPr>
              <w:spacing w:after="0" w:line="240" w:lineRule="auto"/>
            </w:pPr>
            <w:r>
              <w:rPr>
                <w:b/>
                <w:bCs/>
                <w:sz w:val="17"/>
                <w:szCs w:val="17"/>
              </w:rPr>
              <w:t xml:space="preserve">Unit</w:t>
            </w:r>
          </w:p>
        </w:tc>
        <w:tc>
          <w:tcPr>
            <w:tcW w:type="dxa" w:w="3220"/>
            <w:shd w:fill="F2F4F7" w:val="clear"/>
            <w:tcMar>
              <w:top w:type="dxa" w:w="60"/>
              <w:left w:type="dxa" w:w="90"/>
              <w:bottom w:type="dxa" w:w="60"/>
              <w:right w:type="dxa" w:w="90"/>
            </w:tcMar>
          </w:tcPr>
          <w:p>
            <w:pPr>
              <w:spacing w:after="0" w:line="240" w:lineRule="auto"/>
            </w:pPr>
            <w:r>
              <w:rPr>
                <w:b/>
                <w:bCs/>
                <w:sz w:val="17"/>
                <w:szCs w:val="17"/>
              </w:rPr>
              <w:t xml:space="preserve">Equivalent</w:t>
            </w:r>
          </w:p>
        </w:tc>
      </w:tr>
      <w:tr>
        <w:trPr>
          <w:cantSplit/>
        </w:trPr>
        <w:tc>
          <w:tcPr>
            <w:tcW w:type="dxa" w:w="2600"/>
            <w:tcMar>
              <w:top w:type="dxa" w:w="60"/>
              <w:left w:type="dxa" w:w="90"/>
              <w:bottom w:type="dxa" w:w="60"/>
              <w:right w:type="dxa" w:w="90"/>
            </w:tcMar>
          </w:tcPr>
          <w:p>
            <w:pPr>
              <w:spacing w:after="0" w:line="240" w:lineRule="auto"/>
            </w:pPr>
            <w:r>
              <w:rPr>
                <w:b w:val="false"/>
                <w:bCs w:val="false"/>
                <w:sz w:val="17"/>
                <w:szCs w:val="17"/>
              </w:rPr>
              <w:t xml:space="preserve">Length</w:t>
            </w:r>
          </w:p>
        </w:tc>
        <w:tc>
          <w:tcPr>
            <w:tcW w:type="dxa" w:w="3200"/>
            <w:tcMar>
              <w:top w:type="dxa" w:w="60"/>
              <w:left w:type="dxa" w:w="90"/>
              <w:bottom w:type="dxa" w:w="60"/>
              <w:right w:type="dxa" w:w="90"/>
            </w:tcMar>
          </w:tcPr>
          <w:p>
            <w:pPr>
              <w:spacing w:after="0" w:line="240" w:lineRule="auto"/>
            </w:pPr>
            <w:r>
              <w:rPr>
                <w:b w:val="false"/>
                <w:bCs w:val="false"/>
                <w:sz w:val="17"/>
                <w:szCs w:val="17"/>
              </w:rPr>
              <w:t xml:space="preserve">Bohr (a₀)</w:t>
            </w:r>
          </w:p>
        </w:tc>
        <w:tc>
          <w:tcPr>
            <w:tcW w:type="dxa" w:w="3220"/>
            <w:tcMar>
              <w:top w:type="dxa" w:w="60"/>
              <w:left w:type="dxa" w:w="90"/>
              <w:bottom w:type="dxa" w:w="60"/>
              <w:right w:type="dxa" w:w="90"/>
            </w:tcMar>
          </w:tcPr>
          <w:p>
            <w:pPr>
              <w:spacing w:after="0" w:line="240" w:lineRule="auto"/>
            </w:pPr>
            <w:r>
              <w:rPr>
                <w:b w:val="false"/>
                <w:bCs w:val="false"/>
                <w:sz w:val="17"/>
                <w:szCs w:val="17"/>
              </w:rPr>
              <w:t xml:space="preserve">0.5292 Å</w:t>
            </w:r>
          </w:p>
        </w:tc>
      </w:tr>
      <w:tr>
        <w:trPr>
          <w:cantSplit/>
        </w:trPr>
        <w:tc>
          <w:tcPr>
            <w:tcW w:type="dxa" w:w="2600"/>
            <w:tcMar>
              <w:top w:type="dxa" w:w="60"/>
              <w:left w:type="dxa" w:w="90"/>
              <w:bottom w:type="dxa" w:w="60"/>
              <w:right w:type="dxa" w:w="90"/>
            </w:tcMar>
          </w:tcPr>
          <w:p>
            <w:pPr>
              <w:spacing w:after="0" w:line="240" w:lineRule="auto"/>
            </w:pPr>
            <w:r>
              <w:rPr>
                <w:b w:val="false"/>
                <w:bCs w:val="false"/>
                <w:sz w:val="17"/>
                <w:szCs w:val="17"/>
              </w:rPr>
              <w:t xml:space="preserve">Energy</w:t>
            </w:r>
          </w:p>
        </w:tc>
        <w:tc>
          <w:tcPr>
            <w:tcW w:type="dxa" w:w="3200"/>
            <w:tcMar>
              <w:top w:type="dxa" w:w="60"/>
              <w:left w:type="dxa" w:w="90"/>
              <w:bottom w:type="dxa" w:w="60"/>
              <w:right w:type="dxa" w:w="90"/>
            </w:tcMar>
          </w:tcPr>
          <w:p>
            <w:pPr>
              <w:spacing w:after="0" w:line="240" w:lineRule="auto"/>
            </w:pPr>
            <w:r>
              <w:rPr>
                <w:b w:val="false"/>
                <w:bCs w:val="false"/>
                <w:sz w:val="17"/>
                <w:szCs w:val="17"/>
              </w:rPr>
              <w:t xml:space="preserve">Hartree (Eₕ)</w:t>
            </w:r>
          </w:p>
        </w:tc>
        <w:tc>
          <w:tcPr>
            <w:tcW w:type="dxa" w:w="3220"/>
            <w:tcMar>
              <w:top w:type="dxa" w:w="60"/>
              <w:left w:type="dxa" w:w="90"/>
              <w:bottom w:type="dxa" w:w="60"/>
              <w:right w:type="dxa" w:w="90"/>
            </w:tcMar>
          </w:tcPr>
          <w:p>
            <w:pPr>
              <w:spacing w:after="0" w:line="240" w:lineRule="auto"/>
            </w:pPr>
            <w:r>
              <w:rPr>
                <w:b w:val="false"/>
                <w:bCs w:val="false"/>
                <w:sz w:val="17"/>
                <w:szCs w:val="17"/>
              </w:rPr>
              <w:t xml:space="preserve">2625.50 kJ/mol = 627.51 kcal/mol</w:t>
            </w:r>
          </w:p>
        </w:tc>
      </w:tr>
      <w:tr>
        <w:trPr>
          <w:cantSplit/>
        </w:trPr>
        <w:tc>
          <w:tcPr>
            <w:tcW w:type="dxa" w:w="2600"/>
            <w:tcMar>
              <w:top w:type="dxa" w:w="60"/>
              <w:left w:type="dxa" w:w="90"/>
              <w:bottom w:type="dxa" w:w="60"/>
              <w:right w:type="dxa" w:w="90"/>
            </w:tcMar>
          </w:tcPr>
          <w:p>
            <w:pPr>
              <w:spacing w:after="0" w:line="240" w:lineRule="auto"/>
            </w:pPr>
            <w:r>
              <w:rPr>
                <w:b w:val="false"/>
                <w:bCs w:val="false"/>
                <w:sz w:val="17"/>
                <w:szCs w:val="17"/>
              </w:rPr>
              <w:t xml:space="preserve">Potential</w:t>
            </w:r>
          </w:p>
        </w:tc>
        <w:tc>
          <w:tcPr>
            <w:tcW w:type="dxa" w:w="3200"/>
            <w:tcMar>
              <w:top w:type="dxa" w:w="60"/>
              <w:left w:type="dxa" w:w="90"/>
              <w:bottom w:type="dxa" w:w="60"/>
              <w:right w:type="dxa" w:w="90"/>
            </w:tcMar>
          </w:tcPr>
          <w:p>
            <w:pPr>
              <w:spacing w:after="0" w:line="240" w:lineRule="auto"/>
            </w:pPr>
            <w:r>
              <w:rPr>
                <w:b w:val="false"/>
                <w:bCs w:val="false"/>
                <w:sz w:val="17"/>
                <w:szCs w:val="17"/>
              </w:rPr>
              <w:t xml:space="preserve">Hartree per elementary charge</w:t>
            </w:r>
          </w:p>
        </w:tc>
        <w:tc>
          <w:tcPr>
            <w:tcW w:type="dxa" w:w="3220"/>
            <w:tcMar>
              <w:top w:type="dxa" w:w="60"/>
              <w:left w:type="dxa" w:w="90"/>
              <w:bottom w:type="dxa" w:w="60"/>
              <w:right w:type="dxa" w:w="90"/>
            </w:tcMar>
          </w:tcPr>
          <w:p>
            <w:pPr>
              <w:spacing w:after="0" w:line="240" w:lineRule="auto"/>
            </w:pPr>
            <w:r>
              <w:rPr>
                <w:b w:val="false"/>
                <w:bCs w:val="false"/>
                <w:sz w:val="17"/>
                <w:szCs w:val="17"/>
              </w:rPr>
              <w:t xml:space="preserve">2625.50 kJ/(mol·e)</w:t>
            </w:r>
          </w:p>
        </w:tc>
      </w:tr>
    </w:tbl>
    <w:p>
      <w:pPr>
        <w:spacing w:after="220" w:line="240" w:lineRule="auto"/>
      </w:pPr>
      <w:r>
        <w:rPr>
          <w:i/>
          <w:iCs/>
          <w:color w:val="4A5568"/>
          <w:sz w:val="18"/>
          <w:szCs w:val="18"/>
        </w:rPr>
        <w:t xml:space="preserve">Table 6 — Hence the “/e” in every potential quoted in this report: V is the energy a unit charge would feel at that point. Turbomole computes and writes in atomic units throughout, and the cube format requires Bohr, so no conversion happens between the two — only the structure file, which is in Ångström, has to be converted (§5.3).</w:t>
      </w:r>
    </w:p>
    <w:p>
      <w:pPr>
        <w:pStyle w:val="Heading1"/>
        <w:spacing w:after="160" w:before="360"/>
      </w:pPr>
      <w:r>
        <w:rPr>
          <w:b/>
          <w:bCs/>
          <w:color w:val="1F3864"/>
          <w:sz w:val="30"/>
          <w:szCs w:val="30"/>
        </w:rPr>
        <w:t xml:space="preserve">4  Data</w:t>
      </w:r>
    </w:p>
    <w:p>
      <w:pPr>
        <w:pStyle w:val="Heading2"/>
        <w:spacing w:after="120" w:before="260"/>
      </w:pPr>
      <w:r>
        <w:rPr>
          <w:b/>
          <w:bCs/>
          <w:color w:val="1F3864"/>
          <w:sz w:val="24"/>
          <w:szCs w:val="24"/>
        </w:rPr>
        <w:t xml:space="preserve">4.1  Quantum-chemical input</w:t>
      </w:r>
    </w:p>
    <w:p>
      <w:pPr>
        <w:spacing w:after="120" w:line="276" w:lineRule="auto"/>
      </w:pPr>
      <w:r>
        <w:rPr>
          <w:sz w:val="21"/>
          <w:szCs w:val="21"/>
        </w:rPr>
        <w:t xml:space="preserve">All grids were produced with Turbomole and provided by the supervisor. Each molecule comes as a pair of </w:t>
      </w:r>
      <w:r>
        <w:rPr>
          <w:rFonts w:ascii="Consolas" w:cs="Consolas" w:eastAsia="Consolas" w:hAnsi="Consolas"/>
          <w:sz w:val="21"/>
          <w:szCs w:val="21"/>
        </w:rPr>
        <w:t xml:space="preserve">pointval</w:t>
      </w:r>
      <w:r>
        <w:rPr>
          <w:sz w:val="21"/>
          <w:szCs w:val="21"/>
        </w:rPr>
        <w:t xml:space="preserve"> files: </w:t>
      </w:r>
      <w:r>
        <w:rPr>
          <w:rFonts w:ascii="Consolas" w:cs="Consolas" w:eastAsia="Consolas" w:hAnsi="Consolas"/>
          <w:sz w:val="21"/>
          <w:szCs w:val="21"/>
        </w:rPr>
        <w:t xml:space="preserve">td.xyz</w:t>
      </w:r>
      <w:r>
        <w:rPr>
          <w:sz w:val="21"/>
          <w:szCs w:val="21"/>
        </w:rPr>
        <w:t xml:space="preserve"> holding the electron density and </w:t>
      </w:r>
      <w:r>
        <w:rPr>
          <w:rFonts w:ascii="Consolas" w:cs="Consolas" w:eastAsia="Consolas" w:hAnsi="Consolas"/>
          <w:sz w:val="21"/>
          <w:szCs w:val="21"/>
        </w:rPr>
        <w:t xml:space="preserve">tp.xyz</w:t>
      </w:r>
      <w:r>
        <w:rPr>
          <w:sz w:val="21"/>
          <w:szCs w:val="21"/>
        </w:rPr>
        <w:t xml:space="preserve"> holding the electrostatic potential, on the same grid, plus a structure file in </w:t>
      </w:r>
      <w:r>
        <w:rPr>
          <w:rFonts w:ascii="Consolas" w:cs="Consolas" w:eastAsia="Consolas" w:hAnsi="Consolas"/>
          <w:sz w:val="21"/>
          <w:szCs w:val="21"/>
        </w:rPr>
        <w:t xml:space="preserve">.mol</w:t>
      </w:r>
      <w:r>
        <w:rPr>
          <w:sz w:val="21"/>
          <w:szCs w:val="21"/>
        </w:rPr>
        <w:t xml:space="preserve"> or </w:t>
      </w:r>
      <w:r>
        <w:rPr>
          <w:rFonts w:ascii="Consolas" w:cs="Consolas" w:eastAsia="Consolas" w:hAnsi="Consolas"/>
          <w:sz w:val="21"/>
          <w:szCs w:val="21"/>
        </w:rPr>
        <w:t xml:space="preserve">.xyz</w:t>
      </w:r>
      <w:r>
        <w:rPr>
          <w:sz w:val="21"/>
          <w:szCs w:val="21"/>
        </w:rPr>
        <w:t xml:space="preserve"> format.</w:t>
      </w:r>
    </w:p>
    <w:p>
      <w:pPr>
        <w:spacing w:after="120" w:line="276" w:lineRule="auto"/>
      </w:pPr>
      <w:r>
        <w:rPr>
          <w:b/>
          <w:bCs/>
          <w:sz w:val="21"/>
          <w:szCs w:val="21"/>
        </w:rPr>
        <w:t xml:space="preserve">The method and basis set behind these grids are not documented in this report, because they were not supplied with the data. </w:t>
      </w:r>
      <w:r>
        <w:rPr>
          <w:sz w:val="21"/>
          <w:szCs w:val="21"/>
        </w:rPr>
        <w:t xml:space="preserve">This is a real gap and it limits what the absolute values in §6 may be compared with; see §9.3. One observation can be made from the data itself: the maximum density at the iodine nucleus is 0.26 a.u. against 28793 at the bromine nucleus of bromobenzene, which is only possible if iodine was described by an effective core potential while bromine was treated all-electron. That difference is chemically reasonable and has no effect on the surface properties, but it does affect one of the safety checks (§8.2).</w:t>
      </w:r>
    </w:p>
    <w:p>
      <w:pPr>
        <w:pStyle w:val="Heading2"/>
        <w:spacing w:after="120" w:before="260"/>
      </w:pPr>
      <w:r>
        <w:rPr>
          <w:b/>
          <w:bCs/>
          <w:color w:val="1F3864"/>
          <w:sz w:val="24"/>
          <w:szCs w:val="24"/>
        </w:rPr>
        <w:t xml:space="preserve">4.2  The molecule set</w:t>
      </w:r>
    </w:p>
    <w:tbl>
      <w:tblPr>
        <w:tblW w:type="dxa" w:w="9020"/>
        <w:tblBorders>
          <w:top w:val="single" w:color="B0B7C3" w:sz="4"/>
          <w:left w:val="none"/>
          <w:bottom w:val="single" w:color="B0B7C3" w:sz="4"/>
          <w:right w:val="none"/>
          <w:insideH w:val="single" w:color="D9DEE7" w:sz="2"/>
          <w:insideV w:val="none"/>
        </w:tblBorders>
      </w:tblPr>
      <w:tblGrid>
        <w:gridCol w:w="1500"/>
        <w:gridCol w:w="2600"/>
        <w:gridCol w:w="4920"/>
      </w:tblGrid>
      <w:tr>
        <w:trPr>
          <w:tblHeader/>
        </w:trPr>
        <w:tc>
          <w:tcPr>
            <w:tcW w:type="dxa" w:w="1500"/>
            <w:shd w:fill="F2F4F7" w:val="clear"/>
            <w:tcMar>
              <w:top w:type="dxa" w:w="60"/>
              <w:left w:type="dxa" w:w="90"/>
              <w:bottom w:type="dxa" w:w="60"/>
              <w:right w:type="dxa" w:w="90"/>
            </w:tcMar>
          </w:tcPr>
          <w:p>
            <w:pPr>
              <w:spacing w:after="0" w:line="240" w:lineRule="auto"/>
            </w:pPr>
            <w:r>
              <w:rPr>
                <w:b/>
                <w:bCs/>
                <w:sz w:val="17"/>
                <w:szCs w:val="17"/>
              </w:rPr>
              <w:t xml:space="preserve">Folder</w:t>
            </w:r>
          </w:p>
        </w:tc>
        <w:tc>
          <w:tcPr>
            <w:tcW w:type="dxa" w:w="2600"/>
            <w:shd w:fill="F2F4F7" w:val="clear"/>
            <w:tcMar>
              <w:top w:type="dxa" w:w="60"/>
              <w:left w:type="dxa" w:w="90"/>
              <w:bottom w:type="dxa" w:w="60"/>
              <w:right w:type="dxa" w:w="90"/>
            </w:tcMar>
          </w:tcPr>
          <w:p>
            <w:pPr>
              <w:spacing w:after="0" w:line="240" w:lineRule="auto"/>
            </w:pPr>
            <w:r>
              <w:rPr>
                <w:b/>
                <w:bCs/>
                <w:sz w:val="17"/>
                <w:szCs w:val="17"/>
              </w:rPr>
              <w:t xml:space="preserve">Molecule</w:t>
            </w:r>
          </w:p>
        </w:tc>
        <w:tc>
          <w:tcPr>
            <w:tcW w:type="dxa" w:w="4920"/>
            <w:shd w:fill="F2F4F7" w:val="clear"/>
            <w:tcMar>
              <w:top w:type="dxa" w:w="60"/>
              <w:left w:type="dxa" w:w="90"/>
              <w:bottom w:type="dxa" w:w="60"/>
              <w:right w:type="dxa" w:w="90"/>
            </w:tcMar>
          </w:tcPr>
          <w:p>
            <w:pPr>
              <w:spacing w:after="0" w:line="240" w:lineRule="auto"/>
            </w:pPr>
            <w:r>
              <w:rPr>
                <w:b/>
                <w:bCs/>
                <w:sz w:val="17"/>
                <w:szCs w:val="17"/>
              </w:rPr>
              <w:t xml:space="preserve">Role in the set</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Pyridine</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pyridine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reference point for the substituent series</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Me-Pyr</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4-methylpyridine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electron-donating substituent</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CN-Pyr</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4-cyanopyridine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electron-withdrawing substituent</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NO2-Pyr</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4-nitropyridine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strongly electron-withdrawing substituent</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I-Pyr</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3-iodopyridine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halogen on an electron-poor ring</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Cl-NO2-Pyr</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4-chloro-3-nitropyridine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halogen with an adjacent nitro group</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chlorbenzol</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chlorobenzene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homologous halobenzene series</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brombenzol</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bromobenzene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homologous halobenzene series; the reference molecule of the project</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iodbenzol</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iodobenzene</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homologous halobenzene series</w:t>
            </w:r>
          </w:p>
        </w:tc>
      </w:tr>
      <w:tr>
        <w:trPr>
          <w:cantSplit/>
        </w:trPr>
        <w:tc>
          <w:tcPr>
            <w:tcW w:type="dxa" w:w="1500"/>
            <w:tcMar>
              <w:top w:type="dxa" w:w="60"/>
              <w:left w:type="dxa" w:w="90"/>
              <w:bottom w:type="dxa" w:w="60"/>
              <w:right w:type="dxa" w:w="90"/>
            </w:tcMar>
          </w:tcPr>
          <w:p>
            <w:pPr>
              <w:spacing w:after="0" w:line="240" w:lineRule="auto"/>
            </w:pPr>
            <w:r>
              <w:rPr>
                <w:b w:val="false"/>
                <w:bCs w:val="false"/>
                <w:sz w:val="17"/>
                <w:szCs w:val="17"/>
              </w:rPr>
              <w:t xml:space="preserve">halcion</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triazolam (Halcion)</w:t>
            </w:r>
          </w:p>
        </w:tc>
        <w:tc>
          <w:tcPr>
            <w:tcW w:type="dxa" w:w="4920"/>
            <w:tcMar>
              <w:top w:type="dxa" w:w="60"/>
              <w:left w:type="dxa" w:w="90"/>
              <w:bottom w:type="dxa" w:w="60"/>
              <w:right w:type="dxa" w:w="90"/>
            </w:tcMar>
          </w:tcPr>
          <w:p>
            <w:pPr>
              <w:spacing w:after="0" w:line="240" w:lineRule="auto"/>
            </w:pPr>
            <w:r>
              <w:rPr>
                <w:b w:val="false"/>
                <w:bCs w:val="false"/>
                <w:sz w:val="17"/>
                <w:szCs w:val="17"/>
              </w:rPr>
              <w:t xml:space="preserve">a real, folded drug molecule with two inequivalent chlorines</w:t>
            </w:r>
          </w:p>
        </w:tc>
      </w:tr>
    </w:tbl>
    <w:p>
      <w:pPr>
        <w:spacing w:after="220" w:line="240" w:lineRule="auto"/>
      </w:pPr>
      <w:r>
        <w:rPr>
          <w:i/>
          <w:iCs/>
          <w:color w:val="4A5568"/>
          <w:sz w:val="18"/>
          <w:szCs w:val="18"/>
        </w:rPr>
        <w:t xml:space="preserve">Table 7 — The ten molecules. The first six are the provided pyridine series, the next three the halobenzene series, and triazolam was generated from its SMILES string with the test-data generator in tools/ specifically because the flat model molecules could not test the geometry assumptions of the σ-hole search (§8.3).</w:t>
      </w:r>
    </w:p>
    <w:p>
      <w:pPr>
        <w:spacing w:after="120" w:line="276" w:lineRule="auto"/>
      </w:pPr>
      <w:r>
        <w:rPr>
          <w:sz w:val="21"/>
          <w:szCs w:val="21"/>
        </w:rPr>
        <w:t xml:space="preserve">The design of the set follows the two questions the report asks of the chemistry. The halobenzenes vary the halogen with everything else held constant, which isolates the polarizability trend. The pyridines vary the substituent with the ring held constant, which isolates the electronic effect on the lone pair. </w:t>
      </w:r>
      <w:r>
        <w:rPr>
          <w:sz w:val="21"/>
          <w:szCs w:val="21"/>
        </w:rPr>
        <w:t xml:space="preserve">Triazolam is the stress case: folded, two halogens in different environments, and — as it turned out — the molecule that exposed two defects invisible on the flat ones.</w:t>
      </w:r>
    </w:p>
    <w:p>
      <w:pPr>
        <w:pStyle w:val="Heading1"/>
        <w:spacing w:after="160" w:before="360"/>
      </w:pPr>
      <w:r>
        <w:rPr>
          <w:b/>
          <w:bCs/>
          <w:color w:val="1F3864"/>
          <w:sz w:val="30"/>
          <w:szCs w:val="30"/>
        </w:rPr>
        <w:t xml:space="preserve">5  Methods</w:t>
      </w:r>
    </w:p>
    <w:p>
      <w:pPr>
        <w:pStyle w:val="Heading2"/>
        <w:spacing w:after="120" w:before="260"/>
      </w:pPr>
      <w:r>
        <w:rPr>
          <w:b/>
          <w:bCs/>
          <w:color w:val="1F3864"/>
          <w:sz w:val="24"/>
          <w:szCs w:val="24"/>
        </w:rPr>
        <w:t xml:space="preserve">5.1  Overview of the two pipelines</w:t>
      </w:r>
    </w:p>
    <w:p>
      <w:pPr>
        <w:spacing w:after="120" w:line="276" w:lineRule="auto"/>
      </w:pPr>
      <w:r>
        <w:rPr>
          <w:sz w:val="21"/>
          <w:szCs w:val="21"/>
        </w:rPr>
        <w:t xml:space="preserve">The comparison is end to end, not through a shared intermediate. Each pipeline reads the same raw Turbomole grids, writes its own cube files with its own converter, derives its own surface statistics and colour scale, and renders its own images. </w:t>
      </w:r>
      <w:r>
        <w:rPr>
          <w:sz w:val="21"/>
          <w:szCs w:val="21"/>
        </w:rPr>
        <w:t xml:space="preserve">The only thing shared is the raw data. Anything the two agree on has therefore been computed twice by two independent implementations.</w:t>
      </w:r>
    </w:p>
    <w:p>
      <w:pPr>
        <w:shd w:fill="F2F4F7" w:val="clear"/>
        <w:spacing w:after="160" w:before="100" w:line="240" w:lineRule="auto"/>
        <w:ind w:left="180" w:right="180"/>
      </w:pPr>
      <w:r>
        <w:rPr>
          <w:rFonts w:ascii="Consolas" w:cs="Consolas" w:eastAsia="Consolas" w:hAnsi="Consolas"/>
          <w:sz w:val="18"/>
          <w:szCs w:val="18"/>
        </w:rPr>
        <w:t xml:space="preserve">PyMOL pipeline                          VMD pipeline</w:t>
      </w:r>
      <w:r>
        <w:rPr>
          <w:rFonts w:ascii="Consolas" w:cs="Consolas" w:eastAsia="Consolas" w:hAnsi="Consolas"/>
          <w:sz w:val="18"/>
          <w:szCs w:val="18"/>
        </w:rPr>
        <w:br/>
        <w:t xml:space="preserve"/>
      </w:r>
      <w:r>
        <w:rPr>
          <w:rFonts w:ascii="Consolas" w:cs="Consolas" w:eastAsia="Consolas" w:hAnsi="Consolas"/>
          <w:sz w:val="18"/>
          <w:szCs w:val="18"/>
        </w:rPr>
        <w:br/>
        <w:t xml:space="preserve">td.xyz / tp.xyz  (Turbomole pointval)   td.xyz / tp.xyz   (the same files)</w:t>
      </w:r>
      <w:r>
        <w:rPr>
          <w:rFonts w:ascii="Consolas" w:cs="Consolas" w:eastAsia="Consolas" w:hAnsi="Consolas"/>
          <w:sz w:val="18"/>
          <w:szCs w:val="18"/>
        </w:rPr>
        <w:br/>
        <w:t xml:space="preserve">        |                                       |</w:t>
      </w:r>
      <w:r>
        <w:rPr>
          <w:rFonts w:ascii="Consolas" w:cs="Consolas" w:eastAsia="Consolas" w:hAnsi="Consolas"/>
          <w:sz w:val="18"/>
          <w:szCs w:val="18"/>
        </w:rPr>
        <w:br/>
        <w:t xml:space="preserve">  xyzToCube.py                          xyzToCubeToVMDVis.py</w:t>
      </w:r>
      <w:r>
        <w:rPr>
          <w:rFonts w:ascii="Consolas" w:cs="Consolas" w:eastAsia="Consolas" w:hAnsi="Consolas"/>
          <w:sz w:val="18"/>
          <w:szCs w:val="18"/>
        </w:rPr>
        <w:br/>
        <w:t xml:space="preserve">        |                                       |</w:t>
      </w:r>
      <w:r>
        <w:rPr>
          <w:rFonts w:ascii="Consolas" w:cs="Consolas" w:eastAsia="Consolas" w:hAnsi="Consolas"/>
          <w:sz w:val="18"/>
          <w:szCs w:val="18"/>
        </w:rPr>
        <w:br/>
        <w:t xml:space="preserve">  td.cube / tp.cube                     td.cube / tp.cube</w:t>
      </w:r>
      <w:r>
        <w:rPr>
          <w:rFonts w:ascii="Consolas" w:cs="Consolas" w:eastAsia="Consolas" w:hAnsi="Consolas"/>
          <w:sz w:val="18"/>
          <w:szCs w:val="18"/>
        </w:rPr>
        <w:br/>
        <w:t xml:space="preserve">        |                                       |</w:t>
      </w:r>
      <w:r>
        <w:rPr>
          <w:rFonts w:ascii="Consolas" w:cs="Consolas" w:eastAsia="Consolas" w:hAnsi="Consolas"/>
          <w:sz w:val="18"/>
          <w:szCs w:val="18"/>
        </w:rPr>
        <w:br/>
        <w:t xml:space="preserve">  render_esp.py  -&gt; esp.pml             esp.tcl -&gt; render_espVMD.py</w:t>
      </w:r>
      <w:r>
        <w:rPr>
          <w:rFonts w:ascii="Consolas" w:cs="Consolas" w:eastAsia="Consolas" w:hAnsi="Consolas"/>
          <w:sz w:val="18"/>
          <w:szCs w:val="18"/>
        </w:rPr>
        <w:br/>
        <w:t xml:space="preserve">        |                                       |</w:t>
      </w:r>
      <w:r>
        <w:rPr>
          <w:rFonts w:ascii="Consolas" w:cs="Consolas" w:eastAsia="Consolas" w:hAnsi="Consolas"/>
          <w:sz w:val="18"/>
          <w:szCs w:val="18"/>
        </w:rPr>
        <w:br/>
        <w:t xml:space="preserve">  images/ + summary CSV                 images/ + summary CSV</w:t>
      </w:r>
      <w:r>
        <w:rPr>
          <w:rFonts w:ascii="Consolas" w:cs="Consolas" w:eastAsia="Consolas" w:hAnsi="Consolas"/>
          <w:sz w:val="18"/>
          <w:szCs w:val="18"/>
        </w:rPr>
        <w:br/>
        <w:t xml:space="preserve">        |                                       |</w:t>
      </w:r>
      <w:r>
        <w:rPr>
          <w:rFonts w:ascii="Consolas" w:cs="Consolas" w:eastAsia="Consolas" w:hAnsi="Consolas"/>
          <w:sz w:val="18"/>
          <w:szCs w:val="18"/>
        </w:rPr>
        <w:br/>
        <w:t xml:space="preserve">  run_all.py (batch)                    run_allVMD.py (batch)</w:t>
      </w:r>
    </w:p>
    <w:p>
      <w:pPr>
        <w:pStyle w:val="Heading2"/>
        <w:spacing w:after="120" w:before="260"/>
      </w:pPr>
      <w:r>
        <w:rPr>
          <w:b/>
          <w:bCs/>
          <w:color w:val="1F3864"/>
          <w:sz w:val="24"/>
          <w:szCs w:val="24"/>
        </w:rPr>
        <w:t xml:space="preserve">5.2  From pointval to cube</w:t>
      </w:r>
    </w:p>
    <w:p>
      <w:pPr>
        <w:spacing w:after="120" w:line="276" w:lineRule="auto"/>
      </w:pPr>
      <w:r>
        <w:rPr>
          <w:sz w:val="21"/>
          <w:szCs w:val="21"/>
        </w:rPr>
        <w:t xml:space="preserve">Three things have to be right in the conversion, and each of them was a source of error at some point in development.</w:t>
      </w:r>
    </w:p>
    <w:p>
      <w:pPr>
        <w:spacing w:after="120" w:line="276" w:lineRule="auto"/>
      </w:pPr>
      <w:r>
        <w:rPr>
          <w:b/>
          <w:bCs/>
          <w:sz w:val="21"/>
          <w:szCs w:val="21"/>
        </w:rPr>
        <w:t xml:space="preserve">Units. </w:t>
      </w:r>
      <w:r>
        <w:rPr>
          <w:sz w:val="21"/>
          <w:szCs w:val="21"/>
        </w:rPr>
        <w:t xml:space="preserve">The Turbomole header reads </w:t>
      </w:r>
      <w:r>
        <w:rPr>
          <w:rFonts w:ascii="Consolas" w:cs="Consolas" w:eastAsia="Consolas" w:hAnsi="Consolas"/>
          <w:sz w:val="21"/>
          <w:szCs w:val="21"/>
        </w:rPr>
        <w:t xml:space="preserve">delta 0.120000</w:t>
      </w:r>
      <w:r>
        <w:rPr>
          <w:sz w:val="21"/>
          <w:szCs w:val="21"/>
        </w:rPr>
        <w:t xml:space="preserve">, which looks like Ångström and is Bohr. </w:t>
      </w:r>
      <w:r>
        <w:rPr>
          <w:sz w:val="21"/>
          <w:szCs w:val="21"/>
        </w:rPr>
        <w:t xml:space="preserve">The evidence is direct: on bromobenzene the density maxima along an axis sit at 0.0 and 3.6 grid units, and the structure file places the first carbon at 1.8919 Å, i.e. 3.5747 Bohr. </w:t>
      </w:r>
      <w:r>
        <w:rPr>
          <w:sz w:val="21"/>
          <w:szCs w:val="21"/>
        </w:rPr>
        <w:t xml:space="preserve">Two independent cross-checks agree — the Br–C distance measures 1.905 Å if the grid is read as Bohr, right for an aromatic C–Br bond, and the −15 to +15 box is then 15.9 Å across, which a 7 Å molecule fills about half of. The unit appears nowhere in the file because Turbomole works in atomic units throughout.</w:t>
      </w:r>
    </w:p>
    <w:p>
      <w:pPr>
        <w:spacing w:after="120" w:line="276" w:lineRule="auto"/>
      </w:pPr>
      <w:r>
        <w:rPr>
          <w:b/>
          <w:bCs/>
          <w:sz w:val="21"/>
          <w:szCs w:val="21"/>
        </w:rPr>
        <w:t xml:space="preserve">Index order. </w:t>
      </w:r>
      <w:r>
        <w:rPr>
          <w:sz w:val="21"/>
          <w:szCs w:val="21"/>
        </w:rPr>
        <w:t xml:space="preserve">Turbomole varies x fastest; the Gaussian cube format varies z fastest. The values arrive as one long vector and the interpretation is decided by the shape it is given, so the conversion is a reshape followed by a transpose. Getting this wrong does not produce an error — it produces a mirrored or scrambled molecule that still looks like a molecule.</w:t>
      </w:r>
    </w:p>
    <w:p>
      <w:pPr>
        <w:spacing w:after="120" w:line="276" w:lineRule="auto"/>
      </w:pPr>
      <w:r>
        <w:rPr>
          <w:b/>
          <w:bCs/>
          <w:sz w:val="21"/>
          <w:szCs w:val="21"/>
        </w:rPr>
        <w:t xml:space="preserve">Origin. </w:t>
      </w:r>
      <w:r>
        <w:rPr>
          <w:sz w:val="21"/>
          <w:szCs w:val="21"/>
        </w:rPr>
        <w:t xml:space="preserve">The </w:t>
      </w:r>
      <w:r>
        <w:rPr>
          <w:rFonts w:ascii="Consolas" w:cs="Consolas" w:eastAsia="Consolas" w:hAnsi="Consolas"/>
          <w:sz w:val="21"/>
          <w:szCs w:val="21"/>
        </w:rPr>
        <w:t xml:space="preserve">#origin</w:t>
      </w:r>
      <w:r>
        <w:rPr>
          <w:sz w:val="21"/>
          <w:szCs w:val="21"/>
        </w:rPr>
        <w:t xml:space="preserve"> line stays at zero and the offset sits in the </w:t>
      </w:r>
      <w:r>
        <w:rPr>
          <w:rFonts w:ascii="Consolas" w:cs="Consolas" w:eastAsia="Consolas" w:hAnsi="Consolas"/>
          <w:sz w:val="21"/>
          <w:szCs w:val="21"/>
        </w:rPr>
        <w:t xml:space="preserve">#grid</w:t>
      </w:r>
      <w:r>
        <w:rPr>
          <w:sz w:val="21"/>
          <w:szCs w:val="21"/>
        </w:rPr>
        <w:t xml:space="preserve"> start values. Adding both places the grid twice as far from the origin as the atoms, which is the classic “molecule floating beside its own surface” failure.</w:t>
      </w:r>
    </w:p>
    <w:p>
      <w:pPr>
        <w:spacing w:after="120" w:line="276" w:lineRule="auto"/>
      </w:pPr>
      <w:r>
        <w:rPr>
          <w:sz w:val="21"/>
          <w:szCs w:val="21"/>
        </w:rPr>
        <w:t xml:space="preserve">The converter also handles decimation (</w:t>
      </w:r>
      <w:r>
        <w:rPr>
          <w:rFonts w:ascii="Consolas" w:cs="Consolas" w:eastAsia="Consolas" w:hAnsi="Consolas"/>
          <w:sz w:val="21"/>
          <w:szCs w:val="21"/>
        </w:rPr>
        <w:t xml:space="preserve">--stride</w:t>
      </w:r>
      <w:r>
        <w:rPr>
          <w:sz w:val="21"/>
          <w:szCs w:val="21"/>
        </w:rPr>
        <w:t xml:space="preserve">, §7.2) and writes the cube atomically — to </w:t>
      </w:r>
      <w:r>
        <w:rPr>
          <w:rFonts w:ascii="Consolas" w:cs="Consolas" w:eastAsia="Consolas" w:hAnsi="Consolas"/>
          <w:sz w:val="21"/>
          <w:szCs w:val="21"/>
        </w:rPr>
        <w:t xml:space="preserve">&lt;name&gt;.cube.part</w:t>
      </w:r>
      <w:r>
        <w:rPr>
          <w:sz w:val="21"/>
          <w:szCs w:val="21"/>
        </w:rPr>
        <w:t xml:space="preserve">, renamed only on completion. A full cube is about 200 MB and takes minutes; an interrupted write would otherwise leave a half file with a valid header, which the next run accepts as complete and renders as an isosurface with its back half missing.</w:t>
      </w:r>
    </w:p>
    <w:p>
      <w:pPr>
        <w:pStyle w:val="Heading2"/>
        <w:spacing w:after="120" w:before="260"/>
      </w:pPr>
      <w:r>
        <w:rPr>
          <w:b/>
          <w:bCs/>
          <w:color w:val="1F3864"/>
          <w:sz w:val="24"/>
          <w:szCs w:val="24"/>
        </w:rPr>
        <w:t xml:space="preserve">5.3  Surface statistics</w:t>
      </w:r>
    </w:p>
    <w:p>
      <w:pPr>
        <w:spacing w:after="120" w:line="276" w:lineRule="auto"/>
      </w:pPr>
      <w:r>
        <w:rPr>
          <w:sz w:val="21"/>
          <w:szCs w:val="21"/>
        </w:rPr>
        <w:t xml:space="preserve">The isosurface is not an exact surface but a band of grid points around the isovalue:</w:t>
      </w:r>
    </w:p>
    <w:p>
      <w:pPr>
        <w:shd w:fill="F2F4F7" w:val="clear"/>
        <w:spacing w:after="160" w:before="100" w:line="240" w:lineRule="auto"/>
        <w:ind w:left="180" w:right="180"/>
      </w:pPr>
      <w:r>
        <w:rPr>
          <w:rFonts w:ascii="Consolas" w:cs="Consolas" w:eastAsia="Consolas" w:hAnsi="Consolas"/>
          <w:sz w:val="18"/>
          <w:szCs w:val="18"/>
        </w:rPr>
        <w:t xml:space="preserve">mask = |rho - iso| &lt; iso * 0.12</w:t>
      </w:r>
      <w:r>
        <w:rPr>
          <w:rFonts w:ascii="Consolas" w:cs="Consolas" w:eastAsia="Consolas" w:hAnsi="Consolas"/>
          <w:sz w:val="18"/>
          <w:szCs w:val="18"/>
        </w:rPr>
        <w:br/>
        <w:t xml:space="preserve">if mask.sum() &lt; 50:                 # too thin -&gt; widen</w:t>
      </w:r>
      <w:r>
        <w:rPr>
          <w:rFonts w:ascii="Consolas" w:cs="Consolas" w:eastAsia="Consolas" w:hAnsi="Consolas"/>
          <w:sz w:val="18"/>
          <w:szCs w:val="18"/>
        </w:rPr>
        <w:br/>
        <w:t xml:space="preserve">    mask = |rho - iso| &lt; iso * 0.30</w:t>
      </w:r>
    </w:p>
    <w:p>
      <w:pPr>
        <w:spacing w:after="120" w:line="276" w:lineRule="auto"/>
      </w:pPr>
      <w:r>
        <w:rPr>
          <w:sz w:val="21"/>
          <w:szCs w:val="21"/>
        </w:rPr>
        <w:t xml:space="preserve">V</w:t>
      </w:r>
      <w:r>
        <w:rPr>
          <w:i/>
          <w:iCs/>
          <w:sz w:val="21"/>
          <w:szCs w:val="21"/>
        </w:rPr>
        <w:t xml:space="preserve">S,min</w:t>
      </w:r>
      <w:r>
        <w:rPr>
          <w:sz w:val="21"/>
          <w:szCs w:val="21"/>
        </w:rPr>
        <w:t xml:space="preserve"> and V</w:t>
      </w:r>
      <w:r>
        <w:rPr>
          <w:i/>
          <w:iCs/>
          <w:sz w:val="21"/>
          <w:szCs w:val="21"/>
        </w:rPr>
        <w:t xml:space="preserve">S,max</w:t>
      </w:r>
      <w:r>
        <w:rPr>
          <w:sz w:val="21"/>
          <w:szCs w:val="21"/>
        </w:rPr>
        <w:t xml:space="preserve"> are the extremes of the potential over that band, and the colour range is the larger of the two magnitudes rounded up to a multiple of 0.005 a.u. </w:t>
      </w:r>
      <w:r>
        <w:rPr>
          <w:sz w:val="21"/>
          <w:szCs w:val="21"/>
        </w:rPr>
        <w:t xml:space="preserve">Both pipelines implement this identically, which is why the values in §6.1 agree exactly. The widening rule exists for decimated grids, where a 12 % band can contain too few points to be meaningful.</w:t>
      </w:r>
    </w:p>
    <w:p>
      <w:pPr>
        <w:pStyle w:val="Heading2"/>
        <w:spacing w:after="120" w:before="260"/>
      </w:pPr>
      <w:r>
        <w:rPr>
          <w:b/>
          <w:bCs/>
          <w:color w:val="1F3864"/>
          <w:sz w:val="24"/>
          <w:szCs w:val="24"/>
        </w:rPr>
        <w:t xml:space="preserve">5.4  Locating the σ-hole</w:t>
      </w:r>
    </w:p>
    <w:p>
      <w:pPr>
        <w:spacing w:after="120" w:line="276" w:lineRule="auto"/>
      </w:pPr>
      <w:r>
        <w:rPr>
          <w:sz w:val="21"/>
          <w:szCs w:val="21"/>
        </w:rPr>
        <w:t xml:space="preserve">The σ-hole is a peak </w:t>
      </w:r>
      <w:r>
        <w:rPr>
          <w:i/>
          <w:iCs/>
          <w:sz w:val="21"/>
          <w:szCs w:val="21"/>
        </w:rPr>
        <w:t xml:space="preserve">on</w:t>
      </w:r>
      <w:r>
        <w:rPr>
          <w:sz w:val="21"/>
          <w:szCs w:val="21"/>
        </w:rPr>
        <w:t xml:space="preserve"> the C–X axis. Whether a grid point happens to sit on that axis </w:t>
      </w:r>
      <w:r>
        <w:rPr>
          <w:i/>
          <w:iCs/>
          <w:sz w:val="21"/>
          <w:szCs w:val="21"/>
        </w:rPr>
        <w:t xml:space="preserve">and</w:t>
      </w:r>
      <w:r>
        <w:rPr>
          <w:sz w:val="21"/>
          <w:szCs w:val="21"/>
        </w:rPr>
        <w:t xml:space="preserve"> inside the thin ρ = 0.001 shell at the same time is luck, and on a 126³ grid the best available point for bromobenzene lay 1.14 Bohr off the axis, returning a value 28 % too low.</w:t>
      </w:r>
    </w:p>
    <w:p>
      <w:pPr>
        <w:spacing w:after="120" w:line="276" w:lineRule="auto"/>
      </w:pPr>
      <w:r>
        <w:rPr>
          <w:sz w:val="21"/>
          <w:szCs w:val="21"/>
        </w:rPr>
        <w:t xml:space="preserve">The method used instead is ray marching with trilinear interpolation:</w:t>
      </w:r>
    </w:p>
    <w:p>
      <w:pPr>
        <w:pStyle w:val="ListParagraph"/>
        <w:numPr>
          <w:ilvl w:val="0"/>
          <w:numId w:val="2"/>
        </w:numPr>
        <w:spacing w:after="80" w:line="276" w:lineRule="auto"/>
      </w:pPr>
      <w:r>
        <w:rPr>
          <w:sz w:val="21"/>
          <w:szCs w:val="21"/>
        </w:rPr>
        <w:t xml:space="preserve">Determine the C–X axis of every halogen from the geometry.</w:t>
      </w:r>
    </w:p>
    <w:p>
      <w:pPr>
        <w:pStyle w:val="ListParagraph"/>
        <w:numPr>
          <w:ilvl w:val="0"/>
          <w:numId w:val="2"/>
        </w:numPr>
        <w:spacing w:after="80" w:line="276" w:lineRule="auto"/>
      </w:pPr>
      <w:r>
        <w:rPr>
          <w:sz w:val="21"/>
          <w:szCs w:val="21"/>
        </w:rPr>
        <w:t xml:space="preserve">Cast 400 rays from the halogen into a cone around that axis, distributed evenly in cos θ on a Fibonacci spiral, with the first ray exactly on the axis.</w:t>
      </w:r>
    </w:p>
    <w:p>
      <w:pPr>
        <w:pStyle w:val="ListParagraph"/>
        <w:numPr>
          <w:ilvl w:val="0"/>
          <w:numId w:val="2"/>
        </w:numPr>
        <w:spacing w:after="80" w:line="276" w:lineRule="auto"/>
      </w:pPr>
      <w:r>
        <w:rPr>
          <w:sz w:val="21"/>
          <w:szCs w:val="21"/>
        </w:rPr>
        <w:t xml:space="preserve">Step outwards along each ray in 0.02 Bohr increments, interpolating ρ trilinearly at every step.</w:t>
      </w:r>
    </w:p>
    <w:p>
      <w:pPr>
        <w:pStyle w:val="ListParagraph"/>
        <w:numPr>
          <w:ilvl w:val="0"/>
          <w:numId w:val="2"/>
        </w:numPr>
        <w:spacing w:after="80" w:line="276" w:lineRule="auto"/>
      </w:pPr>
      <w:r>
        <w:rPr>
          <w:sz w:val="21"/>
          <w:szCs w:val="21"/>
        </w:rPr>
        <w:t xml:space="preserve">Take the innermost downward crossing of ρ = 0.001, interpolate the crossing radius linearly, and read V there — again trilinearly.</w:t>
      </w:r>
    </w:p>
    <w:p>
      <w:pPr>
        <w:pStyle w:val="ListParagraph"/>
        <w:numPr>
          <w:ilvl w:val="0"/>
          <w:numId w:val="2"/>
        </w:numPr>
        <w:spacing w:after="80" w:line="276" w:lineRule="auto"/>
      </w:pPr>
      <w:r>
        <w:rPr>
          <w:sz w:val="21"/>
          <w:szCs w:val="21"/>
        </w:rPr>
        <w:t xml:space="preserve">The maximum over all rays is the σ-hole; the angle at which it was found is reported alongside it.</w:t>
      </w:r>
    </w:p>
    <w:p>
      <w:pPr>
        <w:spacing w:after="120" w:line="276" w:lineRule="auto"/>
      </w:pPr>
      <w:r>
        <w:rPr>
          <w:b/>
          <w:bCs/>
          <w:sz w:val="21"/>
          <w:szCs w:val="21"/>
        </w:rPr>
        <w:t xml:space="preserve">Trilinear interpolation is the right tool here and the wrong one at a nucleus. </w:t>
      </w:r>
      <w:r>
        <w:rPr>
          <w:sz w:val="21"/>
          <w:szCs w:val="21"/>
        </w:rPr>
        <w:t xml:space="preserve">On the isosurface the density is smooth and locally almost linear, so interpolation is accurate. At a nucleus the density has a cusp, and linear interpolation can only cut a cusp off — measured at 46 % too low on a coarse grid. The alignment check of §8.2 therefore uses a 3×3×3 maximum instead. Same grid, two places, two different correct answers.</w:t>
      </w:r>
    </w:p>
    <w:p>
      <w:pPr>
        <w:spacing w:after="120" w:line="276" w:lineRule="auto"/>
      </w:pPr>
      <w:r>
        <w:rPr>
          <w:b/>
          <w:bCs/>
          <w:sz w:val="21"/>
          <w:szCs w:val="21"/>
        </w:rPr>
        <w:t xml:space="preserve">The reported angle is the quality control. </w:t>
      </w:r>
      <w:r>
        <w:rPr>
          <w:sz w:val="21"/>
          <w:szCs w:val="21"/>
        </w:rPr>
        <w:t xml:space="preserve">0° means the maximum sits on the axis, the normal case. A few degrees means the σ-hole is tilted by a neighbouring group. A value at the rim of the cone (≈36.9° at the default opening) means there is no maximum inside the cone at all — which is how fluorine reports, reliably, that it has no σ-hole.</w:t>
      </w:r>
    </w:p>
    <w:p>
      <w:pPr>
        <w:spacing w:after="120" w:line="276" w:lineRule="auto"/>
      </w:pPr>
      <w:r>
        <w:rPr>
          <w:sz w:val="21"/>
          <w:szCs w:val="21"/>
        </w:rPr>
        <w:t xml:space="preserve">The halogen belt is the counterpart and is read from grid points rather than rays, because it is not a peak on a known axis: it is the minimum of the potential over the surface points within ±69.5° of the perpendicular to the C–X axis.</w:t>
      </w:r>
    </w:p>
    <w:p>
      <w:pPr>
        <w:pStyle w:val="Heading2"/>
        <w:spacing w:after="120" w:before="260"/>
      </w:pPr>
      <w:r>
        <w:rPr>
          <w:b/>
          <w:bCs/>
          <w:color w:val="1F3864"/>
          <w:sz w:val="24"/>
          <w:szCs w:val="24"/>
        </w:rPr>
        <w:t xml:space="preserve">5.5  Reproducibility</w:t>
      </w:r>
    </w:p>
    <w:p>
      <w:pPr>
        <w:pStyle w:val="ListParagraph"/>
        <w:numPr>
          <w:ilvl w:val="0"/>
          <w:numId w:val="2"/>
        </w:numPr>
        <w:spacing w:after="80" w:line="276" w:lineRule="auto"/>
      </w:pPr>
      <w:r>
        <w:rPr>
          <w:sz w:val="21"/>
          <w:szCs w:val="21"/>
        </w:rPr>
        <w:t xml:space="preserve">Every run writes a *_settings.txt beside the images recording every parameter that produced them, including which render pass produced which view.</w:t>
      </w:r>
    </w:p>
    <w:p>
      <w:pPr>
        <w:pStyle w:val="ListParagraph"/>
        <w:numPr>
          <w:ilvl w:val="0"/>
          <w:numId w:val="2"/>
        </w:numPr>
        <w:spacing w:after="80" w:line="276" w:lineRule="auto"/>
      </w:pPr>
      <w:r>
        <w:rPr>
          <w:sz w:val="21"/>
          <w:szCs w:val="21"/>
        </w:rPr>
        <w:t xml:space="preserve">Every batch writes a time-stamped summary CSV (summary_HH-MM_DD-MM-YYYY.csv), so a later run cannot silently overwrite an earlier one.</w:t>
      </w:r>
    </w:p>
    <w:p>
      <w:pPr>
        <w:pStyle w:val="ListParagraph"/>
        <w:numPr>
          <w:ilvl w:val="0"/>
          <w:numId w:val="2"/>
        </w:numPr>
        <w:spacing w:after="80" w:line="276" w:lineRule="auto"/>
      </w:pPr>
      <w:r>
        <w:rPr>
          <w:sz w:val="21"/>
          <w:szCs w:val="21"/>
        </w:rPr>
        <w:t xml:space="preserve">Both repositories carry a committed reference dataset — a decimated bromobenzene, shipped as raw pointval files rather than cubes so that a self test exercises the converter as well. Running the batch driver without arguments processes it and writes to separate _check names, leaving the committed reference untouched.</w:t>
      </w:r>
    </w:p>
    <w:p>
      <w:pPr>
        <w:pStyle w:val="ListParagraph"/>
        <w:numPr>
          <w:ilvl w:val="0"/>
          <w:numId w:val="2"/>
        </w:numPr>
        <w:spacing w:after="80" w:line="276" w:lineRule="auto"/>
      </w:pPr>
      <w:r>
        <w:rPr>
          <w:sz w:val="21"/>
          <w:szCs w:val="21"/>
        </w:rPr>
        <w:t xml:space="preserve">The σ-hole tool in the VMD repository pins itself to the PyMOL implementation: run without arguments it measures the reference dataset and compares against the value the other pipeline obtains on the same cubes, failing loudly if the two have drifted apart.</w:t>
      </w:r>
    </w:p>
    <w:p>
      <w:pPr>
        <w:pStyle w:val="Heading1"/>
        <w:spacing w:after="160" w:before="360"/>
      </w:pPr>
      <w:r>
        <w:rPr>
          <w:b/>
          <w:bCs/>
          <w:color w:val="1F3864"/>
          <w:sz w:val="30"/>
          <w:szCs w:val="30"/>
        </w:rPr>
        <w:t xml:space="preserve">6  Results</w:t>
      </w:r>
    </w:p>
    <w:p>
      <w:pPr>
        <w:pStyle w:val="Heading2"/>
        <w:spacing w:after="120" w:before="260"/>
      </w:pPr>
      <w:r>
        <w:rPr>
          <w:b/>
          <w:bCs/>
          <w:color w:val="1F3864"/>
          <w:sz w:val="24"/>
          <w:szCs w:val="24"/>
        </w:rPr>
        <w:t xml:space="preserve">6.1  Surface ESP values</w:t>
      </w:r>
    </w:p>
    <w:p>
      <w:pPr>
        <w:spacing w:after="120" w:line="276" w:lineRule="auto"/>
      </w:pPr>
      <w:r>
        <w:rPr>
          <w:sz w:val="21"/>
          <w:szCs w:val="21"/>
        </w:rPr>
        <w:t xml:space="preserve">All values at ρ = 0.001 a.u. Atom labels are element symbol plus the 1-based index into the respective structure file. σ-hole and belt from the ray method; the angle is the deviation of the σ-hole maximum from the C–X axis.</w:t>
      </w:r>
    </w:p>
    <w:tbl>
      <w:tblPr>
        <w:tblW w:type="dxa" w:w="9020"/>
        <w:tblBorders>
          <w:top w:val="single" w:color="B0B7C3" w:sz="4"/>
          <w:left w:val="none"/>
          <w:bottom w:val="single" w:color="B0B7C3" w:sz="4"/>
          <w:right w:val="none"/>
          <w:insideH w:val="single" w:color="D9DEE7" w:sz="2"/>
          <w:insideV w:val="none"/>
        </w:tblBorders>
      </w:tblPr>
      <w:tblGrid>
        <w:gridCol w:w="1495"/>
        <w:gridCol w:w="897"/>
        <w:gridCol w:w="748"/>
        <w:gridCol w:w="1146"/>
        <w:gridCol w:w="1146"/>
        <w:gridCol w:w="1146"/>
        <w:gridCol w:w="748"/>
        <w:gridCol w:w="698"/>
        <w:gridCol w:w="997"/>
      </w:tblGrid>
      <w:tr>
        <w:trPr>
          <w:tblHeader/>
        </w:trPr>
        <w:tc>
          <w:tcPr>
            <w:tcW w:type="dxa" w:w="1495"/>
            <w:shd w:fill="F2F4F7" w:val="clear"/>
            <w:tcMar>
              <w:top w:type="dxa" w:w="60"/>
              <w:left w:type="dxa" w:w="90"/>
              <w:bottom w:type="dxa" w:w="60"/>
              <w:right w:type="dxa" w:w="90"/>
            </w:tcMar>
          </w:tcPr>
          <w:p>
            <w:pPr>
              <w:spacing w:after="0" w:line="240" w:lineRule="auto"/>
            </w:pPr>
            <w:r>
              <w:rPr>
                <w:b/>
                <w:bCs/>
                <w:sz w:val="17"/>
                <w:szCs w:val="17"/>
              </w:rPr>
              <w:t xml:space="preserve">Molecule</w:t>
            </w:r>
          </w:p>
        </w:tc>
        <w:tc>
          <w:tcPr>
            <w:tcW w:type="dxa" w:w="897"/>
            <w:shd w:fill="F2F4F7" w:val="clear"/>
            <w:tcMar>
              <w:top w:type="dxa" w:w="60"/>
              <w:left w:type="dxa" w:w="90"/>
              <w:bottom w:type="dxa" w:w="60"/>
              <w:right w:type="dxa" w:w="90"/>
            </w:tcMar>
          </w:tcPr>
          <w:p>
            <w:pPr>
              <w:spacing w:after="0" w:line="240" w:lineRule="auto"/>
            </w:pPr>
            <w:r>
              <w:rPr>
                <w:b/>
                <w:bCs/>
                <w:sz w:val="17"/>
                <w:szCs w:val="17"/>
              </w:rPr>
              <w:t xml:space="preserve">Grid</w:t>
            </w:r>
          </w:p>
        </w:tc>
        <w:tc>
          <w:tcPr>
            <w:tcW w:type="dxa" w:w="748"/>
            <w:shd w:fill="F2F4F7" w:val="clear"/>
            <w:tcMar>
              <w:top w:type="dxa" w:w="60"/>
              <w:left w:type="dxa" w:w="90"/>
              <w:bottom w:type="dxa" w:w="60"/>
              <w:right w:type="dxa" w:w="90"/>
            </w:tcMar>
          </w:tcPr>
          <w:p>
            <w:pPr>
              <w:spacing w:after="0" w:line="240" w:lineRule="auto"/>
            </w:pPr>
            <w:r>
              <w:rPr>
                <w:b/>
                <w:bCs/>
                <w:sz w:val="17"/>
                <w:szCs w:val="17"/>
              </w:rPr>
              <w:t xml:space="preserve">Shell</w:t>
            </w:r>
          </w:p>
          <w:p>
            <w:pPr>
              <w:spacing w:after="0" w:line="240" w:lineRule="auto"/>
            </w:pPr>
            <w:r>
              <w:rPr>
                <w:b/>
                <w:bCs/>
                <w:sz w:val="17"/>
                <w:szCs w:val="17"/>
              </w:rPr>
              <w:t xml:space="preserve">points</w:t>
            </w:r>
          </w:p>
        </w:tc>
        <w:tc>
          <w:tcPr>
            <w:tcW w:type="dxa" w:w="1146"/>
            <w:shd w:fill="F2F4F7" w:val="clear"/>
            <w:tcMar>
              <w:top w:type="dxa" w:w="60"/>
              <w:left w:type="dxa" w:w="90"/>
              <w:bottom w:type="dxa" w:w="60"/>
              <w:right w:type="dxa" w:w="90"/>
            </w:tcMar>
          </w:tcPr>
          <w:p>
            <w:pPr>
              <w:spacing w:after="0" w:line="240" w:lineRule="auto"/>
            </w:pPr>
            <w:r>
              <w:rPr>
                <w:b/>
                <w:bCs/>
                <w:sz w:val="17"/>
                <w:szCs w:val="17"/>
              </w:rPr>
              <w:t xml:space="preserve">V_S,min</w:t>
            </w:r>
          </w:p>
          <w:p>
            <w:pPr>
              <w:spacing w:after="0" w:line="240" w:lineRule="auto"/>
            </w:pPr>
            <w:r>
              <w:rPr>
                <w:b/>
                <w:bCs/>
                <w:sz w:val="17"/>
                <w:szCs w:val="17"/>
              </w:rPr>
              <w:t xml:space="preserve">(a.u.)</w:t>
            </w:r>
          </w:p>
        </w:tc>
        <w:tc>
          <w:tcPr>
            <w:tcW w:type="dxa" w:w="1146"/>
            <w:shd w:fill="F2F4F7" w:val="clear"/>
            <w:tcMar>
              <w:top w:type="dxa" w:w="60"/>
              <w:left w:type="dxa" w:w="90"/>
              <w:bottom w:type="dxa" w:w="60"/>
              <w:right w:type="dxa" w:w="90"/>
            </w:tcMar>
          </w:tcPr>
          <w:p>
            <w:pPr>
              <w:spacing w:after="0" w:line="240" w:lineRule="auto"/>
            </w:pPr>
            <w:r>
              <w:rPr>
                <w:b/>
                <w:bCs/>
                <w:sz w:val="17"/>
                <w:szCs w:val="17"/>
              </w:rPr>
              <w:t xml:space="preserve">V_S,max</w:t>
            </w:r>
          </w:p>
          <w:p>
            <w:pPr>
              <w:spacing w:after="0" w:line="240" w:lineRule="auto"/>
            </w:pPr>
            <w:r>
              <w:rPr>
                <w:b/>
                <w:bCs/>
                <w:sz w:val="17"/>
                <w:szCs w:val="17"/>
              </w:rPr>
              <w:t xml:space="preserve">(a.u.)</w:t>
            </w:r>
          </w:p>
        </w:tc>
        <w:tc>
          <w:tcPr>
            <w:tcW w:type="dxa" w:w="1146"/>
            <w:shd w:fill="F2F4F7" w:val="clear"/>
            <w:tcMar>
              <w:top w:type="dxa" w:w="60"/>
              <w:left w:type="dxa" w:w="90"/>
              <w:bottom w:type="dxa" w:w="60"/>
              <w:right w:type="dxa" w:w="90"/>
            </w:tcMar>
          </w:tcPr>
          <w:p>
            <w:pPr>
              <w:spacing w:after="0" w:line="240" w:lineRule="auto"/>
            </w:pPr>
            <w:r>
              <w:rPr>
                <w:b/>
                <w:bCs/>
                <w:sz w:val="17"/>
                <w:szCs w:val="17"/>
              </w:rPr>
              <w:t xml:space="preserve">σ-hole</w:t>
            </w:r>
          </w:p>
          <w:p>
            <w:pPr>
              <w:spacing w:after="0" w:line="240" w:lineRule="auto"/>
            </w:pPr>
            <w:r>
              <w:rPr>
                <w:b/>
                <w:bCs/>
                <w:sz w:val="17"/>
                <w:szCs w:val="17"/>
              </w:rPr>
              <w:t xml:space="preserve">(a.u.)</w:t>
            </w:r>
          </w:p>
        </w:tc>
        <w:tc>
          <w:tcPr>
            <w:tcW w:type="dxa" w:w="748"/>
            <w:shd w:fill="F2F4F7" w:val="clear"/>
            <w:tcMar>
              <w:top w:type="dxa" w:w="60"/>
              <w:left w:type="dxa" w:w="90"/>
              <w:bottom w:type="dxa" w:w="60"/>
              <w:right w:type="dxa" w:w="90"/>
            </w:tcMar>
          </w:tcPr>
          <w:p>
            <w:pPr>
              <w:spacing w:after="0" w:line="240" w:lineRule="auto"/>
            </w:pPr>
            <w:r>
              <w:rPr>
                <w:b/>
                <w:bCs/>
                <w:sz w:val="17"/>
                <w:szCs w:val="17"/>
              </w:rPr>
              <w:t xml:space="preserve">kcal/</w:t>
            </w:r>
          </w:p>
          <w:p>
            <w:pPr>
              <w:spacing w:after="0" w:line="240" w:lineRule="auto"/>
            </w:pPr>
            <w:r>
              <w:rPr>
                <w:b/>
                <w:bCs/>
                <w:sz w:val="17"/>
                <w:szCs w:val="17"/>
              </w:rPr>
              <w:t xml:space="preserve">(mol·e)</w:t>
            </w:r>
          </w:p>
        </w:tc>
        <w:tc>
          <w:tcPr>
            <w:tcW w:type="dxa" w:w="698"/>
            <w:shd w:fill="F2F4F7" w:val="clear"/>
            <w:tcMar>
              <w:top w:type="dxa" w:w="60"/>
              <w:left w:type="dxa" w:w="90"/>
              <w:bottom w:type="dxa" w:w="60"/>
              <w:right w:type="dxa" w:w="90"/>
            </w:tcMar>
          </w:tcPr>
          <w:p>
            <w:pPr>
              <w:spacing w:after="0" w:line="240" w:lineRule="auto"/>
            </w:pPr>
            <w:r>
              <w:rPr>
                <w:b/>
                <w:bCs/>
                <w:sz w:val="17"/>
                <w:szCs w:val="17"/>
              </w:rPr>
              <w:t xml:space="preserve">Angle</w:t>
            </w:r>
          </w:p>
        </w:tc>
        <w:tc>
          <w:tcPr>
            <w:tcW w:type="dxa" w:w="997"/>
            <w:shd w:fill="F2F4F7" w:val="clear"/>
            <w:tcMar>
              <w:top w:type="dxa" w:w="60"/>
              <w:left w:type="dxa" w:w="90"/>
              <w:bottom w:type="dxa" w:w="60"/>
              <w:right w:type="dxa" w:w="90"/>
            </w:tcMar>
          </w:tcPr>
          <w:p>
            <w:pPr>
              <w:spacing w:after="0" w:line="240" w:lineRule="auto"/>
            </w:pPr>
            <w:r>
              <w:rPr>
                <w:b/>
                <w:bCs/>
                <w:sz w:val="17"/>
                <w:szCs w:val="17"/>
              </w:rPr>
              <w:t xml:space="preserve">Belt</w:t>
            </w:r>
          </w:p>
          <w:p>
            <w:pPr>
              <w:spacing w:after="0" w:line="240" w:lineRule="auto"/>
            </w:pPr>
            <w:r>
              <w:rPr>
                <w:b/>
                <w:bCs/>
                <w:sz w:val="17"/>
                <w:szCs w:val="17"/>
              </w:rPr>
              <w:t xml:space="preserve">(a.u.)</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pyridine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12447</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−0.06500</w:t>
            </w:r>
          </w:p>
          <w:p>
            <w:pPr>
              <w:spacing w:after="0" w:line="240" w:lineRule="auto"/>
            </w:pPr>
            <w:r>
              <w:rPr>
                <w:b w:val="false"/>
                <w:bCs w:val="false"/>
                <w:sz w:val="17"/>
                <w:szCs w:val="17"/>
              </w:rPr>
              <w:t xml:space="preserve">(N7)</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+0.03959</w:t>
            </w:r>
          </w:p>
          <w:p>
            <w:pPr>
              <w:spacing w:after="0" w:line="240" w:lineRule="auto"/>
            </w:pPr>
            <w:r>
              <w:rPr>
                <w:b w:val="false"/>
                <w:bCs w:val="false"/>
                <w:sz w:val="17"/>
                <w:szCs w:val="17"/>
              </w:rPr>
              <w:t xml:space="preserve">(H6)</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4-methylpyridine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14641</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−0.06779</w:t>
            </w:r>
          </w:p>
          <w:p>
            <w:pPr>
              <w:spacing w:after="0" w:line="240" w:lineRule="auto"/>
            </w:pPr>
            <w:r>
              <w:rPr>
                <w:b w:val="false"/>
                <w:bCs w:val="false"/>
                <w:sz w:val="17"/>
                <w:szCs w:val="17"/>
              </w:rPr>
              <w:t xml:space="preserve">(N10)</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+0.03647</w:t>
            </w:r>
          </w:p>
          <w:p>
            <w:pPr>
              <w:spacing w:after="0" w:line="240" w:lineRule="auto"/>
            </w:pPr>
            <w:r>
              <w:rPr>
                <w:b w:val="false"/>
                <w:bCs w:val="false"/>
                <w:sz w:val="17"/>
                <w:szCs w:val="17"/>
              </w:rPr>
              <w:t xml:space="preserve">(H12)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4-cyanopyridine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14505</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−0.05927</w:t>
            </w:r>
          </w:p>
          <w:p>
            <w:pPr>
              <w:spacing w:after="0" w:line="240" w:lineRule="auto"/>
            </w:pPr>
            <w:r>
              <w:rPr>
                <w:b w:val="false"/>
                <w:bCs w:val="false"/>
                <w:sz w:val="17"/>
                <w:szCs w:val="17"/>
              </w:rPr>
              <w:t xml:space="preserve">(N3)</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+0.05025</w:t>
            </w:r>
          </w:p>
          <w:p>
            <w:pPr>
              <w:spacing w:after="0" w:line="240" w:lineRule="auto"/>
            </w:pPr>
            <w:r>
              <w:rPr>
                <w:b w:val="false"/>
                <w:bCs w:val="false"/>
                <w:sz w:val="17"/>
                <w:szCs w:val="17"/>
              </w:rPr>
              <w:t xml:space="preserve">(H8)</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4-nitropyridine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14452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−0.04712</w:t>
            </w:r>
          </w:p>
          <w:p>
            <w:pPr>
              <w:spacing w:after="0" w:line="240" w:lineRule="auto"/>
            </w:pPr>
            <w:r>
              <w:rPr>
                <w:b w:val="false"/>
                <w:bCs w:val="false"/>
                <w:sz w:val="17"/>
                <w:szCs w:val="17"/>
              </w:rPr>
              <w:t xml:space="preserve">(N2)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+0.04487</w:t>
            </w:r>
          </w:p>
          <w:p>
            <w:pPr>
              <w:spacing w:after="0" w:line="240" w:lineRule="auto"/>
            </w:pPr>
            <w:r>
              <w:rPr>
                <w:b w:val="false"/>
                <w:bCs w:val="false"/>
                <w:sz w:val="17"/>
                <w:szCs w:val="17"/>
              </w:rPr>
              <w:t xml:space="preserve">(H12)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3-iodopyridine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16843</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−0.05638</w:t>
            </w:r>
          </w:p>
          <w:p>
            <w:pPr>
              <w:spacing w:after="0" w:line="240" w:lineRule="auto"/>
            </w:pPr>
            <w:r>
              <w:rPr>
                <w:b w:val="false"/>
                <w:bCs w:val="false"/>
                <w:sz w:val="17"/>
                <w:szCs w:val="17"/>
              </w:rPr>
              <w:t xml:space="preserve">(N8)</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+0.04594</w:t>
            </w:r>
          </w:p>
          <w:p>
            <w:pPr>
              <w:spacing w:after="0" w:line="240" w:lineRule="auto"/>
            </w:pPr>
            <w:r>
              <w:rPr>
                <w:b w:val="false"/>
                <w:bCs w:val="false"/>
                <w:sz w:val="17"/>
                <w:szCs w:val="17"/>
              </w:rPr>
              <w:t xml:space="preserve">(H10)</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+0.03441</w:t>
            </w:r>
          </w:p>
          <w:p>
            <w:pPr>
              <w:spacing w:after="0" w:line="240" w:lineRule="auto"/>
            </w:pPr>
            <w:r>
              <w:rPr>
                <w:b w:val="false"/>
                <w:bCs w:val="false"/>
                <w:sz w:val="17"/>
                <w:szCs w:val="17"/>
              </w:rPr>
              <w:t xml:space="preserve">(I7)</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+21.6</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0.0°</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−0.01147</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4-chloro-3-nitro-</w:t>
            </w:r>
          </w:p>
          <w:p>
            <w:pPr>
              <w:spacing w:after="0" w:line="240" w:lineRule="auto"/>
            </w:pPr>
            <w:r>
              <w:rPr>
                <w:b w:val="false"/>
                <w:bCs w:val="false"/>
                <w:sz w:val="17"/>
                <w:szCs w:val="17"/>
              </w:rPr>
              <w:t xml:space="preserve">pyridine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16332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−0.04545</w:t>
            </w:r>
          </w:p>
          <w:p>
            <w:pPr>
              <w:spacing w:after="0" w:line="240" w:lineRule="auto"/>
            </w:pPr>
            <w:r>
              <w:rPr>
                <w:b w:val="false"/>
                <w:bCs w:val="false"/>
                <w:sz w:val="17"/>
                <w:szCs w:val="17"/>
              </w:rPr>
              <w:t xml:space="preserve">(O8)</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+0.05825</w:t>
            </w:r>
          </w:p>
          <w:p>
            <w:pPr>
              <w:spacing w:after="0" w:line="240" w:lineRule="auto"/>
            </w:pPr>
            <w:r>
              <w:rPr>
                <w:b w:val="false"/>
                <w:bCs w:val="false"/>
                <w:sz w:val="17"/>
                <w:szCs w:val="17"/>
              </w:rPr>
              <w:t xml:space="preserve">(H12)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+0.02508</w:t>
            </w:r>
          </w:p>
          <w:p>
            <w:pPr>
              <w:spacing w:after="0" w:line="240" w:lineRule="auto"/>
            </w:pPr>
            <w:r>
              <w:rPr>
                <w:b w:val="false"/>
                <w:bCs w:val="false"/>
                <w:sz w:val="17"/>
                <w:szCs w:val="17"/>
              </w:rPr>
              <w:t xml:space="preserve">(Cl10)</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+15.7</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6.4°</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−0.03091</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chlorobenzene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35592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−0.01896</w:t>
            </w:r>
          </w:p>
          <w:p>
            <w:pPr>
              <w:spacing w:after="0" w:line="240" w:lineRule="auto"/>
            </w:pPr>
            <w:r>
              <w:rPr>
                <w:b w:val="false"/>
                <w:bCs w:val="false"/>
                <w:sz w:val="17"/>
                <w:szCs w:val="17"/>
              </w:rPr>
              <w:t xml:space="preserve">(Cl12)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+0.03129</w:t>
            </w:r>
          </w:p>
          <w:p>
            <w:pPr>
              <w:spacing w:after="0" w:line="240" w:lineRule="auto"/>
            </w:pPr>
            <w:r>
              <w:rPr>
                <w:b w:val="false"/>
                <w:bCs w:val="false"/>
                <w:sz w:val="17"/>
                <w:szCs w:val="17"/>
              </w:rPr>
              <w:t xml:space="preserve">(H9)</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+0.00786</w:t>
            </w:r>
          </w:p>
          <w:p>
            <w:pPr>
              <w:spacing w:after="0" w:line="240" w:lineRule="auto"/>
            </w:pPr>
            <w:r>
              <w:rPr>
                <w:b w:val="false"/>
                <w:bCs w:val="false"/>
                <w:sz w:val="17"/>
                <w:szCs w:val="17"/>
              </w:rPr>
              <w:t xml:space="preserve">(Cl12)</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+4.9</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0.0°</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−0.01896</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bromobenzene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38010</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−0.01882</w:t>
            </w:r>
          </w:p>
          <w:p>
            <w:pPr>
              <w:spacing w:after="0" w:line="240" w:lineRule="auto"/>
            </w:pPr>
            <w:r>
              <w:rPr>
                <w:b w:val="false"/>
                <w:bCs w:val="false"/>
                <w:sz w:val="17"/>
                <w:szCs w:val="17"/>
              </w:rPr>
              <w:t xml:space="preserve">(Br12)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+0.03154</w:t>
            </w:r>
          </w:p>
          <w:p>
            <w:pPr>
              <w:spacing w:after="0" w:line="240" w:lineRule="auto"/>
            </w:pPr>
            <w:r>
              <w:rPr>
                <w:b w:val="false"/>
                <w:bCs w:val="false"/>
                <w:sz w:val="17"/>
                <w:szCs w:val="17"/>
              </w:rPr>
              <w:t xml:space="preserve">(H7)</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+0.01629</w:t>
            </w:r>
          </w:p>
          <w:p>
            <w:pPr>
              <w:spacing w:after="0" w:line="240" w:lineRule="auto"/>
            </w:pPr>
            <w:r>
              <w:rPr>
                <w:b w:val="false"/>
                <w:bCs w:val="false"/>
                <w:sz w:val="17"/>
                <w:szCs w:val="17"/>
              </w:rPr>
              <w:t xml:space="preserve">(Br12)</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+10.2</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0.0°</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−0.01882</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iodobenzene</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41631</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−0.01685</w:t>
            </w:r>
          </w:p>
          <w:p>
            <w:pPr>
              <w:spacing w:after="0" w:line="240" w:lineRule="auto"/>
            </w:pPr>
            <w:r>
              <w:rPr>
                <w:b w:val="false"/>
                <w:bCs w:val="false"/>
                <w:sz w:val="17"/>
                <w:szCs w:val="17"/>
              </w:rPr>
              <w:t xml:space="preserve">(I12)</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+0.03168</w:t>
            </w:r>
          </w:p>
          <w:p>
            <w:pPr>
              <w:spacing w:after="0" w:line="240" w:lineRule="auto"/>
            </w:pPr>
            <w:r>
              <w:rPr>
                <w:b w:val="false"/>
                <w:bCs w:val="false"/>
                <w:sz w:val="17"/>
                <w:szCs w:val="17"/>
              </w:rPr>
              <w:t xml:space="preserve">(H5)</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+0.02559</w:t>
            </w:r>
          </w:p>
          <w:p>
            <w:pPr>
              <w:spacing w:after="0" w:line="240" w:lineRule="auto"/>
            </w:pPr>
            <w:r>
              <w:rPr>
                <w:b w:val="false"/>
                <w:bCs w:val="false"/>
                <w:sz w:val="17"/>
                <w:szCs w:val="17"/>
              </w:rPr>
              <w:t xml:space="preserve">(I12)</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+16.1</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0.0°</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−0.01685</w:t>
            </w:r>
          </w:p>
        </w:tc>
      </w:tr>
      <w:tr>
        <w:trPr>
          <w:cantSplit/>
        </w:trPr>
        <w:tc>
          <w:tcPr>
            <w:tcW w:type="dxa" w:w="1495"/>
            <w:tcMar>
              <w:top w:type="dxa" w:w="60"/>
              <w:left w:type="dxa" w:w="90"/>
              <w:bottom w:type="dxa" w:w="60"/>
              <w:right w:type="dxa" w:w="90"/>
            </w:tcMar>
          </w:tcPr>
          <w:p>
            <w:pPr>
              <w:spacing w:after="0" w:line="240" w:lineRule="auto"/>
            </w:pPr>
            <w:r>
              <w:rPr>
                <w:b w:val="false"/>
                <w:bCs w:val="false"/>
                <w:sz w:val="17"/>
                <w:szCs w:val="17"/>
              </w:rPr>
              <w:t xml:space="preserve">triazolam</w:t>
            </w:r>
          </w:p>
        </w:tc>
        <w:tc>
          <w:tcPr>
            <w:tcW w:type="dxa" w:w="897"/>
            <w:tcMar>
              <w:top w:type="dxa" w:w="60"/>
              <w:left w:type="dxa" w:w="90"/>
              <w:bottom w:type="dxa" w:w="60"/>
              <w:right w:type="dxa" w:w="90"/>
            </w:tcMar>
          </w:tcPr>
          <w:p>
            <w:pPr>
              <w:spacing w:after="0" w:line="240" w:lineRule="auto"/>
            </w:pPr>
            <w:r>
              <w:rPr>
                <w:b w:val="false"/>
                <w:bCs w:val="false"/>
                <w:sz w:val="17"/>
                <w:szCs w:val="17"/>
              </w:rPr>
              <w:t xml:space="preserve">132×101</w:t>
            </w:r>
          </w:p>
          <w:p>
            <w:pPr>
              <w:spacing w:after="0" w:line="240" w:lineRule="auto"/>
            </w:pPr>
            <w:r>
              <w:rPr>
                <w:b w:val="false"/>
                <w:bCs w:val="false"/>
                <w:sz w:val="17"/>
                <w:szCs w:val="17"/>
              </w:rPr>
              <w:t xml:space="preserve">×106</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8146</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−0.08429</w:t>
            </w:r>
          </w:p>
          <w:p>
            <w:pPr>
              <w:spacing w:after="0" w:line="240" w:lineRule="auto"/>
            </w:pPr>
            <w:r>
              <w:rPr>
                <w:b w:val="false"/>
                <w:bCs w:val="false"/>
                <w:sz w:val="17"/>
                <w:szCs w:val="17"/>
              </w:rPr>
              <w:t xml:space="preserve">(N4)</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+0.05432</w:t>
            </w:r>
          </w:p>
          <w:p>
            <w:pPr>
              <w:spacing w:after="0" w:line="240" w:lineRule="auto"/>
            </w:pPr>
            <w:r>
              <w:rPr>
                <w:b w:val="false"/>
                <w:bCs w:val="false"/>
                <w:sz w:val="17"/>
                <w:szCs w:val="17"/>
              </w:rPr>
              <w:t xml:space="preserve">(H27)</w:t>
            </w:r>
          </w:p>
        </w:tc>
        <w:tc>
          <w:tcPr>
            <w:tcW w:type="dxa" w:w="1146"/>
            <w:tcMar>
              <w:top w:type="dxa" w:w="60"/>
              <w:left w:type="dxa" w:w="90"/>
              <w:bottom w:type="dxa" w:w="60"/>
              <w:right w:type="dxa" w:w="90"/>
            </w:tcMar>
          </w:tcPr>
          <w:p>
            <w:pPr>
              <w:spacing w:after="0" w:line="240" w:lineRule="auto"/>
            </w:pPr>
            <w:r>
              <w:rPr>
                <w:b w:val="false"/>
                <w:bCs w:val="false"/>
                <w:sz w:val="17"/>
                <w:szCs w:val="17"/>
              </w:rPr>
              <w:t xml:space="preserve">+0.01709</w:t>
            </w:r>
          </w:p>
          <w:p>
            <w:pPr>
              <w:spacing w:after="0" w:line="240" w:lineRule="auto"/>
            </w:pPr>
            <w:r>
              <w:rPr>
                <w:b w:val="false"/>
                <w:bCs w:val="false"/>
                <w:sz w:val="17"/>
                <w:szCs w:val="17"/>
              </w:rPr>
              <w:t xml:space="preserve">(Cl21)</w:t>
            </w:r>
          </w:p>
          <w:p>
            <w:pPr>
              <w:spacing w:after="0" w:line="240" w:lineRule="auto"/>
            </w:pPr>
            <w:r>
              <w:rPr>
                <w:b w:val="false"/>
                <w:bCs w:val="false"/>
                <w:sz w:val="17"/>
                <w:szCs w:val="17"/>
              </w:rPr>
              <w:t xml:space="preserve">+0.01440</w:t>
            </w:r>
          </w:p>
          <w:p>
            <w:pPr>
              <w:spacing w:after="0" w:line="240" w:lineRule="auto"/>
            </w:pPr>
            <w:r>
              <w:rPr>
                <w:b w:val="false"/>
                <w:bCs w:val="false"/>
                <w:sz w:val="17"/>
                <w:szCs w:val="17"/>
              </w:rPr>
              <w:t xml:space="preserve">(Cl11)</w:t>
            </w:r>
          </w:p>
        </w:tc>
        <w:tc>
          <w:tcPr>
            <w:tcW w:type="dxa" w:w="748"/>
            <w:tcMar>
              <w:top w:type="dxa" w:w="60"/>
              <w:left w:type="dxa" w:w="90"/>
              <w:bottom w:type="dxa" w:w="60"/>
              <w:right w:type="dxa" w:w="90"/>
            </w:tcMar>
          </w:tcPr>
          <w:p>
            <w:pPr>
              <w:spacing w:after="0" w:line="240" w:lineRule="auto"/>
            </w:pPr>
            <w:r>
              <w:rPr>
                <w:b w:val="false"/>
                <w:bCs w:val="false"/>
                <w:sz w:val="17"/>
                <w:szCs w:val="17"/>
              </w:rPr>
              <w:t xml:space="preserve">+10.7</w:t>
            </w:r>
          </w:p>
          <w:p>
            <w:pPr>
              <w:spacing w:after="0" w:line="240" w:lineRule="auto"/>
            </w:pPr>
            <w:r>
              <w:rPr>
                <w:b w:val="false"/>
                <w:bCs w:val="false"/>
                <w:sz w:val="17"/>
                <w:szCs w:val="17"/>
              </w:rPr>
              <w:t xml:space="preserve">+9.0</w:t>
            </w:r>
          </w:p>
        </w:tc>
        <w:tc>
          <w:tcPr>
            <w:tcW w:type="dxa" w:w="698"/>
            <w:tcMar>
              <w:top w:type="dxa" w:w="60"/>
              <w:left w:type="dxa" w:w="90"/>
              <w:bottom w:type="dxa" w:w="60"/>
              <w:right w:type="dxa" w:w="90"/>
            </w:tcMar>
          </w:tcPr>
          <w:p>
            <w:pPr>
              <w:spacing w:after="0" w:line="240" w:lineRule="auto"/>
            </w:pPr>
            <w:r>
              <w:rPr>
                <w:b w:val="false"/>
                <w:bCs w:val="false"/>
                <w:sz w:val="17"/>
                <w:szCs w:val="17"/>
              </w:rPr>
              <w:t xml:space="preserve">3.8°</w:t>
            </w:r>
          </w:p>
          <w:p>
            <w:pPr>
              <w:spacing w:after="0" w:line="240" w:lineRule="auto"/>
            </w:pPr>
            <w:r>
              <w:rPr>
                <w:b w:val="false"/>
                <w:bCs w:val="false"/>
                <w:sz w:val="17"/>
                <w:szCs w:val="17"/>
              </w:rPr>
              <w:t xml:space="preserve">1.3°</w:t>
            </w:r>
          </w:p>
        </w:tc>
        <w:tc>
          <w:tcPr>
            <w:tcW w:type="dxa" w:w="997"/>
            <w:tcMar>
              <w:top w:type="dxa" w:w="60"/>
              <w:left w:type="dxa" w:w="90"/>
              <w:bottom w:type="dxa" w:w="60"/>
              <w:right w:type="dxa" w:w="90"/>
            </w:tcMar>
          </w:tcPr>
          <w:p>
            <w:pPr>
              <w:spacing w:after="0" w:line="240" w:lineRule="auto"/>
            </w:pPr>
            <w:r>
              <w:rPr>
                <w:b w:val="false"/>
                <w:bCs w:val="false"/>
                <w:sz w:val="17"/>
                <w:szCs w:val="17"/>
              </w:rPr>
              <w:t xml:space="preserve">−0.01836</w:t>
            </w:r>
          </w:p>
          <w:p>
            <w:pPr>
              <w:spacing w:after="0" w:line="240" w:lineRule="auto"/>
            </w:pPr>
            <w:r>
              <w:rPr>
                <w:b w:val="false"/>
                <w:bCs w:val="false"/>
                <w:sz w:val="17"/>
                <w:szCs w:val="17"/>
              </w:rPr>
              <w:t xml:space="preserve">−0.01095</w:t>
            </w:r>
          </w:p>
        </w:tc>
      </w:tr>
    </w:tbl>
    <w:p>
      <w:pPr>
        <w:spacing w:after="220" w:line="240" w:lineRule="auto"/>
      </w:pPr>
      <w:r>
        <w:rPr>
          <w:i/>
          <w:iCs/>
          <w:color w:val="4A5568"/>
          <w:sz w:val="18"/>
          <w:szCs w:val="18"/>
        </w:rPr>
        <w:t xml:space="preserve">Table 8 — Complete result set, from the batch run of 31 August 2026. Both pipelines produce the V_S columns; the σ-hole, angle and belt columns come from the ray method (§5.4).</w:t>
      </w:r>
    </w:p>
    <w:p>
      <w:pPr>
        <w:pStyle w:val="Heading2"/>
        <w:spacing w:after="120" w:before="260"/>
      </w:pPr>
      <w:r>
        <w:rPr>
          <w:b/>
          <w:bCs/>
          <w:color w:val="1F3864"/>
          <w:sz w:val="24"/>
          <w:szCs w:val="24"/>
        </w:rPr>
        <w:t xml:space="preserve">6.2  The halobenzene series</w:t>
      </w:r>
    </w:p>
    <w:p>
      <w:pPr>
        <w:spacing w:after="80" w:before="140"/>
        <w:jc w:val="center"/>
      </w:pPr>
      <w:r>
        <w:drawing>
          <wp:inline distT="0" distB="0" distL="0" distR="0">
            <wp:extent cx="5810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571750"/>
                    </a:xfrm>
                    <a:prstGeom prst="rect">
                      <a:avLst/>
                    </a:prstGeom>
                  </pic:spPr>
                </pic:pic>
              </a:graphicData>
            </a:graphic>
          </wp:inline>
        </w:drawing>
      </w:r>
    </w:p>
    <w:p>
      <w:pPr>
        <w:spacing w:after="220" w:line="240" w:lineRule="auto"/>
      </w:pPr>
      <w:r>
        <w:rPr>
          <w:i/>
          <w:iCs/>
          <w:color w:val="4A5568"/>
          <w:sz w:val="18"/>
          <w:szCs w:val="18"/>
        </w:rPr>
        <w:t xml:space="preserve">Figure 2 — The view along the C–X axis for chlorobenzene, bromobenzene and iodobenzene. PyMOL above, VMD below, identical data, identical isovalue, identical ±0.0350 a.u. scale throughout. The σ-hole grows from a pale centre through a defined blue disc to a large saturated cap.</w:t>
      </w:r>
    </w:p>
    <w:p>
      <w:pPr>
        <w:spacing w:after="120" w:line="276" w:lineRule="auto"/>
      </w:pPr>
      <w:r>
        <w:rPr>
          <w:sz w:val="21"/>
          <w:szCs w:val="21"/>
        </w:rPr>
        <w:t xml:space="preserve">The series behaves exactly as the polarizability argument predicts: +4.9, +10.2 and +16.1 kcal/(mol·e) for chlorine, bromine and iodine, a factor of 3.3 across the three. </w:t>
      </w:r>
      <w:r>
        <w:rPr>
          <w:sz w:val="21"/>
          <w:szCs w:val="21"/>
        </w:rPr>
        <w:t xml:space="preserve">The heavier the halogen, the more its electron density is drawn towards the bond and the more of the nuclear charge is exposed on the far side.</w:t>
      </w:r>
    </w:p>
    <w:p>
      <w:pPr>
        <w:spacing w:after="120" w:line="276" w:lineRule="auto"/>
      </w:pPr>
      <w:r>
        <w:rPr>
          <w:b/>
          <w:bCs/>
          <w:sz w:val="21"/>
          <w:szCs w:val="21"/>
        </w:rPr>
        <w:t xml:space="preserve">The belt moves in the opposite direction and by much less: </w:t>
      </w:r>
      <w:r>
        <w:rPr>
          <w:sz w:val="21"/>
          <w:szCs w:val="21"/>
        </w:rPr>
        <w:t xml:space="preserve">−0.01896, −0.01882 and −0.01685 a.u. — becoming slightly less negative as the halogen gets heavier and more polarizable. </w:t>
      </w:r>
      <w:r>
        <w:rPr>
          <w:sz w:val="21"/>
          <w:szCs w:val="21"/>
        </w:rPr>
        <w:t xml:space="preserve">The anisotropy of the halogen therefore increases in both senses at once, but the σ-hole is by far the more sensitive of the two.</w:t>
      </w:r>
    </w:p>
    <w:p>
      <w:pPr>
        <w:spacing w:after="120" w:line="276" w:lineRule="auto"/>
      </w:pPr>
      <w:r>
        <w:rPr>
          <w:sz w:val="21"/>
          <w:szCs w:val="21"/>
        </w:rPr>
        <w:t xml:space="preserve">Note also what does not change. The global V</w:t>
      </w:r>
      <w:r>
        <w:rPr>
          <w:i/>
          <w:iCs/>
          <w:sz w:val="21"/>
          <w:szCs w:val="21"/>
        </w:rPr>
        <w:t xml:space="preserve">S,max</w:t>
      </w:r>
      <w:r>
        <w:rPr>
          <w:sz w:val="21"/>
          <w:szCs w:val="21"/>
        </w:rPr>
        <w:t xml:space="preserve"> is +19.6, +19.8 and +19.9 kcal/(mol·e) — agreement to 1.3 % — because in all three molecules the global maximum is the same aromatic C–H. This is the empirical justification for §3.4.</w:t>
      </w:r>
    </w:p>
    <w:p>
      <w:pPr>
        <w:pStyle w:val="Heading2"/>
        <w:spacing w:after="120" w:before="260"/>
      </w:pPr>
      <w:r>
        <w:rPr>
          <w:b/>
          <w:bCs/>
          <w:color w:val="1F3864"/>
          <w:sz w:val="24"/>
          <w:szCs w:val="24"/>
        </w:rPr>
        <w:t xml:space="preserve">6.3  The pyridine series</w:t>
      </w:r>
    </w:p>
    <w:p>
      <w:pPr>
        <w:spacing w:after="80" w:before="140"/>
        <w:jc w:val="center"/>
      </w:pPr>
      <w:r>
        <w:drawing>
          <wp:inline distT="0" distB="0" distL="0" distR="0">
            <wp:extent cx="4572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33650"/>
                    </a:xfrm>
                    <a:prstGeom prst="rect">
                      <a:avLst/>
                    </a:prstGeom>
                  </pic:spPr>
                </pic:pic>
              </a:graphicData>
            </a:graphic>
          </wp:inline>
        </w:drawing>
      </w:r>
    </w:p>
    <w:p>
      <w:pPr>
        <w:spacing w:after="220" w:line="240" w:lineRule="auto"/>
      </w:pPr>
      <w:r>
        <w:rPr>
          <w:i/>
          <w:iCs/>
          <w:color w:val="4A5568"/>
          <w:sz w:val="18"/>
          <w:szCs w:val="18"/>
        </w:rPr>
        <w:t xml:space="preserve">Figure 3 — The π face of pyridine (left, scale ±0.0700 a.u.) and 4-nitropyridine (right, ±0.0500 a.u.). The ring nitrogen is the deep red lone pair at the top left of each; the nitro group of the right-hand molecule pulls density out of the ring, and the lone pair becomes measurably less negative. Note that the two colour scales differ — the images must be read with their colour bars, not against each other.</w:t>
      </w:r>
    </w:p>
    <w:p>
      <w:pPr>
        <w:spacing w:after="120" w:line="276" w:lineRule="auto"/>
      </w:pPr>
      <w:r>
        <w:rPr>
          <w:sz w:val="21"/>
          <w:szCs w:val="21"/>
        </w:rPr>
        <w:t xml:space="preserve">In five of the six pyridines V</w:t>
      </w:r>
      <w:r>
        <w:rPr>
          <w:i/>
          <w:iCs/>
          <w:sz w:val="21"/>
          <w:szCs w:val="21"/>
        </w:rPr>
        <w:t xml:space="preserve">S,min</w:t>
      </w:r>
      <w:r>
        <w:rPr>
          <w:sz w:val="21"/>
          <w:szCs w:val="21"/>
        </w:rPr>
        <w:t xml:space="preserve"> sits on the ring nitrogen — on the lone pair, not on the π system. </w:t>
      </w:r>
      <w:r>
        <w:rPr>
          <w:sz w:val="21"/>
          <w:szCs w:val="21"/>
        </w:rPr>
        <w:t xml:space="preserve">The substituent shifts it in the expected direction and by a large amount: methyl −0.06779, unsubstituted pyridine −0.06500, cyano −0.05927, nitro −0.04712 a.u. That is a span of 0.0207 a.u., 54 kJ/(mol·e), or 31 % of the unsubstituted value, from changing one substituent at the far end of the ring.</w:t>
      </w:r>
    </w:p>
    <w:p>
      <w:pPr>
        <w:spacing w:after="120" w:line="276" w:lineRule="auto"/>
      </w:pPr>
      <w:r>
        <w:rPr>
          <w:sz w:val="21"/>
          <w:szCs w:val="21"/>
        </w:rPr>
        <w:t xml:space="preserve">The exception is 4-chloro-3-nitropyridine, where V</w:t>
      </w:r>
      <w:r>
        <w:rPr>
          <w:i/>
          <w:iCs/>
          <w:sz w:val="21"/>
          <w:szCs w:val="21"/>
        </w:rPr>
        <w:t xml:space="preserve">S,min</w:t>
      </w:r>
      <w:r>
        <w:rPr>
          <w:sz w:val="21"/>
          <w:szCs w:val="21"/>
        </w:rPr>
        <w:t xml:space="preserve"> has moved off the ring nitrogen onto a nitro oxygen (O8). With two electron-withdrawing groups the lone pair is depleted enough that the nitro oxygens become the most negative site on the molecule.</w:t>
      </w:r>
    </w:p>
    <w:p>
      <w:pPr>
        <w:spacing w:after="120" w:line="276" w:lineRule="auto"/>
      </w:pPr>
      <w:r>
        <w:rPr>
          <w:b/>
          <w:bCs/>
          <w:sz w:val="21"/>
          <w:szCs w:val="21"/>
        </w:rPr>
        <w:t xml:space="preserve">The ring carries over to the σ-hole, and this is the most useful design observation in the set. </w:t>
      </w:r>
      <w:r>
        <w:rPr>
          <w:sz w:val="21"/>
          <w:szCs w:val="21"/>
        </w:rPr>
        <w:t xml:space="preserve">3-Iodopyridine reaches +0.03441 a.u. (+21.6 kcal/(mol·e)) against +0.02559 (+16.1) for iodobenzene: the same C–I bond on an electron-poorer ring is 34 % stronger. </w:t>
      </w:r>
      <w:r>
        <w:rPr>
          <w:sz w:val="21"/>
          <w:szCs w:val="21"/>
        </w:rPr>
        <w:t xml:space="preserve">4-Chloro-3-nitropyridine is more dramatic still — its chlorine reaches +0.02508 against +0.00786 on chlorobenzene, more than three times as much, so that a chlorine in the right electronic environment produces a σ-hole comparable to an iodine in a neutral one. </w:t>
      </w:r>
      <w:r>
        <w:rPr>
          <w:sz w:val="21"/>
          <w:szCs w:val="21"/>
        </w:rPr>
        <w:t xml:space="preserve">For a medicinal chemist that is the actionable result: the ring matters as much as the halogen.</w:t>
      </w:r>
    </w:p>
    <w:p>
      <w:pPr>
        <w:spacing w:after="120" w:line="276" w:lineRule="auto"/>
      </w:pPr>
      <w:r>
        <w:rPr>
          <w:sz w:val="21"/>
          <w:szCs w:val="21"/>
        </w:rPr>
        <w:t xml:space="preserve">It is also the only σ-hole in the set that is not on the bond axis. Its maximum sits 6.4° off, pushed there by the neighbouring nitro group; every other halogen here reports 0.0° or, in triazolam, a few degrees.</w:t>
      </w:r>
    </w:p>
    <w:p>
      <w:pPr>
        <w:pStyle w:val="Heading2"/>
        <w:spacing w:after="120" w:before="260"/>
      </w:pPr>
      <w:r>
        <w:rPr>
          <w:b/>
          <w:bCs/>
          <w:color w:val="1F3864"/>
          <w:sz w:val="24"/>
          <w:szCs w:val="24"/>
        </w:rPr>
        <w:t xml:space="preserve">6.4  Comparison with published values</w:t>
      </w:r>
    </w:p>
    <w:p>
      <w:pPr>
        <w:spacing w:after="120" w:line="276" w:lineRule="auto"/>
      </w:pPr>
      <w:r>
        <w:rPr>
          <w:sz w:val="21"/>
          <w:szCs w:val="21"/>
        </w:rPr>
        <w:t xml:space="preserve">The values above are internally consistent, but internal consistency is not correctness. The halobenzenes are the right molecules for an external check, because they are among the most frequently computed σ-hole systems in the literature.</w:t>
      </w:r>
    </w:p>
    <w:tbl>
      <w:tblPr>
        <w:tblW w:type="dxa" w:w="9020"/>
        <w:tblBorders>
          <w:top w:val="single" w:color="B0B7C3" w:sz="4"/>
          <w:left w:val="none"/>
          <w:bottom w:val="single" w:color="B0B7C3" w:sz="4"/>
          <w:right w:val="none"/>
          <w:insideH w:val="single" w:color="D9DEE7" w:sz="2"/>
          <w:insideV w:val="none"/>
        </w:tblBorders>
      </w:tblPr>
      <w:tblGrid>
        <w:gridCol w:w="1814"/>
        <w:gridCol w:w="1241"/>
        <w:gridCol w:w="1623"/>
        <w:gridCol w:w="1909"/>
        <w:gridCol w:w="1193"/>
        <w:gridCol w:w="1241"/>
      </w:tblGrid>
      <w:tr>
        <w:trPr>
          <w:tblHeader/>
        </w:trPr>
        <w:tc>
          <w:tcPr>
            <w:tcW w:type="dxa" w:w="1814"/>
            <w:shd w:fill="F2F4F7" w:val="clear"/>
            <w:tcMar>
              <w:top w:type="dxa" w:w="60"/>
              <w:left w:type="dxa" w:w="90"/>
              <w:bottom w:type="dxa" w:w="60"/>
              <w:right w:type="dxa" w:w="90"/>
            </w:tcMar>
          </w:tcPr>
          <w:p>
            <w:pPr>
              <w:spacing w:after="0" w:line="240" w:lineRule="auto"/>
            </w:pPr>
            <w:r>
              <w:rPr>
                <w:b/>
                <w:bCs/>
                <w:sz w:val="17"/>
                <w:szCs w:val="17"/>
              </w:rPr>
              <w:t xml:space="preserve">Molecule</w:t>
            </w:r>
          </w:p>
        </w:tc>
        <w:tc>
          <w:tcPr>
            <w:tcW w:type="dxa" w:w="1241"/>
            <w:shd w:fill="F2F4F7" w:val="clear"/>
            <w:tcMar>
              <w:top w:type="dxa" w:w="60"/>
              <w:left w:type="dxa" w:w="90"/>
              <w:bottom w:type="dxa" w:w="60"/>
              <w:right w:type="dxa" w:w="90"/>
            </w:tcMar>
          </w:tcPr>
          <w:p>
            <w:pPr>
              <w:spacing w:after="0" w:line="240" w:lineRule="auto"/>
            </w:pPr>
            <w:r>
              <w:rPr>
                <w:b/>
                <w:bCs/>
                <w:sz w:val="17"/>
                <w:szCs w:val="17"/>
              </w:rPr>
              <w:t xml:space="preserve">This work</w:t>
            </w:r>
          </w:p>
        </w:tc>
        <w:tc>
          <w:tcPr>
            <w:tcW w:type="dxa" w:w="1623"/>
            <w:shd w:fill="F2F4F7" w:val="clear"/>
            <w:tcMar>
              <w:top w:type="dxa" w:w="60"/>
              <w:left w:type="dxa" w:w="90"/>
              <w:bottom w:type="dxa" w:w="60"/>
              <w:right w:type="dxa" w:w="90"/>
            </w:tcMar>
          </w:tcPr>
          <w:p>
            <w:pPr>
              <w:spacing w:after="0" w:line="240" w:lineRule="auto"/>
            </w:pPr>
            <w:r>
              <w:rPr>
                <w:b/>
                <w:bCs/>
                <w:sz w:val="17"/>
                <w:szCs w:val="17"/>
              </w:rPr>
              <w:t xml:space="preserve">Riley 2011</w:t>
            </w:r>
          </w:p>
          <w:p>
            <w:pPr>
              <w:spacing w:after="0" w:line="240" w:lineRule="auto"/>
            </w:pPr>
            <w:r>
              <w:rPr>
                <w:b/>
                <w:bCs/>
                <w:sz w:val="17"/>
                <w:szCs w:val="17"/>
              </w:rPr>
              <w:t xml:space="preserve">B3PW91/6-311G*</w:t>
            </w:r>
          </w:p>
        </w:tc>
        <w:tc>
          <w:tcPr>
            <w:tcW w:type="dxa" w:w="1909"/>
            <w:shd w:fill="F2F4F7" w:val="clear"/>
            <w:tcMar>
              <w:top w:type="dxa" w:w="60"/>
              <w:left w:type="dxa" w:w="90"/>
              <w:bottom w:type="dxa" w:w="60"/>
              <w:right w:type="dxa" w:w="90"/>
            </w:tcMar>
          </w:tcPr>
          <w:p>
            <w:pPr>
              <w:spacing w:after="0" w:line="240" w:lineRule="auto"/>
            </w:pPr>
            <w:r>
              <w:rPr>
                <w:b/>
                <w:bCs/>
                <w:sz w:val="17"/>
                <w:szCs w:val="17"/>
              </w:rPr>
              <w:t xml:space="preserve">Devore 2024</w:t>
            </w:r>
          </w:p>
          <w:p>
            <w:pPr>
              <w:spacing w:after="0" w:line="240" w:lineRule="auto"/>
            </w:pPr>
            <w:r>
              <w:rPr>
                <w:b/>
                <w:bCs/>
                <w:sz w:val="17"/>
                <w:szCs w:val="17"/>
              </w:rPr>
              <w:t xml:space="preserve">M06-2X/aug-cc-pVDZ(-PP)</w:t>
            </w:r>
          </w:p>
        </w:tc>
        <w:tc>
          <w:tcPr>
            <w:tcW w:type="dxa" w:w="1193"/>
            <w:shd w:fill="F2F4F7" w:val="clear"/>
            <w:tcMar>
              <w:top w:type="dxa" w:w="60"/>
              <w:left w:type="dxa" w:w="90"/>
              <w:bottom w:type="dxa" w:w="60"/>
              <w:right w:type="dxa" w:w="90"/>
            </w:tcMar>
          </w:tcPr>
          <w:p>
            <w:pPr>
              <w:spacing w:after="0" w:line="240" w:lineRule="auto"/>
            </w:pPr>
            <w:r>
              <w:rPr>
                <w:b/>
                <w:bCs/>
                <w:sz w:val="17"/>
                <w:szCs w:val="17"/>
              </w:rPr>
              <w:t xml:space="preserve">Heidrich 2019</w:t>
            </w:r>
          </w:p>
        </w:tc>
        <w:tc>
          <w:tcPr>
            <w:tcW w:type="dxa" w:w="1241"/>
            <w:shd w:fill="F2F4F7" w:val="clear"/>
            <w:tcMar>
              <w:top w:type="dxa" w:w="60"/>
              <w:left w:type="dxa" w:w="90"/>
              <w:bottom w:type="dxa" w:w="60"/>
              <w:right w:type="dxa" w:w="90"/>
            </w:tcMar>
          </w:tcPr>
          <w:p>
            <w:pPr>
              <w:spacing w:after="0" w:line="240" w:lineRule="auto"/>
            </w:pPr>
            <w:r>
              <w:rPr>
                <w:b/>
                <w:bCs/>
                <w:sz w:val="17"/>
                <w:szCs w:val="17"/>
              </w:rPr>
              <w:t xml:space="preserve">Literature</w:t>
            </w:r>
          </w:p>
          <w:p>
            <w:pPr>
              <w:spacing w:after="0" w:line="240" w:lineRule="auto"/>
            </w:pPr>
            <w:r>
              <w:rPr>
                <w:b/>
                <w:bCs/>
                <w:sz w:val="17"/>
                <w:szCs w:val="17"/>
              </w:rPr>
              <w:t xml:space="preserve">range</w:t>
            </w:r>
          </w:p>
        </w:tc>
      </w:tr>
      <w:tr>
        <w:trPr>
          <w:cantSplit/>
        </w:trPr>
        <w:tc>
          <w:tcPr>
            <w:tcW w:type="dxa" w:w="1814"/>
            <w:tcMar>
              <w:top w:type="dxa" w:w="60"/>
              <w:left w:type="dxa" w:w="90"/>
              <w:bottom w:type="dxa" w:w="60"/>
              <w:right w:type="dxa" w:w="90"/>
            </w:tcMar>
          </w:tcPr>
          <w:p>
            <w:pPr>
              <w:spacing w:after="0" w:line="240" w:lineRule="auto"/>
            </w:pPr>
            <w:r>
              <w:rPr>
                <w:b w:val="false"/>
                <w:bCs w:val="false"/>
                <w:sz w:val="17"/>
                <w:szCs w:val="17"/>
              </w:rPr>
              <w:t xml:space="preserve">chlorobenzene</w:t>
            </w:r>
          </w:p>
        </w:tc>
        <w:tc>
          <w:tcPr>
            <w:tcW w:type="dxa" w:w="1241"/>
            <w:tcMar>
              <w:top w:type="dxa" w:w="60"/>
              <w:left w:type="dxa" w:w="90"/>
              <w:bottom w:type="dxa" w:w="60"/>
              <w:right w:type="dxa" w:w="90"/>
            </w:tcMar>
          </w:tcPr>
          <w:p>
            <w:pPr>
              <w:spacing w:after="0" w:line="240" w:lineRule="auto"/>
            </w:pPr>
            <w:r>
              <w:rPr>
                <w:b w:val="false"/>
                <w:bCs w:val="false"/>
                <w:sz w:val="17"/>
                <w:szCs w:val="17"/>
              </w:rPr>
              <w:t xml:space="preserve">+4.9</w:t>
            </w:r>
          </w:p>
        </w:tc>
        <w:tc>
          <w:tcPr>
            <w:tcW w:type="dxa" w:w="1623"/>
            <w:tcMar>
              <w:top w:type="dxa" w:w="60"/>
              <w:left w:type="dxa" w:w="90"/>
              <w:bottom w:type="dxa" w:w="60"/>
              <w:right w:type="dxa" w:w="90"/>
            </w:tcMar>
          </w:tcPr>
          <w:p>
            <w:pPr>
              <w:spacing w:after="0" w:line="240" w:lineRule="auto"/>
            </w:pPr>
            <w:r>
              <w:rPr>
                <w:b w:val="false"/>
                <w:bCs w:val="false"/>
                <w:sz w:val="17"/>
                <w:szCs w:val="17"/>
              </w:rPr>
              <w:t xml:space="preserve">+5.3</w:t>
            </w:r>
          </w:p>
        </w:tc>
        <w:tc>
          <w:tcPr>
            <w:tcW w:type="dxa" w:w="1909"/>
            <w:tcMar>
              <w:top w:type="dxa" w:w="60"/>
              <w:left w:type="dxa" w:w="90"/>
              <w:bottom w:type="dxa" w:w="60"/>
              <w:right w:type="dxa" w:w="90"/>
            </w:tcMar>
          </w:tcPr>
          <w:p>
            <w:pPr>
              <w:spacing w:after="0" w:line="240" w:lineRule="auto"/>
            </w:pPr>
            <w:r>
              <w:rPr>
                <w:b w:val="false"/>
                <w:bCs w:val="false"/>
                <w:sz w:val="17"/>
                <w:szCs w:val="17"/>
              </w:rPr>
              <w:t xml:space="preserve">+4.1</w:t>
            </w:r>
          </w:p>
        </w:tc>
        <w:tc>
          <w:tcPr>
            <w:tcW w:type="dxa" w:w="1193"/>
            <w:tcMar>
              <w:top w:type="dxa" w:w="60"/>
              <w:left w:type="dxa" w:w="90"/>
              <w:bottom w:type="dxa" w:w="60"/>
              <w:right w:type="dxa" w:w="90"/>
            </w:tcMar>
          </w:tcPr>
          <w:p>
            <w:pPr>
              <w:spacing w:after="0" w:line="240" w:lineRule="auto"/>
            </w:pPr>
            <w:r>
              <w:rPr>
                <w:b w:val="false"/>
                <w:bCs w:val="false"/>
                <w:sz w:val="17"/>
                <w:szCs w:val="17"/>
              </w:rPr>
              <w:t xml:space="preserve">≈5.0</w:t>
            </w:r>
          </w:p>
        </w:tc>
        <w:tc>
          <w:tcPr>
            <w:tcW w:type="dxa" w:w="1241"/>
            <w:tcMar>
              <w:top w:type="dxa" w:w="60"/>
              <w:left w:type="dxa" w:w="90"/>
              <w:bottom w:type="dxa" w:w="60"/>
              <w:right w:type="dxa" w:w="90"/>
            </w:tcMar>
          </w:tcPr>
          <w:p>
            <w:pPr>
              <w:spacing w:after="0" w:line="240" w:lineRule="auto"/>
            </w:pPr>
            <w:r>
              <w:rPr>
                <w:b w:val="false"/>
                <w:bCs w:val="false"/>
                <w:sz w:val="17"/>
                <w:szCs w:val="17"/>
              </w:rPr>
              <w:t xml:space="preserve">4.1 – 5.3</w:t>
            </w:r>
          </w:p>
        </w:tc>
      </w:tr>
      <w:tr>
        <w:trPr>
          <w:cantSplit/>
        </w:trPr>
        <w:tc>
          <w:tcPr>
            <w:tcW w:type="dxa" w:w="1814"/>
            <w:tcMar>
              <w:top w:type="dxa" w:w="60"/>
              <w:left w:type="dxa" w:w="90"/>
              <w:bottom w:type="dxa" w:w="60"/>
              <w:right w:type="dxa" w:w="90"/>
            </w:tcMar>
          </w:tcPr>
          <w:p>
            <w:pPr>
              <w:spacing w:after="0" w:line="240" w:lineRule="auto"/>
            </w:pPr>
            <w:r>
              <w:rPr>
                <w:b w:val="false"/>
                <w:bCs w:val="false"/>
                <w:sz w:val="17"/>
                <w:szCs w:val="17"/>
              </w:rPr>
              <w:t xml:space="preserve">bromobenzene</w:t>
            </w:r>
          </w:p>
        </w:tc>
        <w:tc>
          <w:tcPr>
            <w:tcW w:type="dxa" w:w="1241"/>
            <w:tcMar>
              <w:top w:type="dxa" w:w="60"/>
              <w:left w:type="dxa" w:w="90"/>
              <w:bottom w:type="dxa" w:w="60"/>
              <w:right w:type="dxa" w:w="90"/>
            </w:tcMar>
          </w:tcPr>
          <w:p>
            <w:pPr>
              <w:spacing w:after="0" w:line="240" w:lineRule="auto"/>
            </w:pPr>
            <w:r>
              <w:rPr>
                <w:b w:val="false"/>
                <w:bCs w:val="false"/>
                <w:sz w:val="17"/>
                <w:szCs w:val="17"/>
              </w:rPr>
              <w:t xml:space="preserve">+10.2</w:t>
            </w:r>
          </w:p>
        </w:tc>
        <w:tc>
          <w:tcPr>
            <w:tcW w:type="dxa" w:w="1623"/>
            <w:tcMar>
              <w:top w:type="dxa" w:w="60"/>
              <w:left w:type="dxa" w:w="90"/>
              <w:bottom w:type="dxa" w:w="60"/>
              <w:right w:type="dxa" w:w="90"/>
            </w:tcMar>
          </w:tcPr>
          <w:p>
            <w:pPr>
              <w:spacing w:after="0" w:line="240" w:lineRule="auto"/>
            </w:pPr>
            <w:r>
              <w:rPr>
                <w:b w:val="false"/>
                <w:bCs w:val="false"/>
                <w:sz w:val="17"/>
                <w:szCs w:val="17"/>
              </w:rPr>
              <w:t xml:space="preserve">+12.2</w:t>
            </w:r>
          </w:p>
        </w:tc>
        <w:tc>
          <w:tcPr>
            <w:tcW w:type="dxa" w:w="1909"/>
            <w:tcMar>
              <w:top w:type="dxa" w:w="60"/>
              <w:left w:type="dxa" w:w="90"/>
              <w:bottom w:type="dxa" w:w="60"/>
              <w:right w:type="dxa" w:w="90"/>
            </w:tcMar>
          </w:tcPr>
          <w:p>
            <w:pPr>
              <w:spacing w:after="0" w:line="240" w:lineRule="auto"/>
            </w:pPr>
            <w:r>
              <w:rPr>
                <w:b w:val="false"/>
                <w:bCs w:val="false"/>
                <w:sz w:val="17"/>
                <w:szCs w:val="17"/>
              </w:rPr>
              <w:t xml:space="preserve">+10.9</w:t>
            </w:r>
          </w:p>
        </w:tc>
        <w:tc>
          <w:tcPr>
            <w:tcW w:type="dxa" w:w="1193"/>
            <w:tcMar>
              <w:top w:type="dxa" w:w="60"/>
              <w:left w:type="dxa" w:w="90"/>
              <w:bottom w:type="dxa" w:w="60"/>
              <w:right w:type="dxa" w:w="90"/>
            </w:tcMar>
          </w:tcPr>
          <w:p>
            <w:pPr>
              <w:spacing w:after="0" w:line="240" w:lineRule="auto"/>
            </w:pPr>
            <w:r>
              <w:rPr>
                <w:b w:val="false"/>
                <w:bCs w:val="false"/>
                <w:sz w:val="17"/>
                <w:szCs w:val="17"/>
              </w:rPr>
              <w:t xml:space="preserve">≈10.0</w:t>
            </w:r>
          </w:p>
        </w:tc>
        <w:tc>
          <w:tcPr>
            <w:tcW w:type="dxa" w:w="1241"/>
            <w:tcMar>
              <w:top w:type="dxa" w:w="60"/>
              <w:left w:type="dxa" w:w="90"/>
              <w:bottom w:type="dxa" w:w="60"/>
              <w:right w:type="dxa" w:w="90"/>
            </w:tcMar>
          </w:tcPr>
          <w:p>
            <w:pPr>
              <w:spacing w:after="0" w:line="240" w:lineRule="auto"/>
            </w:pPr>
            <w:r>
              <w:rPr>
                <w:b w:val="false"/>
                <w:bCs w:val="false"/>
                <w:sz w:val="17"/>
                <w:szCs w:val="17"/>
              </w:rPr>
              <w:t xml:space="preserve">10.0 – 12.2</w:t>
            </w:r>
          </w:p>
        </w:tc>
      </w:tr>
      <w:tr>
        <w:trPr>
          <w:cantSplit/>
        </w:trPr>
        <w:tc>
          <w:tcPr>
            <w:tcW w:type="dxa" w:w="1814"/>
            <w:tcMar>
              <w:top w:type="dxa" w:w="60"/>
              <w:left w:type="dxa" w:w="90"/>
              <w:bottom w:type="dxa" w:w="60"/>
              <w:right w:type="dxa" w:w="90"/>
            </w:tcMar>
          </w:tcPr>
          <w:p>
            <w:pPr>
              <w:spacing w:after="0" w:line="240" w:lineRule="auto"/>
            </w:pPr>
            <w:r>
              <w:rPr>
                <w:b w:val="false"/>
                <w:bCs w:val="false"/>
                <w:sz w:val="17"/>
                <w:szCs w:val="17"/>
              </w:rPr>
              <w:t xml:space="preserve">iodobenzene</w:t>
            </w:r>
          </w:p>
        </w:tc>
        <w:tc>
          <w:tcPr>
            <w:tcW w:type="dxa" w:w="1241"/>
            <w:tcMar>
              <w:top w:type="dxa" w:w="60"/>
              <w:left w:type="dxa" w:w="90"/>
              <w:bottom w:type="dxa" w:w="60"/>
              <w:right w:type="dxa" w:w="90"/>
            </w:tcMar>
          </w:tcPr>
          <w:p>
            <w:pPr>
              <w:spacing w:after="0" w:line="240" w:lineRule="auto"/>
            </w:pPr>
            <w:r>
              <w:rPr>
                <w:b w:val="false"/>
                <w:bCs w:val="false"/>
                <w:sz w:val="17"/>
                <w:szCs w:val="17"/>
              </w:rPr>
              <w:t xml:space="preserve">+16.1</w:t>
            </w:r>
          </w:p>
        </w:tc>
        <w:tc>
          <w:tcPr>
            <w:tcW w:type="dxa" w:w="1623"/>
            <w:tcMar>
              <w:top w:type="dxa" w:w="60"/>
              <w:left w:type="dxa" w:w="90"/>
              <w:bottom w:type="dxa" w:w="60"/>
              <w:right w:type="dxa" w:w="90"/>
            </w:tcMar>
          </w:tcPr>
          <w:p>
            <w:pPr>
              <w:spacing w:after="0" w:line="240" w:lineRule="auto"/>
            </w:pPr>
            <w:r>
              <w:rPr>
                <w:b w:val="false"/>
                <w:bCs w:val="false"/>
                <w:sz w:val="17"/>
                <w:szCs w:val="17"/>
              </w:rPr>
              <w:t xml:space="preserve">+17.3</w:t>
            </w:r>
          </w:p>
        </w:tc>
        <w:tc>
          <w:tcPr>
            <w:tcW w:type="dxa" w:w="1909"/>
            <w:tcMar>
              <w:top w:type="dxa" w:w="60"/>
              <w:left w:type="dxa" w:w="90"/>
              <w:bottom w:type="dxa" w:w="60"/>
              <w:right w:type="dxa" w:w="90"/>
            </w:tcMar>
          </w:tcPr>
          <w:p>
            <w:pPr>
              <w:spacing w:after="0" w:line="240" w:lineRule="auto"/>
            </w:pPr>
            <w:r>
              <w:rPr>
                <w:b w:val="false"/>
                <w:bCs w:val="false"/>
                <w:sz w:val="17"/>
                <w:szCs w:val="17"/>
              </w:rPr>
              <w:t xml:space="preserve">+16.1</w:t>
            </w:r>
          </w:p>
        </w:tc>
        <w:tc>
          <w:tcPr>
            <w:tcW w:type="dxa" w:w="1193"/>
            <w:tcMar>
              <w:top w:type="dxa" w:w="60"/>
              <w:left w:type="dxa" w:w="90"/>
              <w:bottom w:type="dxa" w:w="60"/>
              <w:right w:type="dxa" w:w="90"/>
            </w:tcMar>
          </w:tcPr>
          <w:p>
            <w:pPr>
              <w:spacing w:after="0" w:line="240" w:lineRule="auto"/>
            </w:pPr>
            <w:r>
              <w:rPr>
                <w:b w:val="false"/>
                <w:bCs w:val="false"/>
                <w:sz w:val="17"/>
                <w:szCs w:val="17"/>
              </w:rPr>
              <w:t xml:space="preserve">≈15.7</w:t>
            </w:r>
          </w:p>
        </w:tc>
        <w:tc>
          <w:tcPr>
            <w:tcW w:type="dxa" w:w="1241"/>
            <w:tcMar>
              <w:top w:type="dxa" w:w="60"/>
              <w:left w:type="dxa" w:w="90"/>
              <w:bottom w:type="dxa" w:w="60"/>
              <w:right w:type="dxa" w:w="90"/>
            </w:tcMar>
          </w:tcPr>
          <w:p>
            <w:pPr>
              <w:spacing w:after="0" w:line="240" w:lineRule="auto"/>
            </w:pPr>
            <w:r>
              <w:rPr>
                <w:b w:val="false"/>
                <w:bCs w:val="false"/>
                <w:sz w:val="17"/>
                <w:szCs w:val="17"/>
              </w:rPr>
              <w:t xml:space="preserve">15.7 – 17.3</w:t>
            </w:r>
          </w:p>
        </w:tc>
      </w:tr>
    </w:tbl>
    <w:p>
      <w:pPr>
        <w:spacing w:after="220" w:line="240" w:lineRule="auto"/>
      </w:pPr>
      <w:r>
        <w:rPr>
          <w:i/>
          <w:iCs/>
          <w:color w:val="4A5568"/>
          <w:sz w:val="18"/>
          <w:szCs w:val="18"/>
        </w:rPr>
        <w:t xml:space="preserve">Table 9 — σ-hole V_S,max in kcal/(mol·e), all on the ρ = 0.001 a.u. surface. The Heidrich values were published in atomic units and converted here; that paper does not state its level of theory. Sources in §11.</w:t>
      </w:r>
    </w:p>
    <w:p>
      <w:pPr>
        <w:spacing w:after="120" w:line="276" w:lineRule="auto"/>
      </w:pPr>
      <w:r>
        <w:rPr>
          <w:b/>
          <w:bCs/>
          <w:sz w:val="21"/>
          <w:szCs w:val="21"/>
        </w:rPr>
        <w:t xml:space="preserve">All three values fall inside the published range. </w:t>
      </w:r>
      <w:r>
        <w:rPr>
          <w:sz w:val="21"/>
          <w:szCs w:val="21"/>
        </w:rPr>
        <w:t xml:space="preserve">The spread among the literature sources themselves is 1.2, 2.2 and 1.6 kcal/(mol·e) for Cl, Br and I — roughly ±10–20 % relative — across functionals from B3PW91/6-311G* to M06-2X/aug-cc-pVDZ-PP, and the values obtained here sit comfortably within that band. </w:t>
      </w:r>
      <w:r>
        <w:rPr>
          <w:sz w:val="21"/>
          <w:szCs w:val="21"/>
        </w:rPr>
        <w:t xml:space="preserve">The agreement with the M06-2X/aug-cc-pVDZ(-PP) results is close enough (+4.9 vs +4.1, +10.2 vs +10.9, +16.1 vs +16.1) to suggest a similar level of theory, though without the provenance of the Turbomole calculations that remains an inference rather than a statement.</w:t>
      </w:r>
    </w:p>
    <w:p>
      <w:pPr>
        <w:spacing w:after="120" w:line="276" w:lineRule="auto"/>
      </w:pPr>
      <w:r>
        <w:rPr>
          <w:b/>
          <w:bCs/>
          <w:sz w:val="21"/>
          <w:szCs w:val="21"/>
        </w:rPr>
        <w:t xml:space="preserve">The isosurface matters far more than the method, and this is the trap the comparison had to avoid. </w:t>
      </w:r>
      <w:r>
        <w:rPr>
          <w:sz w:val="21"/>
          <w:szCs w:val="21"/>
        </w:rPr>
        <w:t xml:space="preserve">The same three molecules computed on the ρ = 0.002 a.u. surface give +10.1, +18.7 and +25.5 kcal/(mol·e) — between 1.5 and 2.2 times the 0.001 values. </w:t>
      </w:r>
      <w:r>
        <w:rPr>
          <w:sz w:val="21"/>
          <w:szCs w:val="21"/>
        </w:rPr>
        <w:t xml:space="preserve">A comparison drawn against those numbers would make the present calculation look wrong by a factor of two when nothing is wrong at all. Any quoted σ-hole is meaningless without its isosurface, which is the same conclusion the parameter study reaches from the other direction (§7.1).</w:t>
      </w:r>
    </w:p>
    <w:p>
      <w:pPr>
        <w:spacing w:after="120" w:line="276" w:lineRule="auto"/>
      </w:pPr>
      <w:r>
        <w:rPr>
          <w:sz w:val="21"/>
          <w:szCs w:val="21"/>
        </w:rPr>
        <w:t xml:space="preserve">Fluorobenzene is worth a sentence as the negative control, although it is not in this molecule set. Its fluorine carries a </w:t>
      </w:r>
      <w:r>
        <w:rPr>
          <w:i/>
          <w:iCs/>
          <w:sz w:val="21"/>
          <w:szCs w:val="21"/>
        </w:rPr>
        <w:t xml:space="preserve">negative</w:t>
      </w:r>
      <w:r>
        <w:rPr>
          <w:sz w:val="21"/>
          <w:szCs w:val="21"/>
        </w:rPr>
        <w:t xml:space="preserve"> potential along the C–F extension (−15.4 kcal/(mol·e) at PBE/6-311++G(2d,2p)) — there is no σ-hole at all, which is what the angle diagnostic of §5.4 reports as a maximum at the cone rim rather than as a small positive number.</w:t>
      </w:r>
    </w:p>
    <w:p>
      <w:pPr>
        <w:pStyle w:val="Heading2"/>
        <w:spacing w:after="120" w:before="260"/>
      </w:pPr>
      <w:r>
        <w:rPr>
          <w:b/>
          <w:bCs/>
          <w:color w:val="1F3864"/>
          <w:sz w:val="24"/>
          <w:szCs w:val="24"/>
        </w:rPr>
        <w:t xml:space="preserve">6.5  The image sets</w:t>
      </w:r>
    </w:p>
    <w:p>
      <w:pPr>
        <w:spacing w:after="80" w:before="14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95575"/>
                    </a:xfrm>
                    <a:prstGeom prst="rect">
                      <a:avLst/>
                    </a:prstGeom>
                  </pic:spPr>
                </pic:pic>
              </a:graphicData>
            </a:graphic>
          </wp:inline>
        </w:drawing>
      </w:r>
    </w:p>
    <w:p>
      <w:pPr>
        <w:spacing w:after="220" w:line="240" w:lineRule="auto"/>
      </w:pPr>
      <w:r>
        <w:rPr>
          <w:i/>
          <w:iCs/>
          <w:color w:val="4A5568"/>
          <w:sz w:val="18"/>
          <w:szCs w:val="18"/>
        </w:rPr>
        <w:t xml:space="preserve">Figure 4 — Bromobenzene, the three standard views: π face, in-plane profile, and the axial view down the C–Br bond. PyMOL above, VMD below, both at ±0.0350 a.u. The potential maps agree; the differences are in the rendering — VMD draws the more readable skeleton, PyMOL the more saturated surface.</w:t>
      </w:r>
    </w:p>
    <w:p>
      <w:pPr>
        <w:spacing w:after="80" w:before="140"/>
        <w:jc w:val="center"/>
      </w:pPr>
      <w:r>
        <w:drawing>
          <wp:inline distT="0" distB="0" distL="0" distR="0">
            <wp:extent cx="2857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485775"/>
                    </a:xfrm>
                    <a:prstGeom prst="rect">
                      <a:avLst/>
                    </a:prstGeom>
                  </pic:spPr>
                </pic:pic>
              </a:graphicData>
            </a:graphic>
          </wp:inline>
        </w:drawing>
      </w:r>
    </w:p>
    <w:p>
      <w:pPr>
        <w:spacing w:after="220" w:line="240" w:lineRule="auto"/>
      </w:pPr>
      <w:r>
        <w:rPr>
          <w:i/>
          <w:iCs/>
          <w:color w:val="4A5568"/>
          <w:sz w:val="18"/>
          <w:szCs w:val="18"/>
        </w:rPr>
        <w:t xml:space="preserve">The colour bar shipped with every image set. Red is negative, blue positive, white at zero, and the end points are the numeric range of that particular figure — which is why images from different molecules must not be compared without them.</w:t>
      </w:r>
    </w:p>
    <w:p>
      <w:pPr>
        <w:spacing w:after="120" w:line="276" w:lineRule="auto"/>
      </w:pPr>
      <w:r>
        <w:rPr>
          <w:sz w:val="21"/>
          <w:szCs w:val="21"/>
        </w:rPr>
        <w:t xml:space="preserve">Each molecule is delivered as three views plus a colour bar and a settings file. The three views are computed from the geometry rather than assumed: the ring normal comes from the principal axis of smallest extent over the heavy atoms, and the axial view follows the true, unprojected C–X axis. </w:t>
      </w:r>
      <w:r>
        <w:rPr>
          <w:sz w:val="21"/>
          <w:szCs w:val="21"/>
        </w:rPr>
        <w:t xml:space="preserve">That distinction matters for non-planar molecules — an earlier version projected the axis into the best-fit plane, and on triazolam the “σ view” then looked past the σ-hole by 42.9° (§8.3).</w:t>
      </w:r>
    </w:p>
    <w:p>
      <w:pPr>
        <w:pStyle w:val="Heading2"/>
        <w:spacing w:after="120" w:before="260"/>
      </w:pPr>
      <w:r>
        <w:rPr>
          <w:b/>
          <w:bCs/>
          <w:color w:val="1F3864"/>
          <w:sz w:val="24"/>
          <w:szCs w:val="24"/>
        </w:rPr>
        <w:t xml:space="preserve">6.6  The two pipelines agree</w:t>
      </w:r>
    </w:p>
    <w:tbl>
      <w:tblPr>
        <w:tblW w:type="dxa" w:w="9020"/>
        <w:tblBorders>
          <w:top w:val="single" w:color="B0B7C3" w:sz="4"/>
          <w:left w:val="none"/>
          <w:bottom w:val="single" w:color="B0B7C3" w:sz="4"/>
          <w:right w:val="none"/>
          <w:insideH w:val="single" w:color="D9DEE7" w:sz="2"/>
          <w:insideV w:val="none"/>
        </w:tblBorders>
      </w:tblPr>
      <w:tblGrid>
        <w:gridCol w:w="2200"/>
        <w:gridCol w:w="1300"/>
        <w:gridCol w:w="1300"/>
        <w:gridCol w:w="1300"/>
        <w:gridCol w:w="1300"/>
        <w:gridCol w:w="1620"/>
      </w:tblGrid>
      <w:tr>
        <w:trPr>
          <w:tblHeader/>
        </w:trPr>
        <w:tc>
          <w:tcPr>
            <w:tcW w:type="dxa" w:w="2200"/>
            <w:shd w:fill="F2F4F7" w:val="clear"/>
            <w:tcMar>
              <w:top w:type="dxa" w:w="60"/>
              <w:left w:type="dxa" w:w="90"/>
              <w:bottom w:type="dxa" w:w="60"/>
              <w:right w:type="dxa" w:w="90"/>
            </w:tcMar>
          </w:tcPr>
          <w:p>
            <w:pPr>
              <w:spacing w:after="0" w:line="240" w:lineRule="auto"/>
            </w:pPr>
            <w:r>
              <w:rPr>
                <w:b/>
                <w:bCs/>
                <w:sz w:val="17"/>
                <w:szCs w:val="17"/>
              </w:rPr>
              <w:t xml:space="preserve">Molecule</w:t>
            </w:r>
          </w:p>
        </w:tc>
        <w:tc>
          <w:tcPr>
            <w:tcW w:type="dxa" w:w="1300"/>
            <w:shd w:fill="F2F4F7" w:val="clear"/>
            <w:tcMar>
              <w:top w:type="dxa" w:w="60"/>
              <w:left w:type="dxa" w:w="90"/>
              <w:bottom w:type="dxa" w:w="60"/>
              <w:right w:type="dxa" w:w="90"/>
            </w:tcMar>
          </w:tcPr>
          <w:p>
            <w:pPr>
              <w:spacing w:after="0" w:line="240" w:lineRule="auto"/>
            </w:pPr>
            <w:r>
              <w:rPr>
                <w:b/>
                <w:bCs/>
                <w:sz w:val="17"/>
                <w:szCs w:val="17"/>
              </w:rPr>
              <w:t xml:space="preserve">V_S,min PyMOL</w:t>
            </w:r>
          </w:p>
        </w:tc>
        <w:tc>
          <w:tcPr>
            <w:tcW w:type="dxa" w:w="1300"/>
            <w:shd w:fill="F2F4F7" w:val="clear"/>
            <w:tcMar>
              <w:top w:type="dxa" w:w="60"/>
              <w:left w:type="dxa" w:w="90"/>
              <w:bottom w:type="dxa" w:w="60"/>
              <w:right w:type="dxa" w:w="90"/>
            </w:tcMar>
          </w:tcPr>
          <w:p>
            <w:pPr>
              <w:spacing w:after="0" w:line="240" w:lineRule="auto"/>
            </w:pPr>
            <w:r>
              <w:rPr>
                <w:b/>
                <w:bCs/>
                <w:sz w:val="17"/>
                <w:szCs w:val="17"/>
              </w:rPr>
              <w:t xml:space="preserve">VMD</w:t>
            </w:r>
          </w:p>
        </w:tc>
        <w:tc>
          <w:tcPr>
            <w:tcW w:type="dxa" w:w="1300"/>
            <w:shd w:fill="F2F4F7" w:val="clear"/>
            <w:tcMar>
              <w:top w:type="dxa" w:w="60"/>
              <w:left w:type="dxa" w:w="90"/>
              <w:bottom w:type="dxa" w:w="60"/>
              <w:right w:type="dxa" w:w="90"/>
            </w:tcMar>
          </w:tcPr>
          <w:p>
            <w:pPr>
              <w:spacing w:after="0" w:line="240" w:lineRule="auto"/>
            </w:pPr>
            <w:r>
              <w:rPr>
                <w:b/>
                <w:bCs/>
                <w:sz w:val="17"/>
                <w:szCs w:val="17"/>
              </w:rPr>
              <w:t xml:space="preserve">V_S,max PyMOL</w:t>
            </w:r>
          </w:p>
        </w:tc>
        <w:tc>
          <w:tcPr>
            <w:tcW w:type="dxa" w:w="1300"/>
            <w:shd w:fill="F2F4F7" w:val="clear"/>
            <w:tcMar>
              <w:top w:type="dxa" w:w="60"/>
              <w:left w:type="dxa" w:w="90"/>
              <w:bottom w:type="dxa" w:w="60"/>
              <w:right w:type="dxa" w:w="90"/>
            </w:tcMar>
          </w:tcPr>
          <w:p>
            <w:pPr>
              <w:spacing w:after="0" w:line="240" w:lineRule="auto"/>
            </w:pPr>
            <w:r>
              <w:rPr>
                <w:b/>
                <w:bCs/>
                <w:sz w:val="17"/>
                <w:szCs w:val="17"/>
              </w:rPr>
              <w:t xml:space="preserve">VMD</w:t>
            </w:r>
          </w:p>
        </w:tc>
        <w:tc>
          <w:tcPr>
            <w:tcW w:type="dxa" w:w="1620"/>
            <w:shd w:fill="F2F4F7" w:val="clear"/>
            <w:tcMar>
              <w:top w:type="dxa" w:w="60"/>
              <w:left w:type="dxa" w:w="90"/>
              <w:bottom w:type="dxa" w:w="60"/>
              <w:right w:type="dxa" w:w="90"/>
            </w:tcMar>
          </w:tcPr>
          <w:p>
            <w:pPr>
              <w:spacing w:after="0" w:line="240" w:lineRule="auto"/>
            </w:pPr>
            <w:r>
              <w:rPr>
                <w:b/>
                <w:bCs/>
                <w:sz w:val="17"/>
                <w:szCs w:val="17"/>
              </w:rPr>
              <w:t xml:space="preserve">Shell points</w:t>
            </w:r>
          </w:p>
          <w:p>
            <w:pPr>
              <w:spacing w:after="0" w:line="240" w:lineRule="auto"/>
            </w:pPr>
            <w:r>
              <w:rPr>
                <w:b/>
                <w:bCs/>
                <w:sz w:val="17"/>
                <w:szCs w:val="17"/>
              </w:rPr>
              <w:t xml:space="preserve">PyMOL / VMD</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pyridine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−0.06500</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−0.06500</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+0.03959</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+0.03959</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12447 / 12447</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4-methylpyridine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−0.06779</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−0.06779</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+0.03647</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+0.03647</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14641 / 14640</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4-cyanopyridine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−0.05927</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−0.05927</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+0.05025</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+0.05025</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14505 / 14504</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4-nitropyridine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−0.04712</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−0.04712</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+0.04487</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+0.04487</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14452 / 14452</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3-iodopyridine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−0.05638</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−0.05638</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+0.04594</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+0.04594</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16843 / 16840</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4-chloro-3-nitropyridine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−0.04545</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−0.04545</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+0.05825</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+0.05825</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16332 / 16330</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chlorobenzene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−0.01896</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−0.01896</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+0.03129</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+0.03129</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35592 / 35592</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bromobenzene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−0.01882</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−0.01882</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+0.03154</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+0.03154</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38010 / 38008</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iodobenzene</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−0.01685</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−0.01685</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+0.03168</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+0.03168</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41631 / 41629</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triazolam</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−0.08429</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−0.08429</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+0.05432</w:t>
            </w:r>
          </w:p>
        </w:tc>
        <w:tc>
          <w:tcPr>
            <w:tcW w:type="dxa" w:w="1300"/>
            <w:tcMar>
              <w:top w:type="dxa" w:w="60"/>
              <w:left w:type="dxa" w:w="90"/>
              <w:bottom w:type="dxa" w:w="60"/>
              <w:right w:type="dxa" w:w="90"/>
            </w:tcMar>
          </w:tcPr>
          <w:p>
            <w:pPr>
              <w:spacing w:after="0" w:line="240" w:lineRule="auto"/>
            </w:pPr>
            <w:r>
              <w:rPr>
                <w:b w:val="false"/>
                <w:bCs w:val="false"/>
                <w:sz w:val="17"/>
                <w:szCs w:val="17"/>
              </w:rPr>
              <w:t xml:space="preserve">+0.05432</w:t>
            </w:r>
          </w:p>
        </w:tc>
        <w:tc>
          <w:tcPr>
            <w:tcW w:type="dxa" w:w="1620"/>
            <w:tcMar>
              <w:top w:type="dxa" w:w="60"/>
              <w:left w:type="dxa" w:w="90"/>
              <w:bottom w:type="dxa" w:w="60"/>
              <w:right w:type="dxa" w:w="90"/>
            </w:tcMar>
          </w:tcPr>
          <w:p>
            <w:pPr>
              <w:spacing w:after="0" w:line="240" w:lineRule="auto"/>
            </w:pPr>
            <w:r>
              <w:rPr>
                <w:b w:val="false"/>
                <w:bCs w:val="false"/>
                <w:sz w:val="17"/>
                <w:szCs w:val="17"/>
              </w:rPr>
              <w:t xml:space="preserve">8146 / 8145</w:t>
            </w:r>
          </w:p>
        </w:tc>
      </w:tr>
    </w:tbl>
    <w:p>
      <w:pPr>
        <w:spacing w:after="220" w:line="240" w:lineRule="auto"/>
      </w:pPr>
      <w:r>
        <w:rPr>
          <w:i/>
          <w:iCs/>
          <w:color w:val="4A5568"/>
          <w:sz w:val="18"/>
          <w:szCs w:val="18"/>
        </w:rPr>
        <w:t xml:space="preserve">Table 10 — All twenty surface extrema are identical to every printed digit, and so are all ten colour scales. The two pipelines share no code and no intermediate file.</w:t>
      </w:r>
    </w:p>
    <w:p>
      <w:pPr>
        <w:spacing w:after="120" w:line="276" w:lineRule="auto"/>
      </w:pPr>
      <w:r>
        <w:rPr>
          <w:sz w:val="21"/>
          <w:szCs w:val="21"/>
        </w:rPr>
        <w:t xml:space="preserve">The only measurable disagreement is in the shell point counts, which differ by 0 to 3 out of 12 000 to 42 000 — at most 0.02 %. </w:t>
      </w:r>
      <w:r>
        <w:rPr>
          <w:sz w:val="21"/>
          <w:szCs w:val="21"/>
        </w:rPr>
        <w:t xml:space="preserve">The cause is the data type: one converter holds the grid in float32 and the other in float64, so a handful of points sitting exactly on the edge of the ρ = iso ± 12 % band fall on different sides of it. No extremum is affected, because those edge points are never the extreme ones.</w:t>
      </w:r>
    </w:p>
    <w:p>
      <w:pPr>
        <w:spacing w:after="120" w:line="276" w:lineRule="auto"/>
      </w:pPr>
      <w:r>
        <w:rPr>
          <w:sz w:val="21"/>
          <w:szCs w:val="21"/>
        </w:rPr>
        <w:t xml:space="preserve">One value deserves a footnote. V</w:t>
      </w:r>
      <w:r>
        <w:rPr>
          <w:i/>
          <w:iCs/>
          <w:sz w:val="21"/>
          <w:szCs w:val="21"/>
        </w:rPr>
        <w:t xml:space="preserve">S,min</w:t>
      </w:r>
      <w:r>
        <w:rPr>
          <w:sz w:val="21"/>
          <w:szCs w:val="21"/>
        </w:rPr>
        <w:t xml:space="preserve"> of bromobenzene is −0.018825 — exactly on the rounding boundary at five decimals. </w:t>
      </w:r>
      <w:r>
        <w:rPr>
          <w:sz w:val="21"/>
          <w:szCs w:val="21"/>
        </w:rPr>
        <w:t xml:space="preserve">Early in development the two pipelines reported −0.01882 and −0.01883 for it, which looked like a real discrepancy and was a display artefact: the value is stamped into the cube header and was being rounded once on writing and again on reading. Stamping it with eight decimals instead of six moved it far enough from the boundary that the second rounding cannot disagree with the first.</w:t>
      </w:r>
    </w:p>
    <w:p>
      <w:pPr>
        <w:spacing w:after="120" w:line="276" w:lineRule="auto"/>
      </w:pPr>
      <w:r>
        <w:rPr>
          <w:b/>
          <w:bCs/>
          <w:sz w:val="21"/>
          <w:szCs w:val="21"/>
        </w:rPr>
        <w:t xml:space="preserve">What this establishes. </w:t>
      </w:r>
      <w:r>
        <w:rPr>
          <w:sz w:val="21"/>
          <w:szCs w:val="21"/>
        </w:rPr>
        <w:t xml:space="preserve">The two pipelines see the same surface, with the same values, on the same scale. Every difference between the two rows of Figures 2, 4 and 5 is therefore attributable to the viewer — to how it triangulates the isosurface, how it interpolates the potential onto the vertices, and how it composites transparency — and to nothing else. </w:t>
      </w:r>
      <w:r>
        <w:rPr>
          <w:sz w:val="21"/>
          <w:szCs w:val="21"/>
        </w:rPr>
        <w:t xml:space="preserve">The numbers are viewer-independent; the images are not.</w:t>
      </w:r>
    </w:p>
    <w:p>
      <w:pPr>
        <w:pStyle w:val="Heading2"/>
        <w:spacing w:after="120" w:before="260"/>
      </w:pPr>
      <w:r>
        <w:rPr>
          <w:b/>
          <w:bCs/>
          <w:color w:val="1F3864"/>
          <w:sz w:val="24"/>
          <w:szCs w:val="24"/>
        </w:rPr>
        <w:t xml:space="preserve">6.7  The rainbow ramp</w:t>
      </w:r>
    </w:p>
    <w:p>
      <w:pPr>
        <w:spacing w:after="80" w:before="140"/>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24075"/>
                    </a:xfrm>
                    <a:prstGeom prst="rect">
                      <a:avLst/>
                    </a:prstGeom>
                  </pic:spPr>
                </pic:pic>
              </a:graphicData>
            </a:graphic>
          </wp:inline>
        </w:drawing>
      </w:r>
    </w:p>
    <w:p>
      <w:pPr>
        <w:spacing w:after="220" w:line="240" w:lineRule="auto"/>
      </w:pPr>
      <w:r>
        <w:rPr>
          <w:i/>
          <w:iCs/>
          <w:color w:val="4A5568"/>
          <w:sz w:val="18"/>
          <w:szCs w:val="18"/>
        </w:rPr>
        <w:t xml:space="preserve">Figure 5 — Bromobenzene with the rainbow ramp, PyMOL above and VMD below, each with the colour bar its own pipeline generated. Scale ±0.0350 a.u.</w:t>
      </w:r>
    </w:p>
    <w:p>
      <w:pPr>
        <w:spacing w:after="120" w:line="276" w:lineRule="auto"/>
      </w:pPr>
      <w:r>
        <w:rPr>
          <w:sz w:val="21"/>
          <w:szCs w:val="21"/>
        </w:rPr>
        <w:t xml:space="preserve">Both pipelines offer a five-stop ramp — red, yellow, green, cyan, blue — as an alternative to red–white–blue, and both write it as a separate image set so the standard one survives. </w:t>
      </w:r>
      <w:r>
        <w:rPr>
          <w:sz w:val="21"/>
          <w:szCs w:val="21"/>
        </w:rPr>
        <w:t xml:space="preserve">The mechanisms could hardly be more different: PyMOL creates a ramp object with five explicit anchor levels, while VMD has no ramp object at all and the effect has to be produced by rewriting 1024 entries of its global colour table. </w:t>
      </w:r>
      <w:r>
        <w:rPr>
          <w:sz w:val="21"/>
          <w:szCs w:val="21"/>
        </w:rPr>
        <w:t xml:space="preserve">That the two produce the same colours at the same places is the useful negative result of the comparison — the ramp is a property of the definition, not of the implementation.</w:t>
      </w:r>
    </w:p>
    <w:p>
      <w:pPr>
        <w:spacing w:after="120" w:line="276" w:lineRule="auto"/>
      </w:pPr>
      <w:r>
        <w:rPr>
          <w:b/>
          <w:bCs/>
          <w:sz w:val="21"/>
          <w:szCs w:val="21"/>
        </w:rPr>
        <w:t xml:space="preserve">When to use which. </w:t>
      </w:r>
      <w:r>
        <w:rPr>
          <w:sz w:val="21"/>
          <w:szCs w:val="21"/>
        </w:rPr>
        <w:t xml:space="preserve">Red–white–blue spends almost no colour resolution near zero, so everything weakly polar comes out white; the rainbow resolves exactly that region. The price is that a rainbow is not perceptually uniform — the eye reads the yellow–green and green–cyan transitions as edges even where the potential changes smoothly. </w:t>
      </w:r>
      <w:r>
        <w:rPr>
          <w:sz w:val="21"/>
          <w:szCs w:val="21"/>
        </w:rPr>
        <w:t xml:space="preserve">For a quantitative claim, red–white–blue remains the more honest depiction. The convention is deliberately not inverted in either ramp: red stays negative and blue stays positive, so the two sets can be laid side by side.</w:t>
      </w:r>
    </w:p>
    <w:p>
      <w:pPr>
        <w:pStyle w:val="Heading1"/>
        <w:spacing w:after="160" w:before="360"/>
      </w:pPr>
      <w:r>
        <w:rPr>
          <w:b/>
          <w:bCs/>
          <w:color w:val="1F3864"/>
          <w:sz w:val="30"/>
          <w:szCs w:val="30"/>
        </w:rPr>
        <w:t xml:space="preserve">7  Parameter selection</w:t>
      </w:r>
    </w:p>
    <w:p>
      <w:pPr>
        <w:spacing w:after="120" w:line="276" w:lineRule="auto"/>
      </w:pPr>
      <w:r>
        <w:rPr>
          <w:sz w:val="21"/>
          <w:szCs w:val="21"/>
        </w:rPr>
        <w:t xml:space="preserve">Every default in the workflow was chosen against a measurement rather than by convention. This section collects those measurements, and it is the part of the report that generalises beyond this particular dataset. </w:t>
      </w:r>
      <w:r>
        <w:rPr>
          <w:b/>
          <w:bCs/>
          <w:sz w:val="21"/>
          <w:szCs w:val="21"/>
        </w:rPr>
        <w:t xml:space="preserve">The short version: the isovalue is the only parameter that changes the physics.</w:t>
      </w:r>
    </w:p>
    <w:p>
      <w:pPr>
        <w:pStyle w:val="Heading2"/>
        <w:spacing w:after="120" w:before="260"/>
      </w:pPr>
      <w:r>
        <w:rPr>
          <w:b/>
          <w:bCs/>
          <w:color w:val="1F3864"/>
          <w:sz w:val="24"/>
          <w:szCs w:val="24"/>
        </w:rPr>
        <w:t xml:space="preserve">7.1  Isovalue — the parameter that matters</w:t>
      </w:r>
    </w:p>
    <w:p>
      <w:pPr>
        <w:spacing w:after="120" w:line="276" w:lineRule="auto"/>
      </w:pPr>
      <w:r>
        <w:rPr>
          <w:sz w:val="21"/>
          <w:szCs w:val="21"/>
        </w:rPr>
        <w:t xml:space="preserve">Bromobenzene on the full 251³ grid at 0.12 Bohr spacing, everything else at defaults:</w:t>
      </w:r>
    </w:p>
    <w:tbl>
      <w:tblPr>
        <w:tblW w:type="dxa" w:w="9020"/>
        <w:tblBorders>
          <w:top w:val="single" w:color="B0B7C3" w:sz="4"/>
          <w:left w:val="none"/>
          <w:bottom w:val="single" w:color="B0B7C3" w:sz="4"/>
          <w:right w:val="none"/>
          <w:insideH w:val="single" w:color="D9DEE7" w:sz="2"/>
          <w:insideV w:val="none"/>
        </w:tblBorders>
      </w:tblPr>
      <w:tblGrid>
        <w:gridCol w:w="1139"/>
        <w:gridCol w:w="1424"/>
        <w:gridCol w:w="1234"/>
        <w:gridCol w:w="1234"/>
        <w:gridCol w:w="1234"/>
        <w:gridCol w:w="1519"/>
        <w:gridCol w:w="1234"/>
      </w:tblGrid>
      <w:tr>
        <w:trPr>
          <w:tblHeader/>
        </w:trPr>
        <w:tc>
          <w:tcPr>
            <w:tcW w:type="dxa" w:w="1139"/>
            <w:shd w:fill="F2F4F7" w:val="clear"/>
            <w:tcMar>
              <w:top w:type="dxa" w:w="60"/>
              <w:left w:type="dxa" w:w="90"/>
              <w:bottom w:type="dxa" w:w="60"/>
              <w:right w:type="dxa" w:w="90"/>
            </w:tcMar>
          </w:tcPr>
          <w:p>
            <w:pPr>
              <w:spacing w:after="0" w:line="240" w:lineRule="auto"/>
            </w:pPr>
            <w:r>
              <w:rPr>
                <w:b/>
                <w:bCs/>
                <w:sz w:val="17"/>
                <w:szCs w:val="17"/>
              </w:rPr>
              <w:t xml:space="preserve">ρ / a.u.</w:t>
            </w:r>
          </w:p>
        </w:tc>
        <w:tc>
          <w:tcPr>
            <w:tcW w:type="dxa" w:w="1424"/>
            <w:shd w:fill="F2F4F7" w:val="clear"/>
            <w:tcMar>
              <w:top w:type="dxa" w:w="60"/>
              <w:left w:type="dxa" w:w="90"/>
              <w:bottom w:type="dxa" w:w="60"/>
              <w:right w:type="dxa" w:w="90"/>
            </w:tcMar>
          </w:tcPr>
          <w:p>
            <w:pPr>
              <w:spacing w:after="0" w:line="240" w:lineRule="auto"/>
            </w:pPr>
            <w:r>
              <w:rPr>
                <w:b/>
                <w:bCs/>
                <w:sz w:val="17"/>
                <w:szCs w:val="17"/>
              </w:rPr>
              <w:t xml:space="preserve">Shell points</w:t>
            </w:r>
          </w:p>
        </w:tc>
        <w:tc>
          <w:tcPr>
            <w:tcW w:type="dxa" w:w="1234"/>
            <w:shd w:fill="F2F4F7" w:val="clear"/>
            <w:tcMar>
              <w:top w:type="dxa" w:w="60"/>
              <w:left w:type="dxa" w:w="90"/>
              <w:bottom w:type="dxa" w:w="60"/>
              <w:right w:type="dxa" w:w="90"/>
            </w:tcMar>
          </w:tcPr>
          <w:p>
            <w:pPr>
              <w:spacing w:after="0" w:line="240" w:lineRule="auto"/>
            </w:pPr>
            <w:r>
              <w:rPr>
                <w:b/>
                <w:bCs/>
                <w:sz w:val="17"/>
                <w:szCs w:val="17"/>
              </w:rPr>
              <w:t xml:space="preserve">V_S,min</w:t>
            </w:r>
          </w:p>
        </w:tc>
        <w:tc>
          <w:tcPr>
            <w:tcW w:type="dxa" w:w="1234"/>
            <w:shd w:fill="F2F4F7" w:val="clear"/>
            <w:tcMar>
              <w:top w:type="dxa" w:w="60"/>
              <w:left w:type="dxa" w:w="90"/>
              <w:bottom w:type="dxa" w:w="60"/>
              <w:right w:type="dxa" w:w="90"/>
            </w:tcMar>
          </w:tcPr>
          <w:p>
            <w:pPr>
              <w:spacing w:after="0" w:line="240" w:lineRule="auto"/>
            </w:pPr>
            <w:r>
              <w:rPr>
                <w:b/>
                <w:bCs/>
                <w:sz w:val="17"/>
                <w:szCs w:val="17"/>
              </w:rPr>
              <w:t xml:space="preserve">V_S,max</w:t>
            </w:r>
          </w:p>
        </w:tc>
        <w:tc>
          <w:tcPr>
            <w:tcW w:type="dxa" w:w="1234"/>
            <w:shd w:fill="F2F4F7" w:val="clear"/>
            <w:tcMar>
              <w:top w:type="dxa" w:w="60"/>
              <w:left w:type="dxa" w:w="90"/>
              <w:bottom w:type="dxa" w:w="60"/>
              <w:right w:type="dxa" w:w="90"/>
            </w:tcMar>
          </w:tcPr>
          <w:p>
            <w:pPr>
              <w:spacing w:after="0" w:line="240" w:lineRule="auto"/>
            </w:pPr>
            <w:r>
              <w:rPr>
                <w:b/>
                <w:bCs/>
                <w:sz w:val="17"/>
                <w:szCs w:val="17"/>
              </w:rPr>
              <w:t xml:space="preserve">σ-hole</w:t>
            </w:r>
          </w:p>
        </w:tc>
        <w:tc>
          <w:tcPr>
            <w:tcW w:type="dxa" w:w="1519"/>
            <w:shd w:fill="F2F4F7" w:val="clear"/>
            <w:tcMar>
              <w:top w:type="dxa" w:w="60"/>
              <w:left w:type="dxa" w:w="90"/>
              <w:bottom w:type="dxa" w:w="60"/>
              <w:right w:type="dxa" w:w="90"/>
            </w:tcMar>
          </w:tcPr>
          <w:p>
            <w:pPr>
              <w:spacing w:after="0" w:line="240" w:lineRule="auto"/>
            </w:pPr>
            <w:r>
              <w:rPr>
                <w:b/>
                <w:bCs/>
                <w:sz w:val="17"/>
                <w:szCs w:val="17"/>
              </w:rPr>
              <w:t xml:space="preserve">kcal/(mol·e)</w:t>
            </w:r>
          </w:p>
        </w:tc>
        <w:tc>
          <w:tcPr>
            <w:tcW w:type="dxa" w:w="1234"/>
            <w:shd w:fill="F2F4F7" w:val="clear"/>
            <w:tcMar>
              <w:top w:type="dxa" w:w="60"/>
              <w:left w:type="dxa" w:w="90"/>
              <w:bottom w:type="dxa" w:w="60"/>
              <w:right w:type="dxa" w:w="90"/>
            </w:tcMar>
          </w:tcPr>
          <w:p>
            <w:pPr>
              <w:spacing w:after="0" w:line="240" w:lineRule="auto"/>
            </w:pPr>
            <w:r>
              <w:rPr>
                <w:b/>
                <w:bCs/>
                <w:sz w:val="17"/>
                <w:szCs w:val="17"/>
              </w:rPr>
              <w:t xml:space="preserve">Belt</w:t>
            </w:r>
          </w:p>
        </w:tc>
      </w:tr>
      <w:tr>
        <w:trPr>
          <w:cantSplit/>
        </w:trPr>
        <w:tc>
          <w:tcPr>
            <w:tcW w:type="dxa" w:w="1139"/>
            <w:tcMar>
              <w:top w:type="dxa" w:w="60"/>
              <w:left w:type="dxa" w:w="90"/>
              <w:bottom w:type="dxa" w:w="60"/>
              <w:right w:type="dxa" w:w="90"/>
            </w:tcMar>
          </w:tcPr>
          <w:p>
            <w:pPr>
              <w:spacing w:after="0" w:line="240" w:lineRule="auto"/>
            </w:pPr>
            <w:r>
              <w:rPr>
                <w:b w:val="false"/>
                <w:bCs w:val="false"/>
                <w:sz w:val="17"/>
                <w:szCs w:val="17"/>
              </w:rPr>
              <w:t xml:space="preserve">0.0005</w:t>
            </w:r>
          </w:p>
        </w:tc>
        <w:tc>
          <w:tcPr>
            <w:tcW w:type="dxa" w:w="1424"/>
            <w:tcMar>
              <w:top w:type="dxa" w:w="60"/>
              <w:left w:type="dxa" w:w="90"/>
              <w:bottom w:type="dxa" w:w="60"/>
              <w:right w:type="dxa" w:w="90"/>
            </w:tcMar>
          </w:tcPr>
          <w:p>
            <w:pPr>
              <w:spacing w:after="0" w:line="240" w:lineRule="auto"/>
            </w:pPr>
            <w:r>
              <w:rPr>
                <w:b w:val="false"/>
                <w:bCs w:val="false"/>
                <w:sz w:val="17"/>
                <w:szCs w:val="17"/>
              </w:rPr>
              <w:t xml:space="preserve">43009</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−0.0175</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+0.0248</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+0.0098</w:t>
            </w:r>
          </w:p>
        </w:tc>
        <w:tc>
          <w:tcPr>
            <w:tcW w:type="dxa" w:w="1519"/>
            <w:tcMar>
              <w:top w:type="dxa" w:w="60"/>
              <w:left w:type="dxa" w:w="90"/>
              <w:bottom w:type="dxa" w:w="60"/>
              <w:right w:type="dxa" w:w="90"/>
            </w:tcMar>
          </w:tcPr>
          <w:p>
            <w:pPr>
              <w:spacing w:after="0" w:line="240" w:lineRule="auto"/>
            </w:pPr>
            <w:r>
              <w:rPr>
                <w:b w:val="false"/>
                <w:bCs w:val="false"/>
                <w:sz w:val="17"/>
                <w:szCs w:val="17"/>
              </w:rPr>
              <w:t xml:space="preserve">+6.2</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−0.0175</w:t>
            </w:r>
          </w:p>
        </w:tc>
      </w:tr>
      <w:tr>
        <w:trPr>
          <w:cantSplit/>
        </w:trPr>
        <w:tc>
          <w:tcPr>
            <w:tcW w:type="dxa" w:w="1139"/>
            <w:tcMar>
              <w:top w:type="dxa" w:w="60"/>
              <w:left w:type="dxa" w:w="90"/>
              <w:bottom w:type="dxa" w:w="60"/>
              <w:right w:type="dxa" w:w="90"/>
            </w:tcMar>
          </w:tcPr>
          <w:p>
            <w:pPr>
              <w:spacing w:after="0" w:line="240" w:lineRule="auto"/>
            </w:pPr>
            <w:r>
              <w:rPr>
                <w:b w:val="false"/>
                <w:bCs w:val="false"/>
                <w:sz w:val="17"/>
                <w:szCs w:val="17"/>
              </w:rPr>
              <w:t xml:space="preserve">0.0008</w:t>
            </w:r>
          </w:p>
        </w:tc>
        <w:tc>
          <w:tcPr>
            <w:tcW w:type="dxa" w:w="1424"/>
            <w:tcMar>
              <w:top w:type="dxa" w:w="60"/>
              <w:left w:type="dxa" w:w="90"/>
              <w:bottom w:type="dxa" w:w="60"/>
              <w:right w:type="dxa" w:w="90"/>
            </w:tcMar>
          </w:tcPr>
          <w:p>
            <w:pPr>
              <w:spacing w:after="0" w:line="240" w:lineRule="auto"/>
            </w:pPr>
            <w:r>
              <w:rPr>
                <w:b w:val="false"/>
                <w:bCs w:val="false"/>
                <w:sz w:val="17"/>
                <w:szCs w:val="17"/>
              </w:rPr>
              <w:t xml:space="preserve">39451</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−0.0185</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+0.0292</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+0.0139</w:t>
            </w:r>
          </w:p>
        </w:tc>
        <w:tc>
          <w:tcPr>
            <w:tcW w:type="dxa" w:w="1519"/>
            <w:tcMar>
              <w:top w:type="dxa" w:w="60"/>
              <w:left w:type="dxa" w:w="90"/>
              <w:bottom w:type="dxa" w:w="60"/>
              <w:right w:type="dxa" w:w="90"/>
            </w:tcMar>
          </w:tcPr>
          <w:p>
            <w:pPr>
              <w:spacing w:after="0" w:line="240" w:lineRule="auto"/>
            </w:pPr>
            <w:r>
              <w:rPr>
                <w:b w:val="false"/>
                <w:bCs w:val="false"/>
                <w:sz w:val="17"/>
                <w:szCs w:val="17"/>
              </w:rPr>
              <w:t xml:space="preserve">+8.7</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−0.0185</w:t>
            </w:r>
          </w:p>
        </w:tc>
      </w:tr>
      <w:tr>
        <w:trPr>
          <w:cantSplit/>
        </w:trPr>
        <w:tc>
          <w:tcPr>
            <w:tcW w:type="dxa" w:w="1139"/>
            <w:tcMar>
              <w:top w:type="dxa" w:w="60"/>
              <w:left w:type="dxa" w:w="90"/>
              <w:bottom w:type="dxa" w:w="60"/>
              <w:right w:type="dxa" w:w="90"/>
            </w:tcMar>
          </w:tcPr>
          <w:p>
            <w:pPr>
              <w:spacing w:after="0" w:line="240" w:lineRule="auto"/>
            </w:pPr>
            <w:r>
              <w:rPr>
                <w:b w:val="false"/>
                <w:bCs w:val="false"/>
                <w:sz w:val="17"/>
                <w:szCs w:val="17"/>
              </w:rPr>
              <w:t xml:space="preserve">0.0010</w:t>
            </w:r>
          </w:p>
        </w:tc>
        <w:tc>
          <w:tcPr>
            <w:tcW w:type="dxa" w:w="1424"/>
            <w:tcMar>
              <w:top w:type="dxa" w:w="60"/>
              <w:left w:type="dxa" w:w="90"/>
              <w:bottom w:type="dxa" w:w="60"/>
              <w:right w:type="dxa" w:w="90"/>
            </w:tcMar>
          </w:tcPr>
          <w:p>
            <w:pPr>
              <w:spacing w:after="0" w:line="240" w:lineRule="auto"/>
            </w:pPr>
            <w:r>
              <w:rPr>
                <w:b w:val="false"/>
                <w:bCs w:val="false"/>
                <w:sz w:val="17"/>
                <w:szCs w:val="17"/>
              </w:rPr>
              <w:t xml:space="preserve">38010</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−0.0188</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+0.0315</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+0.0163</w:t>
            </w:r>
          </w:p>
        </w:tc>
        <w:tc>
          <w:tcPr>
            <w:tcW w:type="dxa" w:w="1519"/>
            <w:tcMar>
              <w:top w:type="dxa" w:w="60"/>
              <w:left w:type="dxa" w:w="90"/>
              <w:bottom w:type="dxa" w:w="60"/>
              <w:right w:type="dxa" w:w="90"/>
            </w:tcMar>
          </w:tcPr>
          <w:p>
            <w:pPr>
              <w:spacing w:after="0" w:line="240" w:lineRule="auto"/>
            </w:pPr>
            <w:r>
              <w:rPr>
                <w:b w:val="false"/>
                <w:bCs w:val="false"/>
                <w:sz w:val="17"/>
                <w:szCs w:val="17"/>
              </w:rPr>
              <w:t xml:space="preserve">+10.2</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−0.0188</w:t>
            </w:r>
          </w:p>
        </w:tc>
      </w:tr>
      <w:tr>
        <w:trPr>
          <w:cantSplit/>
        </w:trPr>
        <w:tc>
          <w:tcPr>
            <w:tcW w:type="dxa" w:w="1139"/>
            <w:tcMar>
              <w:top w:type="dxa" w:w="60"/>
              <w:left w:type="dxa" w:w="90"/>
              <w:bottom w:type="dxa" w:w="60"/>
              <w:right w:type="dxa" w:w="90"/>
            </w:tcMar>
          </w:tcPr>
          <w:p>
            <w:pPr>
              <w:spacing w:after="0" w:line="240" w:lineRule="auto"/>
            </w:pPr>
            <w:r>
              <w:rPr>
                <w:b w:val="false"/>
                <w:bCs w:val="false"/>
                <w:sz w:val="17"/>
                <w:szCs w:val="17"/>
              </w:rPr>
              <w:t xml:space="preserve">0.0015</w:t>
            </w:r>
          </w:p>
        </w:tc>
        <w:tc>
          <w:tcPr>
            <w:tcW w:type="dxa" w:w="1424"/>
            <w:tcMar>
              <w:top w:type="dxa" w:w="60"/>
              <w:left w:type="dxa" w:w="90"/>
              <w:bottom w:type="dxa" w:w="60"/>
              <w:right w:type="dxa" w:w="90"/>
            </w:tcMar>
          </w:tcPr>
          <w:p>
            <w:pPr>
              <w:spacing w:after="0" w:line="240" w:lineRule="auto"/>
            </w:pPr>
            <w:r>
              <w:rPr>
                <w:b w:val="false"/>
                <w:bCs w:val="false"/>
                <w:sz w:val="17"/>
                <w:szCs w:val="17"/>
              </w:rPr>
              <w:t xml:space="preserve">35283</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−0.0191</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+0.0377</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+0.0217</w:t>
            </w:r>
          </w:p>
        </w:tc>
        <w:tc>
          <w:tcPr>
            <w:tcW w:type="dxa" w:w="1519"/>
            <w:tcMar>
              <w:top w:type="dxa" w:w="60"/>
              <w:left w:type="dxa" w:w="90"/>
              <w:bottom w:type="dxa" w:w="60"/>
              <w:right w:type="dxa" w:w="90"/>
            </w:tcMar>
          </w:tcPr>
          <w:p>
            <w:pPr>
              <w:spacing w:after="0" w:line="240" w:lineRule="auto"/>
            </w:pPr>
            <w:r>
              <w:rPr>
                <w:b w:val="false"/>
                <w:bCs w:val="false"/>
                <w:sz w:val="17"/>
                <w:szCs w:val="17"/>
              </w:rPr>
              <w:t xml:space="preserve">+13.6</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−0.0191</w:t>
            </w:r>
          </w:p>
        </w:tc>
      </w:tr>
      <w:tr>
        <w:trPr>
          <w:cantSplit/>
        </w:trPr>
        <w:tc>
          <w:tcPr>
            <w:tcW w:type="dxa" w:w="1139"/>
            <w:tcMar>
              <w:top w:type="dxa" w:w="60"/>
              <w:left w:type="dxa" w:w="90"/>
              <w:bottom w:type="dxa" w:w="60"/>
              <w:right w:type="dxa" w:w="90"/>
            </w:tcMar>
          </w:tcPr>
          <w:p>
            <w:pPr>
              <w:spacing w:after="0" w:line="240" w:lineRule="auto"/>
            </w:pPr>
            <w:r>
              <w:rPr>
                <w:b w:val="false"/>
                <w:bCs w:val="false"/>
                <w:sz w:val="17"/>
                <w:szCs w:val="17"/>
              </w:rPr>
              <w:t xml:space="preserve">0.0020</w:t>
            </w:r>
          </w:p>
        </w:tc>
        <w:tc>
          <w:tcPr>
            <w:tcW w:type="dxa" w:w="1424"/>
            <w:tcMar>
              <w:top w:type="dxa" w:w="60"/>
              <w:left w:type="dxa" w:w="90"/>
              <w:bottom w:type="dxa" w:w="60"/>
              <w:right w:type="dxa" w:w="90"/>
            </w:tcMar>
          </w:tcPr>
          <w:p>
            <w:pPr>
              <w:spacing w:after="0" w:line="240" w:lineRule="auto"/>
            </w:pPr>
            <w:r>
              <w:rPr>
                <w:b w:val="false"/>
                <w:bCs w:val="false"/>
                <w:sz w:val="17"/>
                <w:szCs w:val="17"/>
              </w:rPr>
              <w:t xml:space="preserve">33771</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−0.0191</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+0.0424</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+0.0265</w:t>
            </w:r>
          </w:p>
        </w:tc>
        <w:tc>
          <w:tcPr>
            <w:tcW w:type="dxa" w:w="1519"/>
            <w:tcMar>
              <w:top w:type="dxa" w:w="60"/>
              <w:left w:type="dxa" w:w="90"/>
              <w:bottom w:type="dxa" w:w="60"/>
              <w:right w:type="dxa" w:w="90"/>
            </w:tcMar>
          </w:tcPr>
          <w:p>
            <w:pPr>
              <w:spacing w:after="0" w:line="240" w:lineRule="auto"/>
            </w:pPr>
            <w:r>
              <w:rPr>
                <w:b w:val="false"/>
                <w:bCs w:val="false"/>
                <w:sz w:val="17"/>
                <w:szCs w:val="17"/>
              </w:rPr>
              <w:t xml:space="preserve">+16.6</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−0.0191</w:t>
            </w:r>
          </w:p>
        </w:tc>
      </w:tr>
      <w:tr>
        <w:trPr>
          <w:cantSplit/>
        </w:trPr>
        <w:tc>
          <w:tcPr>
            <w:tcW w:type="dxa" w:w="1139"/>
            <w:tcMar>
              <w:top w:type="dxa" w:w="60"/>
              <w:left w:type="dxa" w:w="90"/>
              <w:bottom w:type="dxa" w:w="60"/>
              <w:right w:type="dxa" w:w="90"/>
            </w:tcMar>
          </w:tcPr>
          <w:p>
            <w:pPr>
              <w:spacing w:after="0" w:line="240" w:lineRule="auto"/>
            </w:pPr>
            <w:r>
              <w:rPr>
                <w:b w:val="false"/>
                <w:bCs w:val="false"/>
                <w:sz w:val="17"/>
                <w:szCs w:val="17"/>
              </w:rPr>
              <w:t xml:space="preserve">0.0040</w:t>
            </w:r>
          </w:p>
        </w:tc>
        <w:tc>
          <w:tcPr>
            <w:tcW w:type="dxa" w:w="1424"/>
            <w:tcMar>
              <w:top w:type="dxa" w:w="60"/>
              <w:left w:type="dxa" w:w="90"/>
              <w:bottom w:type="dxa" w:w="60"/>
              <w:right w:type="dxa" w:w="90"/>
            </w:tcMar>
          </w:tcPr>
          <w:p>
            <w:pPr>
              <w:spacing w:after="0" w:line="240" w:lineRule="auto"/>
            </w:pPr>
            <w:r>
              <w:rPr>
                <w:b w:val="false"/>
                <w:bCs w:val="false"/>
                <w:sz w:val="17"/>
                <w:szCs w:val="17"/>
              </w:rPr>
              <w:t xml:space="preserve">30320</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−0.0173</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+0.0615</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+0.0434</w:t>
            </w:r>
          </w:p>
        </w:tc>
        <w:tc>
          <w:tcPr>
            <w:tcW w:type="dxa" w:w="1519"/>
            <w:tcMar>
              <w:top w:type="dxa" w:w="60"/>
              <w:left w:type="dxa" w:w="90"/>
              <w:bottom w:type="dxa" w:w="60"/>
              <w:right w:type="dxa" w:w="90"/>
            </w:tcMar>
          </w:tcPr>
          <w:p>
            <w:pPr>
              <w:spacing w:after="0" w:line="240" w:lineRule="auto"/>
            </w:pPr>
            <w:r>
              <w:rPr>
                <w:b w:val="false"/>
                <w:bCs w:val="false"/>
                <w:sz w:val="17"/>
                <w:szCs w:val="17"/>
              </w:rPr>
              <w:t xml:space="preserve">+27.2</w:t>
            </w:r>
          </w:p>
        </w:tc>
        <w:tc>
          <w:tcPr>
            <w:tcW w:type="dxa" w:w="1234"/>
            <w:tcMar>
              <w:top w:type="dxa" w:w="60"/>
              <w:left w:type="dxa" w:w="90"/>
              <w:bottom w:type="dxa" w:w="60"/>
              <w:right w:type="dxa" w:w="90"/>
            </w:tcMar>
          </w:tcPr>
          <w:p>
            <w:pPr>
              <w:spacing w:after="0" w:line="240" w:lineRule="auto"/>
            </w:pPr>
            <w:r>
              <w:rPr>
                <w:b w:val="false"/>
                <w:bCs w:val="false"/>
                <w:sz w:val="17"/>
                <w:szCs w:val="17"/>
              </w:rPr>
              <w:t xml:space="preserve">−0.0173</w:t>
            </w:r>
          </w:p>
        </w:tc>
      </w:tr>
    </w:tbl>
    <w:p>
      <w:pPr>
        <w:spacing w:after="220" w:line="240" w:lineRule="auto"/>
      </w:pPr>
      <w:r>
        <w:rPr>
          <w:i/>
          <w:iCs/>
          <w:color w:val="4A5568"/>
          <w:sz w:val="18"/>
          <w:szCs w:val="18"/>
        </w:rPr>
        <w:t xml:space="preserve">Table 11 — From 0.0005 to 0.004 the σ-hole grows by a factor of 4.4.</w:t>
      </w:r>
    </w:p>
    <w:p>
      <w:pPr>
        <w:spacing w:after="120" w:line="276" w:lineRule="auto"/>
      </w:pPr>
      <w:r>
        <w:rPr>
          <w:sz w:val="21"/>
          <w:szCs w:val="21"/>
        </w:rPr>
        <w:t xml:space="preserve">A larger isovalue means a surface closer to the nuclei, where less of the positive nuclear contribution has been screened by the electrons. But the isovalue does not simply rescale the surface: over the same range the global maximum on the ring hydrogens grows by a factor of 2.5 while the belt around the bromine barely moves and then reverses. </w:t>
      </w:r>
      <w:r>
        <w:rPr>
          <w:sz w:val="21"/>
          <w:szCs w:val="21"/>
        </w:rPr>
        <w:t xml:space="preserve">Different features respond differently, which is precisely why a σ-hole value quoted without its isovalue is meaningless, and why two values computed at different isovalues cannot be compared at all. §6.4 shows the same effect from the literature side.</w:t>
      </w:r>
    </w:p>
    <w:p>
      <w:pPr>
        <w:spacing w:after="120" w:line="276" w:lineRule="auto"/>
      </w:pPr>
      <w:r>
        <w:rPr>
          <w:sz w:val="21"/>
          <w:szCs w:val="21"/>
        </w:rPr>
        <w:t xml:space="preserve">The shell point count falls by 30 % across the range while the σ-hole grows 4.4-fold, so the count is no indication of what happened to the values. </w:t>
      </w:r>
      <w:r>
        <w:rPr>
          <w:b/>
          <w:bCs/>
          <w:sz w:val="21"/>
          <w:szCs w:val="21"/>
        </w:rPr>
        <w:t xml:space="preserve">The --iso option exists to reproduce someone else’s choice, not to improve on 0.001.</w:t>
      </w:r>
    </w:p>
    <w:p>
      <w:pPr>
        <w:pStyle w:val="Heading2"/>
        <w:spacing w:after="120" w:before="260"/>
      </w:pPr>
      <w:r>
        <w:rPr>
          <w:b/>
          <w:bCs/>
          <w:color w:val="1F3864"/>
          <w:sz w:val="24"/>
          <w:szCs w:val="24"/>
        </w:rPr>
        <w:t xml:space="preserve">7.2  Grid resolution</w:t>
      </w:r>
    </w:p>
    <w:p>
      <w:pPr>
        <w:spacing w:after="120" w:line="276" w:lineRule="auto"/>
      </w:pPr>
      <w:r>
        <w:rPr>
          <w:sz w:val="21"/>
          <w:szCs w:val="21"/>
        </w:rPr>
        <w:t xml:space="preserve">Same molecule, isovalue fixed at 0.001, the same grid decimated by an increasing stride during conversion:</w:t>
      </w:r>
    </w:p>
    <w:tbl>
      <w:tblPr>
        <w:tblW w:type="dxa" w:w="9020"/>
        <w:tblBorders>
          <w:top w:val="single" w:color="B0B7C3" w:sz="4"/>
          <w:left w:val="none"/>
          <w:bottom w:val="single" w:color="B0B7C3" w:sz="4"/>
          <w:right w:val="none"/>
          <w:insideH w:val="single" w:color="D9DEE7" w:sz="2"/>
          <w:insideV w:val="none"/>
        </w:tblBorders>
      </w:tblPr>
      <w:tblGrid>
        <w:gridCol w:w="1010"/>
        <w:gridCol w:w="1010"/>
        <w:gridCol w:w="1010"/>
        <w:gridCol w:w="1194"/>
        <w:gridCol w:w="1102"/>
        <w:gridCol w:w="1102"/>
        <w:gridCol w:w="1102"/>
        <w:gridCol w:w="1488"/>
      </w:tblGrid>
      <w:tr>
        <w:trPr>
          <w:tblHeader/>
        </w:trPr>
        <w:tc>
          <w:tcPr>
            <w:tcW w:type="dxa" w:w="1010"/>
            <w:shd w:fill="F2F4F7" w:val="clear"/>
            <w:tcMar>
              <w:top w:type="dxa" w:w="60"/>
              <w:left w:type="dxa" w:w="90"/>
              <w:bottom w:type="dxa" w:w="60"/>
              <w:right w:type="dxa" w:w="90"/>
            </w:tcMar>
          </w:tcPr>
          <w:p>
            <w:pPr>
              <w:spacing w:after="0" w:line="240" w:lineRule="auto"/>
            </w:pPr>
            <w:r>
              <w:rPr>
                <w:b/>
                <w:bCs/>
                <w:sz w:val="17"/>
                <w:szCs w:val="17"/>
              </w:rPr>
              <w:t xml:space="preserve">--stride</w:t>
            </w:r>
          </w:p>
        </w:tc>
        <w:tc>
          <w:tcPr>
            <w:tcW w:type="dxa" w:w="1010"/>
            <w:shd w:fill="F2F4F7" w:val="clear"/>
            <w:tcMar>
              <w:top w:type="dxa" w:w="60"/>
              <w:left w:type="dxa" w:w="90"/>
              <w:bottom w:type="dxa" w:w="60"/>
              <w:right w:type="dxa" w:w="90"/>
            </w:tcMar>
          </w:tcPr>
          <w:p>
            <w:pPr>
              <w:spacing w:after="0" w:line="240" w:lineRule="auto"/>
            </w:pPr>
            <w:r>
              <w:rPr>
                <w:b/>
                <w:bCs/>
                <w:sz w:val="17"/>
                <w:szCs w:val="17"/>
              </w:rPr>
              <w:t xml:space="preserve">Grid</w:t>
            </w:r>
          </w:p>
        </w:tc>
        <w:tc>
          <w:tcPr>
            <w:tcW w:type="dxa" w:w="1010"/>
            <w:shd w:fill="F2F4F7" w:val="clear"/>
            <w:tcMar>
              <w:top w:type="dxa" w:w="60"/>
              <w:left w:type="dxa" w:w="90"/>
              <w:bottom w:type="dxa" w:w="60"/>
              <w:right w:type="dxa" w:w="90"/>
            </w:tcMar>
          </w:tcPr>
          <w:p>
            <w:pPr>
              <w:spacing w:after="0" w:line="240" w:lineRule="auto"/>
            </w:pPr>
            <w:r>
              <w:rPr>
                <w:b/>
                <w:bCs/>
                <w:sz w:val="17"/>
                <w:szCs w:val="17"/>
              </w:rPr>
              <w:t xml:space="preserve">Δ / Bohr</w:t>
            </w:r>
          </w:p>
        </w:tc>
        <w:tc>
          <w:tcPr>
            <w:tcW w:type="dxa" w:w="1194"/>
            <w:shd w:fill="F2F4F7" w:val="clear"/>
            <w:tcMar>
              <w:top w:type="dxa" w:w="60"/>
              <w:left w:type="dxa" w:w="90"/>
              <w:bottom w:type="dxa" w:w="60"/>
              <w:right w:type="dxa" w:w="90"/>
            </w:tcMar>
          </w:tcPr>
          <w:p>
            <w:pPr>
              <w:spacing w:after="0" w:line="240" w:lineRule="auto"/>
            </w:pPr>
            <w:r>
              <w:rPr>
                <w:b/>
                <w:bCs/>
                <w:sz w:val="17"/>
                <w:szCs w:val="17"/>
              </w:rPr>
              <w:t xml:space="preserve">Cube size</w:t>
            </w:r>
          </w:p>
        </w:tc>
        <w:tc>
          <w:tcPr>
            <w:tcW w:type="dxa" w:w="1102"/>
            <w:shd w:fill="F2F4F7" w:val="clear"/>
            <w:tcMar>
              <w:top w:type="dxa" w:w="60"/>
              <w:left w:type="dxa" w:w="90"/>
              <w:bottom w:type="dxa" w:w="60"/>
              <w:right w:type="dxa" w:w="90"/>
            </w:tcMar>
          </w:tcPr>
          <w:p>
            <w:pPr>
              <w:spacing w:after="0" w:line="240" w:lineRule="auto"/>
            </w:pPr>
            <w:r>
              <w:rPr>
                <w:b/>
                <w:bCs/>
                <w:sz w:val="17"/>
                <w:szCs w:val="17"/>
              </w:rPr>
              <w:t xml:space="preserve">V_S,min</w:t>
            </w:r>
          </w:p>
        </w:tc>
        <w:tc>
          <w:tcPr>
            <w:tcW w:type="dxa" w:w="1102"/>
            <w:shd w:fill="F2F4F7" w:val="clear"/>
            <w:tcMar>
              <w:top w:type="dxa" w:w="60"/>
              <w:left w:type="dxa" w:w="90"/>
              <w:bottom w:type="dxa" w:w="60"/>
              <w:right w:type="dxa" w:w="90"/>
            </w:tcMar>
          </w:tcPr>
          <w:p>
            <w:pPr>
              <w:spacing w:after="0" w:line="240" w:lineRule="auto"/>
            </w:pPr>
            <w:r>
              <w:rPr>
                <w:b/>
                <w:bCs/>
                <w:sz w:val="17"/>
                <w:szCs w:val="17"/>
              </w:rPr>
              <w:t xml:space="preserve">V_S,max</w:t>
            </w:r>
          </w:p>
        </w:tc>
        <w:tc>
          <w:tcPr>
            <w:tcW w:type="dxa" w:w="1102"/>
            <w:shd w:fill="F2F4F7" w:val="clear"/>
            <w:tcMar>
              <w:top w:type="dxa" w:w="60"/>
              <w:left w:type="dxa" w:w="90"/>
              <w:bottom w:type="dxa" w:w="60"/>
              <w:right w:type="dxa" w:w="90"/>
            </w:tcMar>
          </w:tcPr>
          <w:p>
            <w:pPr>
              <w:spacing w:after="0" w:line="240" w:lineRule="auto"/>
            </w:pPr>
            <w:r>
              <w:rPr>
                <w:b/>
                <w:bCs/>
                <w:sz w:val="17"/>
                <w:szCs w:val="17"/>
              </w:rPr>
              <w:t xml:space="preserve">σ-hole</w:t>
            </w:r>
          </w:p>
        </w:tc>
        <w:tc>
          <w:tcPr>
            <w:tcW w:type="dxa" w:w="1488"/>
            <w:shd w:fill="F2F4F7" w:val="clear"/>
            <w:tcMar>
              <w:top w:type="dxa" w:w="60"/>
              <w:left w:type="dxa" w:w="90"/>
              <w:bottom w:type="dxa" w:w="60"/>
              <w:right w:type="dxa" w:w="90"/>
            </w:tcMar>
          </w:tcPr>
          <w:p>
            <w:pPr>
              <w:spacing w:after="0" w:line="240" w:lineRule="auto"/>
            </w:pPr>
            <w:r>
              <w:rPr>
                <w:b/>
                <w:bCs/>
                <w:sz w:val="17"/>
                <w:szCs w:val="17"/>
              </w:rPr>
              <w:t xml:space="preserve">kcal/(mol·e)</w:t>
            </w:r>
          </w:p>
        </w:tc>
      </w:tr>
      <w:tr>
        <w:trPr>
          <w:cantSplit/>
        </w:trPr>
        <w:tc>
          <w:tcPr>
            <w:tcW w:type="dxa" w:w="1010"/>
            <w:tcMar>
              <w:top w:type="dxa" w:w="60"/>
              <w:left w:type="dxa" w:w="90"/>
              <w:bottom w:type="dxa" w:w="60"/>
              <w:right w:type="dxa" w:w="90"/>
            </w:tcMar>
          </w:tcPr>
          <w:p>
            <w:pPr>
              <w:spacing w:after="0" w:line="240" w:lineRule="auto"/>
            </w:pPr>
            <w:r>
              <w:rPr>
                <w:b w:val="false"/>
                <w:bCs w:val="false"/>
                <w:sz w:val="17"/>
                <w:szCs w:val="17"/>
              </w:rPr>
              <w:t xml:space="preserve">1</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0.12</w:t>
            </w:r>
          </w:p>
        </w:tc>
        <w:tc>
          <w:tcPr>
            <w:tcW w:type="dxa" w:w="1194"/>
            <w:tcMar>
              <w:top w:type="dxa" w:w="60"/>
              <w:left w:type="dxa" w:w="90"/>
              <w:bottom w:type="dxa" w:w="60"/>
              <w:right w:type="dxa" w:w="90"/>
            </w:tcMar>
          </w:tcPr>
          <w:p>
            <w:pPr>
              <w:spacing w:after="0" w:line="240" w:lineRule="auto"/>
            </w:pPr>
            <w:r>
              <w:rPr>
                <w:b w:val="false"/>
                <w:bCs w:val="false"/>
                <w:sz w:val="17"/>
                <w:szCs w:val="17"/>
              </w:rPr>
              <w:t xml:space="preserve">201.1 MB</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−0.0188</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+0.0315</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+0.0163</w:t>
            </w:r>
          </w:p>
        </w:tc>
        <w:tc>
          <w:tcPr>
            <w:tcW w:type="dxa" w:w="1488"/>
            <w:tcMar>
              <w:top w:type="dxa" w:w="60"/>
              <w:left w:type="dxa" w:w="90"/>
              <w:bottom w:type="dxa" w:w="60"/>
              <w:right w:type="dxa" w:w="90"/>
            </w:tcMar>
          </w:tcPr>
          <w:p>
            <w:pPr>
              <w:spacing w:after="0" w:line="240" w:lineRule="auto"/>
            </w:pPr>
            <w:r>
              <w:rPr>
                <w:b w:val="false"/>
                <w:bCs w:val="false"/>
                <w:sz w:val="17"/>
                <w:szCs w:val="17"/>
              </w:rPr>
              <w:t xml:space="preserve">+10.2</w:t>
            </w:r>
          </w:p>
        </w:tc>
      </w:tr>
      <w:tr>
        <w:trPr>
          <w:cantSplit/>
        </w:trPr>
        <w:tc>
          <w:tcPr>
            <w:tcW w:type="dxa" w:w="1010"/>
            <w:tcMar>
              <w:top w:type="dxa" w:w="60"/>
              <w:left w:type="dxa" w:w="90"/>
              <w:bottom w:type="dxa" w:w="60"/>
              <w:right w:type="dxa" w:w="90"/>
            </w:tcMar>
          </w:tcPr>
          <w:p>
            <w:pPr>
              <w:spacing w:after="0" w:line="240" w:lineRule="auto"/>
            </w:pPr>
            <w:r>
              <w:rPr>
                <w:b w:val="false"/>
                <w:bCs w:val="false"/>
                <w:sz w:val="17"/>
                <w:szCs w:val="17"/>
              </w:rPr>
              <w:t xml:space="preserve">2</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126³</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0.24</w:t>
            </w:r>
          </w:p>
        </w:tc>
        <w:tc>
          <w:tcPr>
            <w:tcW w:type="dxa" w:w="1194"/>
            <w:tcMar>
              <w:top w:type="dxa" w:w="60"/>
              <w:left w:type="dxa" w:w="90"/>
              <w:bottom w:type="dxa" w:w="60"/>
              <w:right w:type="dxa" w:w="90"/>
            </w:tcMar>
          </w:tcPr>
          <w:p>
            <w:pPr>
              <w:spacing w:after="0" w:line="240" w:lineRule="auto"/>
            </w:pPr>
            <w:r>
              <w:rPr>
                <w:b w:val="false"/>
                <w:bCs w:val="false"/>
                <w:sz w:val="17"/>
                <w:szCs w:val="17"/>
              </w:rPr>
              <w:t xml:space="preserve">25.4 MB</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−0.0188</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+0.0312</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+0.0161</w:t>
            </w:r>
          </w:p>
        </w:tc>
        <w:tc>
          <w:tcPr>
            <w:tcW w:type="dxa" w:w="1488"/>
            <w:tcMar>
              <w:top w:type="dxa" w:w="60"/>
              <w:left w:type="dxa" w:w="90"/>
              <w:bottom w:type="dxa" w:w="60"/>
              <w:right w:type="dxa" w:w="90"/>
            </w:tcMar>
          </w:tcPr>
          <w:p>
            <w:pPr>
              <w:spacing w:after="0" w:line="240" w:lineRule="auto"/>
            </w:pPr>
            <w:r>
              <w:rPr>
                <w:b w:val="false"/>
                <w:bCs w:val="false"/>
                <w:sz w:val="17"/>
                <w:szCs w:val="17"/>
              </w:rPr>
              <w:t xml:space="preserve">+10.1</w:t>
            </w:r>
          </w:p>
        </w:tc>
      </w:tr>
      <w:tr>
        <w:trPr>
          <w:cantSplit/>
        </w:trPr>
        <w:tc>
          <w:tcPr>
            <w:tcW w:type="dxa" w:w="1010"/>
            <w:tcMar>
              <w:top w:type="dxa" w:w="60"/>
              <w:left w:type="dxa" w:w="90"/>
              <w:bottom w:type="dxa" w:w="60"/>
              <w:right w:type="dxa" w:w="90"/>
            </w:tcMar>
          </w:tcPr>
          <w:p>
            <w:pPr>
              <w:spacing w:after="0" w:line="240" w:lineRule="auto"/>
            </w:pPr>
            <w:r>
              <w:rPr>
                <w:b w:val="false"/>
                <w:bCs w:val="false"/>
                <w:sz w:val="17"/>
                <w:szCs w:val="17"/>
              </w:rPr>
              <w:t xml:space="preserve">3</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84³</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0.36</w:t>
            </w:r>
          </w:p>
        </w:tc>
        <w:tc>
          <w:tcPr>
            <w:tcW w:type="dxa" w:w="1194"/>
            <w:tcMar>
              <w:top w:type="dxa" w:w="60"/>
              <w:left w:type="dxa" w:w="90"/>
              <w:bottom w:type="dxa" w:w="60"/>
              <w:right w:type="dxa" w:w="90"/>
            </w:tcMar>
          </w:tcPr>
          <w:p>
            <w:pPr>
              <w:spacing w:after="0" w:line="240" w:lineRule="auto"/>
            </w:pPr>
            <w:r>
              <w:rPr>
                <w:b w:val="false"/>
                <w:bCs w:val="false"/>
                <w:sz w:val="17"/>
                <w:szCs w:val="17"/>
              </w:rPr>
              <w:t xml:space="preserve">7.5 MB</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−0.0188</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+0.0312</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+0.0160</w:t>
            </w:r>
          </w:p>
        </w:tc>
        <w:tc>
          <w:tcPr>
            <w:tcW w:type="dxa" w:w="1488"/>
            <w:tcMar>
              <w:top w:type="dxa" w:w="60"/>
              <w:left w:type="dxa" w:w="90"/>
              <w:bottom w:type="dxa" w:w="60"/>
              <w:right w:type="dxa" w:w="90"/>
            </w:tcMar>
          </w:tcPr>
          <w:p>
            <w:pPr>
              <w:spacing w:after="0" w:line="240" w:lineRule="auto"/>
            </w:pPr>
            <w:r>
              <w:rPr>
                <w:b w:val="false"/>
                <w:bCs w:val="false"/>
                <w:sz w:val="17"/>
                <w:szCs w:val="17"/>
              </w:rPr>
              <w:t xml:space="preserve">+10.1</w:t>
            </w:r>
          </w:p>
        </w:tc>
      </w:tr>
      <w:tr>
        <w:trPr>
          <w:cantSplit/>
        </w:trPr>
        <w:tc>
          <w:tcPr>
            <w:tcW w:type="dxa" w:w="1010"/>
            <w:tcMar>
              <w:top w:type="dxa" w:w="60"/>
              <w:left w:type="dxa" w:w="90"/>
              <w:bottom w:type="dxa" w:w="60"/>
              <w:right w:type="dxa" w:w="90"/>
            </w:tcMar>
          </w:tcPr>
          <w:p>
            <w:pPr>
              <w:spacing w:after="0" w:line="240" w:lineRule="auto"/>
            </w:pPr>
            <w:r>
              <w:rPr>
                <w:b w:val="false"/>
                <w:bCs w:val="false"/>
                <w:sz w:val="17"/>
                <w:szCs w:val="17"/>
              </w:rPr>
              <w:t xml:space="preserve">4</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63³</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0.48</w:t>
            </w:r>
          </w:p>
        </w:tc>
        <w:tc>
          <w:tcPr>
            <w:tcW w:type="dxa" w:w="1194"/>
            <w:tcMar>
              <w:top w:type="dxa" w:w="60"/>
              <w:left w:type="dxa" w:w="90"/>
              <w:bottom w:type="dxa" w:w="60"/>
              <w:right w:type="dxa" w:w="90"/>
            </w:tcMar>
          </w:tcPr>
          <w:p>
            <w:pPr>
              <w:spacing w:after="0" w:line="240" w:lineRule="auto"/>
            </w:pPr>
            <w:r>
              <w:rPr>
                <w:b w:val="false"/>
                <w:bCs w:val="false"/>
                <w:sz w:val="17"/>
                <w:szCs w:val="17"/>
              </w:rPr>
              <w:t xml:space="preserve">3.2 MB</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−0.0188</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+0.0311</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+0.0158</w:t>
            </w:r>
          </w:p>
        </w:tc>
        <w:tc>
          <w:tcPr>
            <w:tcW w:type="dxa" w:w="1488"/>
            <w:tcMar>
              <w:top w:type="dxa" w:w="60"/>
              <w:left w:type="dxa" w:w="90"/>
              <w:bottom w:type="dxa" w:w="60"/>
              <w:right w:type="dxa" w:w="90"/>
            </w:tcMar>
          </w:tcPr>
          <w:p>
            <w:pPr>
              <w:spacing w:after="0" w:line="240" w:lineRule="auto"/>
            </w:pPr>
            <w:r>
              <w:rPr>
                <w:b w:val="false"/>
                <w:bCs w:val="false"/>
                <w:sz w:val="17"/>
                <w:szCs w:val="17"/>
              </w:rPr>
              <w:t xml:space="preserve">+9.9</w:t>
            </w:r>
          </w:p>
        </w:tc>
      </w:tr>
      <w:tr>
        <w:trPr>
          <w:cantSplit/>
        </w:trPr>
        <w:tc>
          <w:tcPr>
            <w:tcW w:type="dxa" w:w="1010"/>
            <w:tcMar>
              <w:top w:type="dxa" w:w="60"/>
              <w:left w:type="dxa" w:w="90"/>
              <w:bottom w:type="dxa" w:w="60"/>
              <w:right w:type="dxa" w:w="90"/>
            </w:tcMar>
          </w:tcPr>
          <w:p>
            <w:pPr>
              <w:spacing w:after="0" w:line="240" w:lineRule="auto"/>
            </w:pPr>
            <w:r>
              <w:rPr>
                <w:b w:val="false"/>
                <w:bCs w:val="false"/>
                <w:sz w:val="17"/>
                <w:szCs w:val="17"/>
              </w:rPr>
              <w:t xml:space="preserve">6</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42³</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0.72</w:t>
            </w:r>
          </w:p>
        </w:tc>
        <w:tc>
          <w:tcPr>
            <w:tcW w:type="dxa" w:w="1194"/>
            <w:tcMar>
              <w:top w:type="dxa" w:w="60"/>
              <w:left w:type="dxa" w:w="90"/>
              <w:bottom w:type="dxa" w:w="60"/>
              <w:right w:type="dxa" w:w="90"/>
            </w:tcMar>
          </w:tcPr>
          <w:p>
            <w:pPr>
              <w:spacing w:after="0" w:line="240" w:lineRule="auto"/>
            </w:pPr>
            <w:r>
              <w:rPr>
                <w:b w:val="false"/>
                <w:bCs w:val="false"/>
                <w:sz w:val="17"/>
                <w:szCs w:val="17"/>
              </w:rPr>
              <w:t xml:space="preserve">0.9 MB</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−0.0188</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+0.0312</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+0.0149</w:t>
            </w:r>
          </w:p>
        </w:tc>
        <w:tc>
          <w:tcPr>
            <w:tcW w:type="dxa" w:w="1488"/>
            <w:tcMar>
              <w:top w:type="dxa" w:w="60"/>
              <w:left w:type="dxa" w:w="90"/>
              <w:bottom w:type="dxa" w:w="60"/>
              <w:right w:type="dxa" w:w="90"/>
            </w:tcMar>
          </w:tcPr>
          <w:p>
            <w:pPr>
              <w:spacing w:after="0" w:line="240" w:lineRule="auto"/>
            </w:pPr>
            <w:r>
              <w:rPr>
                <w:b w:val="false"/>
                <w:bCs w:val="false"/>
                <w:sz w:val="17"/>
                <w:szCs w:val="17"/>
              </w:rPr>
              <w:t xml:space="preserve">+9.4</w:t>
            </w:r>
          </w:p>
        </w:tc>
      </w:tr>
      <w:tr>
        <w:trPr>
          <w:cantSplit/>
        </w:trPr>
        <w:tc>
          <w:tcPr>
            <w:tcW w:type="dxa" w:w="1010"/>
            <w:tcMar>
              <w:top w:type="dxa" w:w="60"/>
              <w:left w:type="dxa" w:w="90"/>
              <w:bottom w:type="dxa" w:w="60"/>
              <w:right w:type="dxa" w:w="90"/>
            </w:tcMar>
          </w:tcPr>
          <w:p>
            <w:pPr>
              <w:spacing w:after="0" w:line="240" w:lineRule="auto"/>
            </w:pPr>
            <w:r>
              <w:rPr>
                <w:b w:val="false"/>
                <w:bCs w:val="false"/>
                <w:sz w:val="17"/>
                <w:szCs w:val="17"/>
              </w:rPr>
              <w:t xml:space="preserve">8</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32³</w:t>
            </w:r>
          </w:p>
        </w:tc>
        <w:tc>
          <w:tcPr>
            <w:tcW w:type="dxa" w:w="1010"/>
            <w:tcMar>
              <w:top w:type="dxa" w:w="60"/>
              <w:left w:type="dxa" w:w="90"/>
              <w:bottom w:type="dxa" w:w="60"/>
              <w:right w:type="dxa" w:w="90"/>
            </w:tcMar>
          </w:tcPr>
          <w:p>
            <w:pPr>
              <w:spacing w:after="0" w:line="240" w:lineRule="auto"/>
            </w:pPr>
            <w:r>
              <w:rPr>
                <w:b w:val="false"/>
                <w:bCs w:val="false"/>
                <w:sz w:val="17"/>
                <w:szCs w:val="17"/>
              </w:rPr>
              <w:t xml:space="preserve">0.96</w:t>
            </w:r>
          </w:p>
        </w:tc>
        <w:tc>
          <w:tcPr>
            <w:tcW w:type="dxa" w:w="1194"/>
            <w:tcMar>
              <w:top w:type="dxa" w:w="60"/>
              <w:left w:type="dxa" w:w="90"/>
              <w:bottom w:type="dxa" w:w="60"/>
              <w:right w:type="dxa" w:w="90"/>
            </w:tcMar>
          </w:tcPr>
          <w:p>
            <w:pPr>
              <w:spacing w:after="0" w:line="240" w:lineRule="auto"/>
            </w:pPr>
            <w:r>
              <w:rPr>
                <w:b w:val="false"/>
                <w:bCs w:val="false"/>
                <w:sz w:val="17"/>
                <w:szCs w:val="17"/>
              </w:rPr>
              <w:t xml:space="preserve">0.4 MB</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−0.0187</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+0.0296</w:t>
            </w:r>
          </w:p>
        </w:tc>
        <w:tc>
          <w:tcPr>
            <w:tcW w:type="dxa" w:w="1102"/>
            <w:tcMar>
              <w:top w:type="dxa" w:w="60"/>
              <w:left w:type="dxa" w:w="90"/>
              <w:bottom w:type="dxa" w:w="60"/>
              <w:right w:type="dxa" w:w="90"/>
            </w:tcMar>
          </w:tcPr>
          <w:p>
            <w:pPr>
              <w:spacing w:after="0" w:line="240" w:lineRule="auto"/>
            </w:pPr>
            <w:r>
              <w:rPr>
                <w:b w:val="false"/>
                <w:bCs w:val="false"/>
                <w:sz w:val="17"/>
                <w:szCs w:val="17"/>
              </w:rPr>
              <w:t xml:space="preserve">+0.0135</w:t>
            </w:r>
          </w:p>
        </w:tc>
        <w:tc>
          <w:tcPr>
            <w:tcW w:type="dxa" w:w="1488"/>
            <w:tcMar>
              <w:top w:type="dxa" w:w="60"/>
              <w:left w:type="dxa" w:w="90"/>
              <w:bottom w:type="dxa" w:w="60"/>
              <w:right w:type="dxa" w:w="90"/>
            </w:tcMar>
          </w:tcPr>
          <w:p>
            <w:pPr>
              <w:spacing w:after="0" w:line="240" w:lineRule="auto"/>
            </w:pPr>
            <w:r>
              <w:rPr>
                <w:b w:val="false"/>
                <w:bCs w:val="false"/>
                <w:sz w:val="17"/>
                <w:szCs w:val="17"/>
              </w:rPr>
              <w:t xml:space="preserve">+8.4</w:t>
            </w:r>
          </w:p>
        </w:tc>
      </w:tr>
    </w:tbl>
    <w:p>
      <w:pPr>
        <w:spacing w:after="220" w:line="240" w:lineRule="auto"/>
      </w:pPr>
      <w:r>
        <w:rPr>
          <w:i/>
          <w:iCs/>
          <w:color w:val="4A5568"/>
          <w:sz w:val="18"/>
          <w:szCs w:val="18"/>
        </w:rPr>
        <w:t xml:space="preserve">Table 12 — Cost falls by a factor of 480 across this table; the σ-hole falls by 17 %.</w:t>
      </w:r>
    </w:p>
    <w:p>
      <w:pPr>
        <w:spacing w:after="120" w:line="276" w:lineRule="auto"/>
      </w:pPr>
      <w:r>
        <w:rPr>
          <w:sz w:val="21"/>
          <w:szCs w:val="21"/>
        </w:rPr>
        <w:t xml:space="preserve">The degradation is smooth and one-sided, because the interpolated density smooths the isosurface outwards and the potential there is less positive. </w:t>
      </w:r>
      <w:r>
        <w:rPr>
          <w:sz w:val="21"/>
          <w:szCs w:val="21"/>
        </w:rPr>
        <w:t xml:space="preserve">V</w:t>
      </w:r>
      <w:r>
        <w:rPr>
          <w:i/>
          <w:iCs/>
          <w:sz w:val="21"/>
          <w:szCs w:val="21"/>
        </w:rPr>
        <w:t xml:space="preserve">S,min</w:t>
      </w:r>
      <w:r>
        <w:rPr>
          <w:sz w:val="21"/>
          <w:szCs w:val="21"/>
        </w:rPr>
        <w:t xml:space="preserve"> is essentially immune — it is a broad, flat feature — while the σ-hole, a sharp peak, is the sensitive one. </w:t>
      </w:r>
      <w:r>
        <w:rPr>
          <w:b/>
          <w:bCs/>
          <w:sz w:val="21"/>
          <w:szCs w:val="21"/>
        </w:rPr>
        <w:t xml:space="preserve">Practical rule: stride 2 for looking, stride 1 for numbers that go in a table.</w:t>
      </w:r>
      <w:r>
        <w:rPr>
          <w:sz w:val="21"/>
          <w:szCs w:val="21"/>
        </w:rPr>
        <w:t xml:space="preserve"> The converter warns above 0.30 Bohr spacing for exactly this reason.</w:t>
      </w:r>
    </w:p>
    <w:p>
      <w:pPr>
        <w:pStyle w:val="Heading2"/>
        <w:spacing w:after="120" w:before="260"/>
      </w:pPr>
      <w:r>
        <w:rPr>
          <w:b/>
          <w:bCs/>
          <w:color w:val="1F3864"/>
          <w:sz w:val="24"/>
          <w:szCs w:val="24"/>
        </w:rPr>
        <w:t xml:space="preserve">7.3  Evaluation method: rays against grid points</w:t>
      </w:r>
    </w:p>
    <w:p>
      <w:pPr>
        <w:spacing w:after="120" w:line="276" w:lineRule="auto"/>
      </w:pPr>
      <w:r>
        <w:rPr>
          <w:sz w:val="21"/>
          <w:szCs w:val="21"/>
        </w:rPr>
        <w:t xml:space="preserve">The same six grids, the same isovalue, the same molecule — only the way the σ-hole is read off differs:</w:t>
      </w:r>
    </w:p>
    <w:tbl>
      <w:tblPr>
        <w:tblW w:type="dxa" w:w="9020"/>
        <w:tblBorders>
          <w:top w:val="single" w:color="B0B7C3" w:sz="4"/>
          <w:left w:val="none"/>
          <w:bottom w:val="single" w:color="B0B7C3" w:sz="4"/>
          <w:right w:val="none"/>
          <w:insideH w:val="single" w:color="D9DEE7" w:sz="2"/>
          <w:insideV w:val="none"/>
        </w:tblBorders>
      </w:tblPr>
      <w:tblGrid>
        <w:gridCol w:w="1600"/>
        <w:gridCol w:w="1800"/>
        <w:gridCol w:w="2810"/>
        <w:gridCol w:w="2810"/>
      </w:tblGrid>
      <w:tr>
        <w:trPr>
          <w:tblHeader/>
        </w:trPr>
        <w:tc>
          <w:tcPr>
            <w:tcW w:type="dxa" w:w="1600"/>
            <w:shd w:fill="F2F4F7" w:val="clear"/>
            <w:tcMar>
              <w:top w:type="dxa" w:w="60"/>
              <w:left w:type="dxa" w:w="90"/>
              <w:bottom w:type="dxa" w:w="60"/>
              <w:right w:type="dxa" w:w="90"/>
            </w:tcMar>
          </w:tcPr>
          <w:p>
            <w:pPr>
              <w:spacing w:after="0" w:line="240" w:lineRule="auto"/>
            </w:pPr>
            <w:r>
              <w:rPr>
                <w:b/>
                <w:bCs/>
                <w:sz w:val="17"/>
                <w:szCs w:val="17"/>
              </w:rPr>
              <w:t xml:space="preserve">Grid</w:t>
            </w:r>
          </w:p>
        </w:tc>
        <w:tc>
          <w:tcPr>
            <w:tcW w:type="dxa" w:w="1800"/>
            <w:shd w:fill="F2F4F7" w:val="clear"/>
            <w:tcMar>
              <w:top w:type="dxa" w:w="60"/>
              <w:left w:type="dxa" w:w="90"/>
              <w:bottom w:type="dxa" w:w="60"/>
              <w:right w:type="dxa" w:w="90"/>
            </w:tcMar>
          </w:tcPr>
          <w:p>
            <w:pPr>
              <w:spacing w:after="0" w:line="240" w:lineRule="auto"/>
            </w:pPr>
            <w:r>
              <w:rPr>
                <w:b/>
                <w:bCs/>
                <w:sz w:val="17"/>
                <w:szCs w:val="17"/>
              </w:rPr>
              <w:t xml:space="preserve">Spacing</w:t>
            </w:r>
          </w:p>
        </w:tc>
        <w:tc>
          <w:tcPr>
            <w:tcW w:type="dxa" w:w="2810"/>
            <w:shd w:fill="F2F4F7" w:val="clear"/>
            <w:tcMar>
              <w:top w:type="dxa" w:w="60"/>
              <w:left w:type="dxa" w:w="90"/>
              <w:bottom w:type="dxa" w:w="60"/>
              <w:right w:type="dxa" w:w="90"/>
            </w:tcMar>
          </w:tcPr>
          <w:p>
            <w:pPr>
              <w:spacing w:after="0" w:line="240" w:lineRule="auto"/>
            </w:pPr>
            <w:r>
              <w:rPr>
                <w:b/>
                <w:bCs/>
                <w:sz w:val="17"/>
                <w:szCs w:val="17"/>
              </w:rPr>
              <w:t xml:space="preserve">Point-based</w:t>
            </w:r>
          </w:p>
        </w:tc>
        <w:tc>
          <w:tcPr>
            <w:tcW w:type="dxa" w:w="2810"/>
            <w:shd w:fill="F2F4F7" w:val="clear"/>
            <w:tcMar>
              <w:top w:type="dxa" w:w="60"/>
              <w:left w:type="dxa" w:w="90"/>
              <w:bottom w:type="dxa" w:w="60"/>
              <w:right w:type="dxa" w:w="90"/>
            </w:tcMar>
          </w:tcPr>
          <w:p>
            <w:pPr>
              <w:spacing w:after="0" w:line="240" w:lineRule="auto"/>
            </w:pPr>
            <w:r>
              <w:rPr>
                <w:b/>
                <w:bCs/>
                <w:sz w:val="17"/>
                <w:szCs w:val="17"/>
              </w:rPr>
              <w:t xml:space="preserve">Ray-based (used)</w:t>
            </w:r>
          </w:p>
        </w:tc>
      </w:tr>
      <w:tr>
        <w:trPr>
          <w:cantSplit/>
        </w:trPr>
        <w:tc>
          <w:tcPr>
            <w:tcW w:type="dxa" w:w="1600"/>
            <w:tcMar>
              <w:top w:type="dxa" w:w="60"/>
              <w:left w:type="dxa" w:w="90"/>
              <w:bottom w:type="dxa" w:w="60"/>
              <w:right w:type="dxa" w:w="90"/>
            </w:tcMar>
          </w:tcPr>
          <w:p>
            <w:pPr>
              <w:spacing w:after="0" w:line="240" w:lineRule="auto"/>
            </w:pPr>
            <w:r>
              <w:rPr>
                <w:b w:val="false"/>
                <w:bCs w:val="false"/>
                <w:sz w:val="17"/>
                <w:szCs w:val="17"/>
              </w:rPr>
              <w:t xml:space="preserve">42³</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0.72 Bohr</w:t>
            </w:r>
          </w:p>
        </w:tc>
        <w:tc>
          <w:tcPr>
            <w:tcW w:type="dxa" w:w="2810"/>
            <w:tcMar>
              <w:top w:type="dxa" w:w="60"/>
              <w:left w:type="dxa" w:w="90"/>
              <w:bottom w:type="dxa" w:w="60"/>
              <w:right w:type="dxa" w:w="90"/>
            </w:tcMar>
          </w:tcPr>
          <w:p>
            <w:pPr>
              <w:spacing w:after="0" w:line="240" w:lineRule="auto"/>
            </w:pPr>
            <w:r>
              <w:rPr>
                <w:b w:val="false"/>
                <w:bCs w:val="false"/>
                <w:sz w:val="17"/>
                <w:szCs w:val="17"/>
              </w:rPr>
              <w:t xml:space="preserve">+2.1 kcal/(mol·e)</w:t>
            </w:r>
          </w:p>
        </w:tc>
        <w:tc>
          <w:tcPr>
            <w:tcW w:type="dxa" w:w="2810"/>
            <w:tcMar>
              <w:top w:type="dxa" w:w="60"/>
              <w:left w:type="dxa" w:w="90"/>
              <w:bottom w:type="dxa" w:w="60"/>
              <w:right w:type="dxa" w:w="90"/>
            </w:tcMar>
          </w:tcPr>
          <w:p>
            <w:pPr>
              <w:spacing w:after="0" w:line="240" w:lineRule="auto"/>
            </w:pPr>
            <w:r>
              <w:rPr>
                <w:b w:val="false"/>
                <w:bCs w:val="false"/>
                <w:sz w:val="17"/>
                <w:szCs w:val="17"/>
              </w:rPr>
              <w:t xml:space="preserve">+9.4 kcal/(mol·e)</w:t>
            </w:r>
          </w:p>
        </w:tc>
      </w:tr>
      <w:tr>
        <w:trPr>
          <w:cantSplit/>
        </w:trPr>
        <w:tc>
          <w:tcPr>
            <w:tcW w:type="dxa" w:w="1600"/>
            <w:tcMar>
              <w:top w:type="dxa" w:w="60"/>
              <w:left w:type="dxa" w:w="90"/>
              <w:bottom w:type="dxa" w:w="60"/>
              <w:right w:type="dxa" w:w="90"/>
            </w:tcMar>
          </w:tcPr>
          <w:p>
            <w:pPr>
              <w:spacing w:after="0" w:line="240" w:lineRule="auto"/>
            </w:pPr>
            <w:r>
              <w:rPr>
                <w:b w:val="false"/>
                <w:bCs w:val="false"/>
                <w:sz w:val="17"/>
                <w:szCs w:val="17"/>
              </w:rPr>
              <w:t xml:space="preserve">126³</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0.24 Bohr</w:t>
            </w:r>
          </w:p>
        </w:tc>
        <w:tc>
          <w:tcPr>
            <w:tcW w:type="dxa" w:w="2810"/>
            <w:tcMar>
              <w:top w:type="dxa" w:w="60"/>
              <w:left w:type="dxa" w:w="90"/>
              <w:bottom w:type="dxa" w:w="60"/>
              <w:right w:type="dxa" w:w="90"/>
            </w:tcMar>
          </w:tcPr>
          <w:p>
            <w:pPr>
              <w:spacing w:after="0" w:line="240" w:lineRule="auto"/>
            </w:pPr>
            <w:r>
              <w:rPr>
                <w:b w:val="false"/>
                <w:bCs w:val="false"/>
                <w:sz w:val="17"/>
                <w:szCs w:val="17"/>
              </w:rPr>
              <w:t xml:space="preserve">+7.9</w:t>
            </w:r>
          </w:p>
        </w:tc>
        <w:tc>
          <w:tcPr>
            <w:tcW w:type="dxa" w:w="2810"/>
            <w:tcMar>
              <w:top w:type="dxa" w:w="60"/>
              <w:left w:type="dxa" w:w="90"/>
              <w:bottom w:type="dxa" w:w="60"/>
              <w:right w:type="dxa" w:w="90"/>
            </w:tcMar>
          </w:tcPr>
          <w:p>
            <w:pPr>
              <w:spacing w:after="0" w:line="240" w:lineRule="auto"/>
            </w:pPr>
            <w:r>
              <w:rPr>
                <w:b w:val="false"/>
                <w:bCs w:val="false"/>
                <w:sz w:val="17"/>
                <w:szCs w:val="17"/>
              </w:rPr>
              <w:t xml:space="preserve">+10.1</w:t>
            </w:r>
          </w:p>
        </w:tc>
      </w:tr>
      <w:tr>
        <w:trPr>
          <w:cantSplit/>
        </w:trPr>
        <w:tc>
          <w:tcPr>
            <w:tcW w:type="dxa" w:w="1600"/>
            <w:tcMar>
              <w:top w:type="dxa" w:w="60"/>
              <w:left w:type="dxa" w:w="90"/>
              <w:bottom w:type="dxa" w:w="60"/>
              <w:right w:type="dxa" w:w="90"/>
            </w:tcMar>
          </w:tcPr>
          <w:p>
            <w:pPr>
              <w:spacing w:after="0" w:line="240" w:lineRule="auto"/>
            </w:pPr>
            <w:r>
              <w:rPr>
                <w:b w:val="false"/>
                <w:bCs w:val="false"/>
                <w:sz w:val="17"/>
                <w:szCs w:val="17"/>
              </w:rPr>
              <w:t xml:space="preserve">251³</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0.12 Bohr</w:t>
            </w:r>
          </w:p>
        </w:tc>
        <w:tc>
          <w:tcPr>
            <w:tcW w:type="dxa" w:w="2810"/>
            <w:tcMar>
              <w:top w:type="dxa" w:w="60"/>
              <w:left w:type="dxa" w:w="90"/>
              <w:bottom w:type="dxa" w:w="60"/>
              <w:right w:type="dxa" w:w="90"/>
            </w:tcMar>
          </w:tcPr>
          <w:p>
            <w:pPr>
              <w:spacing w:after="0" w:line="240" w:lineRule="auto"/>
            </w:pPr>
            <w:r>
              <w:rPr>
                <w:b w:val="false"/>
                <w:bCs w:val="false"/>
                <w:sz w:val="17"/>
                <w:szCs w:val="17"/>
              </w:rPr>
              <w:t xml:space="preserve">+11.0</w:t>
            </w:r>
          </w:p>
        </w:tc>
        <w:tc>
          <w:tcPr>
            <w:tcW w:type="dxa" w:w="2810"/>
            <w:tcMar>
              <w:top w:type="dxa" w:w="60"/>
              <w:left w:type="dxa" w:w="90"/>
              <w:bottom w:type="dxa" w:w="60"/>
              <w:right w:type="dxa" w:w="90"/>
            </w:tcMar>
          </w:tcPr>
          <w:p>
            <w:pPr>
              <w:spacing w:after="0" w:line="240" w:lineRule="auto"/>
            </w:pPr>
            <w:r>
              <w:rPr>
                <w:b w:val="false"/>
                <w:bCs w:val="false"/>
                <w:sz w:val="17"/>
                <w:szCs w:val="17"/>
              </w:rPr>
              <w:t xml:space="preserve">+10.2</w:t>
            </w:r>
          </w:p>
        </w:tc>
      </w:tr>
    </w:tbl>
    <w:p>
      <w:pPr>
        <w:spacing w:after="220" w:line="240" w:lineRule="auto"/>
      </w:pPr>
      <w:r>
        <w:rPr>
          <w:i/>
          <w:iCs/>
          <w:color w:val="4A5568"/>
          <w:sz w:val="18"/>
          <w:szCs w:val="18"/>
        </w:rPr>
        <w:t xml:space="preserve">Table 13 — Bromobenzene. The point-based value spans a factor of five across these grids; the ray-based one varies by 8 %.</w:t>
      </w:r>
    </w:p>
    <w:p>
      <w:pPr>
        <w:spacing w:after="120" w:line="276" w:lineRule="auto"/>
      </w:pPr>
      <w:r>
        <w:rPr>
          <w:sz w:val="21"/>
          <w:szCs w:val="21"/>
        </w:rPr>
        <w:t xml:space="preserve">Triazolam makes the same point on a single grid rather than across several. Its Cl21 σ-hole is +10.7 kcal/(mol·e) by rays and +16.8 by grid points — a 57 % difference from identical data. </w:t>
      </w:r>
      <w:r>
        <w:rPr>
          <w:sz w:val="21"/>
          <w:szCs w:val="21"/>
        </w:rPr>
        <w:t xml:space="preserve">The point-based method is not merely noisier; on a coarse grid it is biased low, because the probability of a grid point falling near the axis and inside the thin shell decreases as the shell gets relatively thinner.</w:t>
      </w:r>
    </w:p>
    <w:p>
      <w:pPr>
        <w:pStyle w:val="Heading2"/>
        <w:spacing w:after="120" w:before="260"/>
      </w:pPr>
      <w:r>
        <w:rPr>
          <w:b/>
          <w:bCs/>
          <w:color w:val="1F3864"/>
          <w:sz w:val="24"/>
          <w:szCs w:val="24"/>
        </w:rPr>
        <w:t xml:space="preserve">7.4  σ-hole search parameters</w:t>
      </w:r>
    </w:p>
    <w:tbl>
      <w:tblPr>
        <w:tblW w:type="dxa" w:w="9020"/>
        <w:tblBorders>
          <w:top w:val="single" w:color="B0B7C3" w:sz="4"/>
          <w:left w:val="none"/>
          <w:bottom w:val="single" w:color="B0B7C3" w:sz="4"/>
          <w:right w:val="none"/>
          <w:insideH w:val="single" w:color="D9DEE7" w:sz="2"/>
          <w:insideV w:val="none"/>
        </w:tblBorders>
      </w:tblPr>
      <w:tblGrid>
        <w:gridCol w:w="1900"/>
        <w:gridCol w:w="2600"/>
        <w:gridCol w:w="4520"/>
      </w:tblGrid>
      <w:tr>
        <w:trPr>
          <w:tblHeader/>
        </w:trPr>
        <w:tc>
          <w:tcPr>
            <w:tcW w:type="dxa" w:w="1900"/>
            <w:shd w:fill="F2F4F7" w:val="clear"/>
            <w:tcMar>
              <w:top w:type="dxa" w:w="60"/>
              <w:left w:type="dxa" w:w="90"/>
              <w:bottom w:type="dxa" w:w="60"/>
              <w:right w:type="dxa" w:w="90"/>
            </w:tcMar>
          </w:tcPr>
          <w:p>
            <w:pPr>
              <w:spacing w:after="0" w:line="240" w:lineRule="auto"/>
            </w:pPr>
            <w:r>
              <w:rPr>
                <w:b/>
                <w:bCs/>
                <w:sz w:val="17"/>
                <w:szCs w:val="17"/>
              </w:rPr>
              <w:t xml:space="preserve">Parameter</w:t>
            </w:r>
          </w:p>
        </w:tc>
        <w:tc>
          <w:tcPr>
            <w:tcW w:type="dxa" w:w="2600"/>
            <w:shd w:fill="F2F4F7" w:val="clear"/>
            <w:tcMar>
              <w:top w:type="dxa" w:w="60"/>
              <w:left w:type="dxa" w:w="90"/>
              <w:bottom w:type="dxa" w:w="60"/>
              <w:right w:type="dxa" w:w="90"/>
            </w:tcMar>
          </w:tcPr>
          <w:p>
            <w:pPr>
              <w:spacing w:after="0" w:line="240" w:lineRule="auto"/>
            </w:pPr>
            <w:r>
              <w:rPr>
                <w:b/>
                <w:bCs/>
                <w:sz w:val="17"/>
                <w:szCs w:val="17"/>
              </w:rPr>
              <w:t xml:space="preserve">Value</w:t>
            </w:r>
          </w:p>
        </w:tc>
        <w:tc>
          <w:tcPr>
            <w:tcW w:type="dxa" w:w="4520"/>
            <w:shd w:fill="F2F4F7" w:val="clear"/>
            <w:tcMar>
              <w:top w:type="dxa" w:w="60"/>
              <w:left w:type="dxa" w:w="90"/>
              <w:bottom w:type="dxa" w:w="60"/>
              <w:right w:type="dxa" w:w="90"/>
            </w:tcMar>
          </w:tcPr>
          <w:p>
            <w:pPr>
              <w:spacing w:after="0" w:line="240" w:lineRule="auto"/>
            </w:pPr>
            <w:r>
              <w:rPr>
                <w:b/>
                <w:bCs/>
                <w:sz w:val="17"/>
                <w:szCs w:val="17"/>
              </w:rPr>
              <w:t xml:space="preserve">Why</w:t>
            </w:r>
          </w:p>
        </w:tc>
      </w:tr>
      <w:tr>
        <w:trPr>
          <w:cantSplit/>
        </w:trPr>
        <w:tc>
          <w:tcPr>
            <w:tcW w:type="dxa" w:w="1900"/>
            <w:tcMar>
              <w:top w:type="dxa" w:w="60"/>
              <w:left w:type="dxa" w:w="90"/>
              <w:bottom w:type="dxa" w:w="60"/>
              <w:right w:type="dxa" w:w="90"/>
            </w:tcMar>
          </w:tcPr>
          <w:p>
            <w:pPr>
              <w:spacing w:after="0" w:line="240" w:lineRule="auto"/>
            </w:pPr>
            <w:r>
              <w:rPr>
                <w:b w:val="false"/>
                <w:bCs w:val="false"/>
                <w:sz w:val="17"/>
                <w:szCs w:val="17"/>
              </w:rPr>
              <w:t xml:space="preserve">Cone half-angle</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36.9° (cos θ = 0.80)</w:t>
            </w:r>
          </w:p>
        </w:tc>
        <w:tc>
          <w:tcPr>
            <w:tcW w:type="dxa" w:w="4520"/>
            <w:tcMar>
              <w:top w:type="dxa" w:w="60"/>
              <w:left w:type="dxa" w:w="90"/>
              <w:bottom w:type="dxa" w:w="60"/>
              <w:right w:type="dxa" w:w="90"/>
            </w:tcMar>
          </w:tcPr>
          <w:p>
            <w:pPr>
              <w:spacing w:after="0" w:line="240" w:lineRule="auto"/>
            </w:pPr>
            <w:r>
              <w:rPr>
                <w:b w:val="false"/>
                <w:bCs w:val="false"/>
                <w:sz w:val="17"/>
                <w:szCs w:val="17"/>
              </w:rPr>
              <w:t xml:space="preserve">wide enough that a tilted σ-hole is found, narrow enough that the belt is not</w:t>
            </w:r>
          </w:p>
        </w:tc>
      </w:tr>
      <w:tr>
        <w:trPr>
          <w:cantSplit/>
        </w:trPr>
        <w:tc>
          <w:tcPr>
            <w:tcW w:type="dxa" w:w="1900"/>
            <w:tcMar>
              <w:top w:type="dxa" w:w="60"/>
              <w:left w:type="dxa" w:w="90"/>
              <w:bottom w:type="dxa" w:w="60"/>
              <w:right w:type="dxa" w:w="90"/>
            </w:tcMar>
          </w:tcPr>
          <w:p>
            <w:pPr>
              <w:spacing w:after="0" w:line="240" w:lineRule="auto"/>
            </w:pPr>
            <w:r>
              <w:rPr>
                <w:b w:val="false"/>
                <w:bCs w:val="false"/>
                <w:sz w:val="17"/>
                <w:szCs w:val="17"/>
              </w:rPr>
              <w:t xml:space="preserve">Rays per halogen</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400, Fibonacci spiral, first ray on the axis</w:t>
            </w:r>
          </w:p>
        </w:tc>
        <w:tc>
          <w:tcPr>
            <w:tcW w:type="dxa" w:w="4520"/>
            <w:tcMar>
              <w:top w:type="dxa" w:w="60"/>
              <w:left w:type="dxa" w:w="90"/>
              <w:bottom w:type="dxa" w:w="60"/>
              <w:right w:type="dxa" w:w="90"/>
            </w:tcMar>
          </w:tcPr>
          <w:p>
            <w:pPr>
              <w:spacing w:after="0" w:line="240" w:lineRule="auto"/>
            </w:pPr>
            <w:r>
              <w:rPr>
                <w:b w:val="false"/>
                <w:bCs w:val="false"/>
                <w:sz w:val="17"/>
                <w:szCs w:val="17"/>
              </w:rPr>
              <w:t xml:space="preserve">even coverage of the cap without the crowding near the axis that spherical coordinates produce</w:t>
            </w:r>
          </w:p>
        </w:tc>
      </w:tr>
      <w:tr>
        <w:trPr>
          <w:cantSplit/>
        </w:trPr>
        <w:tc>
          <w:tcPr>
            <w:tcW w:type="dxa" w:w="1900"/>
            <w:tcMar>
              <w:top w:type="dxa" w:w="60"/>
              <w:left w:type="dxa" w:w="90"/>
              <w:bottom w:type="dxa" w:w="60"/>
              <w:right w:type="dxa" w:w="90"/>
            </w:tcMar>
          </w:tcPr>
          <w:p>
            <w:pPr>
              <w:spacing w:after="0" w:line="240" w:lineRule="auto"/>
            </w:pPr>
            <w:r>
              <w:rPr>
                <w:b w:val="false"/>
                <w:bCs w:val="false"/>
                <w:sz w:val="17"/>
                <w:szCs w:val="17"/>
              </w:rPr>
              <w:t xml:space="preserve">Step along a ray</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0.02 Bohr</w:t>
            </w:r>
          </w:p>
        </w:tc>
        <w:tc>
          <w:tcPr>
            <w:tcW w:type="dxa" w:w="4520"/>
            <w:tcMar>
              <w:top w:type="dxa" w:w="60"/>
              <w:left w:type="dxa" w:w="90"/>
              <w:bottom w:type="dxa" w:w="60"/>
              <w:right w:type="dxa" w:w="90"/>
            </w:tcMar>
          </w:tcPr>
          <w:p>
            <w:pPr>
              <w:spacing w:after="0" w:line="240" w:lineRule="auto"/>
            </w:pPr>
            <w:r>
              <w:rPr>
                <w:b w:val="false"/>
                <w:bCs w:val="false"/>
                <w:sz w:val="17"/>
                <w:szCs w:val="17"/>
              </w:rPr>
              <w:t xml:space="preserve">far below the grid spacing; the crossing radius is then interpolation-limited, not step-limited</w:t>
            </w:r>
          </w:p>
        </w:tc>
      </w:tr>
      <w:tr>
        <w:trPr>
          <w:cantSplit/>
        </w:trPr>
        <w:tc>
          <w:tcPr>
            <w:tcW w:type="dxa" w:w="1900"/>
            <w:tcMar>
              <w:top w:type="dxa" w:w="60"/>
              <w:left w:type="dxa" w:w="90"/>
              <w:bottom w:type="dxa" w:w="60"/>
              <w:right w:type="dxa" w:w="90"/>
            </w:tcMar>
          </w:tcPr>
          <w:p>
            <w:pPr>
              <w:spacing w:after="0" w:line="240" w:lineRule="auto"/>
            </w:pPr>
            <w:r>
              <w:rPr>
                <w:b w:val="false"/>
                <w:bCs w:val="false"/>
                <w:sz w:val="17"/>
                <w:szCs w:val="17"/>
              </w:rPr>
              <w:t xml:space="preserve">Radius cut-off</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1.6 × Bondi van der Waals radius</w:t>
            </w:r>
          </w:p>
        </w:tc>
        <w:tc>
          <w:tcPr>
            <w:tcW w:type="dxa" w:w="4520"/>
            <w:tcMar>
              <w:top w:type="dxa" w:w="60"/>
              <w:left w:type="dxa" w:w="90"/>
              <w:bottom w:type="dxa" w:w="60"/>
              <w:right w:type="dxa" w:w="90"/>
            </w:tcMar>
          </w:tcPr>
          <w:p>
            <w:pPr>
              <w:spacing w:after="0" w:line="240" w:lineRule="auto"/>
            </w:pPr>
            <w:r>
              <w:rPr>
                <w:b w:val="false"/>
                <w:bCs w:val="false"/>
                <w:sz w:val="17"/>
                <w:szCs w:val="17"/>
              </w:rPr>
              <w:t xml:space="preserve">the ρ = 0.001 surface sits at 1.1–1.2 vdW radii; beyond 1.6 the ray is in another part of the molecule (§8.3)</w:t>
            </w:r>
          </w:p>
        </w:tc>
      </w:tr>
      <w:tr>
        <w:trPr>
          <w:cantSplit/>
        </w:trPr>
        <w:tc>
          <w:tcPr>
            <w:tcW w:type="dxa" w:w="1900"/>
            <w:tcMar>
              <w:top w:type="dxa" w:w="60"/>
              <w:left w:type="dxa" w:w="90"/>
              <w:bottom w:type="dxa" w:w="60"/>
              <w:right w:type="dxa" w:w="90"/>
            </w:tcMar>
          </w:tcPr>
          <w:p>
            <w:pPr>
              <w:spacing w:after="0" w:line="240" w:lineRule="auto"/>
            </w:pPr>
            <w:r>
              <w:rPr>
                <w:b w:val="false"/>
                <w:bCs w:val="false"/>
                <w:sz w:val="17"/>
                <w:szCs w:val="17"/>
              </w:rPr>
              <w:t xml:space="preserve">Belt half-angle</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±69.5° (cos θ = 0.35)</w:t>
            </w:r>
          </w:p>
        </w:tc>
        <w:tc>
          <w:tcPr>
            <w:tcW w:type="dxa" w:w="4520"/>
            <w:tcMar>
              <w:top w:type="dxa" w:w="60"/>
              <w:left w:type="dxa" w:w="90"/>
              <w:bottom w:type="dxa" w:w="60"/>
              <w:right w:type="dxa" w:w="90"/>
            </w:tcMar>
          </w:tcPr>
          <w:p>
            <w:pPr>
              <w:spacing w:after="0" w:line="240" w:lineRule="auto"/>
            </w:pPr>
            <w:r>
              <w:rPr>
                <w:b w:val="false"/>
                <w:bCs w:val="false"/>
                <w:sz w:val="17"/>
                <w:szCs w:val="17"/>
              </w:rPr>
              <w:t xml:space="preserve">the belt is broad; a narrow band would sample noise</w:t>
            </w:r>
          </w:p>
        </w:tc>
      </w:tr>
      <w:tr>
        <w:trPr>
          <w:cantSplit/>
        </w:trPr>
        <w:tc>
          <w:tcPr>
            <w:tcW w:type="dxa" w:w="1900"/>
            <w:tcMar>
              <w:top w:type="dxa" w:w="60"/>
              <w:left w:type="dxa" w:w="90"/>
              <w:bottom w:type="dxa" w:w="60"/>
              <w:right w:type="dxa" w:w="90"/>
            </w:tcMar>
          </w:tcPr>
          <w:p>
            <w:pPr>
              <w:spacing w:after="0" w:line="240" w:lineRule="auto"/>
            </w:pPr>
            <w:r>
              <w:rPr>
                <w:b w:val="false"/>
                <w:bCs w:val="false"/>
                <w:sz w:val="17"/>
                <w:szCs w:val="17"/>
              </w:rPr>
              <w:t xml:space="preserve">Belt radius</w:t>
            </w:r>
          </w:p>
        </w:tc>
        <w:tc>
          <w:tcPr>
            <w:tcW w:type="dxa" w:w="2600"/>
            <w:tcMar>
              <w:top w:type="dxa" w:w="60"/>
              <w:left w:type="dxa" w:w="90"/>
              <w:bottom w:type="dxa" w:w="60"/>
              <w:right w:type="dxa" w:w="90"/>
            </w:tcMar>
          </w:tcPr>
          <w:p>
            <w:pPr>
              <w:spacing w:after="0" w:line="240" w:lineRule="auto"/>
            </w:pPr>
            <w:r>
              <w:rPr>
                <w:b w:val="false"/>
                <w:bCs w:val="false"/>
                <w:sz w:val="17"/>
                <w:szCs w:val="17"/>
              </w:rPr>
              <w:t xml:space="preserve">1.5 × mean cap radius</w:t>
            </w:r>
          </w:p>
        </w:tc>
        <w:tc>
          <w:tcPr>
            <w:tcW w:type="dxa" w:w="4520"/>
            <w:tcMar>
              <w:top w:type="dxa" w:w="60"/>
              <w:left w:type="dxa" w:w="90"/>
              <w:bottom w:type="dxa" w:w="60"/>
              <w:right w:type="dxa" w:w="90"/>
            </w:tcMar>
          </w:tcPr>
          <w:p>
            <w:pPr>
              <w:spacing w:after="0" w:line="240" w:lineRule="auto"/>
            </w:pPr>
            <w:r>
              <w:rPr>
                <w:b w:val="false"/>
                <w:bCs w:val="false"/>
                <w:sz w:val="17"/>
                <w:szCs w:val="17"/>
              </w:rPr>
              <w:t xml:space="preserve">keeps the belt on its own halogen</w:t>
            </w:r>
          </w:p>
        </w:tc>
      </w:tr>
    </w:tbl>
    <w:p>
      <w:pPr>
        <w:spacing w:after="220" w:line="240" w:lineRule="auto"/>
      </w:pPr>
      <w:r>
        <w:rPr>
          <w:i/>
          <w:iCs/>
          <w:color w:val="4A5568"/>
          <w:sz w:val="18"/>
          <w:szCs w:val="18"/>
        </w:rPr>
        <w:t xml:space="preserve">Table 14 — The first two were tuned; the rest follow from the geometry.</w:t>
      </w:r>
    </w:p>
    <w:p>
      <w:pPr>
        <w:spacing w:after="120" w:line="276" w:lineRule="auto"/>
      </w:pPr>
      <w:r>
        <w:rPr>
          <w:sz w:val="21"/>
          <w:szCs w:val="21"/>
        </w:rPr>
        <w:t xml:space="preserve">One detail of the ray distribution is worth recording because it was wrong at first. The Fibonacci spiral is generated with a +0.5 midpoint offset, which is correct for an </w:t>
      </w:r>
      <w:r>
        <w:rPr>
          <w:i/>
          <w:iCs/>
          <w:sz w:val="21"/>
          <w:szCs w:val="21"/>
        </w:rPr>
        <w:t xml:space="preserve">equal-area</w:t>
      </w:r>
      <w:r>
        <w:rPr>
          <w:sz w:val="21"/>
          <w:szCs w:val="21"/>
        </w:rPr>
        <w:t xml:space="preserve"> distribution — every ray in the middle of a ring of the same size. But this is a search for a </w:t>
      </w:r>
      <w:r>
        <w:rPr>
          <w:i/>
          <w:iCs/>
          <w:sz w:val="21"/>
          <w:szCs w:val="21"/>
        </w:rPr>
        <w:t xml:space="preserve">maximum</w:t>
      </w:r>
      <w:r>
        <w:rPr>
          <w:sz w:val="21"/>
          <w:szCs w:val="21"/>
        </w:rPr>
        <w:t xml:space="preserve">, and for the σ-hole that maximum sits exactly on the axis. With the offset alone the innermost ray was 1.281° off, the axis itself was never evaluated, and every axially symmetric molecule stubbornly reported “1.3 degrees” — a lower bound of the sampling grid rather than a measurement. The error in the value was small (0.008 kcal/(mol·e) on 4-bromoacetophenone); the error in the reported angle was misleading, and the angle is the diagnostic.</w:t>
      </w:r>
    </w:p>
    <w:p>
      <w:pPr>
        <w:pStyle w:val="Heading2"/>
        <w:spacing w:after="120" w:before="260"/>
      </w:pPr>
      <w:r>
        <w:rPr>
          <w:b/>
          <w:bCs/>
          <w:color w:val="1F3864"/>
          <w:sz w:val="24"/>
          <w:szCs w:val="24"/>
        </w:rPr>
        <w:t xml:space="preserve">7.5  Colour range — visual only</w:t>
      </w:r>
    </w:p>
    <w:p>
      <w:pPr>
        <w:spacing w:after="120" w:line="276" w:lineRule="auto"/>
      </w:pPr>
      <w:r>
        <w:rPr>
          <w:sz w:val="21"/>
          <w:szCs w:val="21"/>
        </w:rPr>
        <w:t xml:space="preserve">The colour range never touches a computed value; it only maps numbers to colours. It appears in this section because getting it wrong makes a correct calculation look wrong.</w:t>
      </w:r>
    </w:p>
    <w:tbl>
      <w:tblPr>
        <w:tblW w:type="dxa" w:w="9020"/>
        <w:tblBorders>
          <w:top w:val="single" w:color="B0B7C3" w:sz="4"/>
          <w:left w:val="none"/>
          <w:bottom w:val="single" w:color="B0B7C3" w:sz="4"/>
          <w:right w:val="none"/>
          <w:insideH w:val="single" w:color="D9DEE7" w:sz="2"/>
          <w:insideV w:val="none"/>
        </w:tblBorders>
      </w:tblPr>
      <w:tblGrid>
        <w:gridCol w:w="3000"/>
        <w:gridCol w:w="2500"/>
        <w:gridCol w:w="3520"/>
      </w:tblGrid>
      <w:tr>
        <w:trPr>
          <w:tblHeader/>
        </w:trPr>
        <w:tc>
          <w:tcPr>
            <w:tcW w:type="dxa" w:w="3000"/>
            <w:shd w:fill="F2F4F7" w:val="clear"/>
            <w:tcMar>
              <w:top w:type="dxa" w:w="60"/>
              <w:left w:type="dxa" w:w="90"/>
              <w:bottom w:type="dxa" w:w="60"/>
              <w:right w:type="dxa" w:w="90"/>
            </w:tcMar>
          </w:tcPr>
          <w:p>
            <w:pPr>
              <w:spacing w:after="0" w:line="240" w:lineRule="auto"/>
            </w:pPr>
            <w:r>
              <w:rPr>
                <w:b/>
                <w:bCs/>
                <w:sz w:val="17"/>
                <w:szCs w:val="17"/>
              </w:rPr>
              <w:t xml:space="preserve">Molecule</w:t>
            </w:r>
          </w:p>
        </w:tc>
        <w:tc>
          <w:tcPr>
            <w:tcW w:type="dxa" w:w="2500"/>
            <w:shd w:fill="F2F4F7" w:val="clear"/>
            <w:tcMar>
              <w:top w:type="dxa" w:w="60"/>
              <w:left w:type="dxa" w:w="90"/>
              <w:bottom w:type="dxa" w:w="60"/>
              <w:right w:type="dxa" w:w="90"/>
            </w:tcMar>
          </w:tcPr>
          <w:p>
            <w:pPr>
              <w:spacing w:after="0" w:line="240" w:lineRule="auto"/>
            </w:pPr>
            <w:r>
              <w:rPr>
                <w:b/>
                <w:bCs/>
                <w:sz w:val="17"/>
                <w:szCs w:val="17"/>
              </w:rPr>
              <w:t xml:space="preserve">Automatic range</w:t>
            </w:r>
          </w:p>
        </w:tc>
        <w:tc>
          <w:tcPr>
            <w:tcW w:type="dxa" w:w="3520"/>
            <w:shd w:fill="F2F4F7" w:val="clear"/>
            <w:tcMar>
              <w:top w:type="dxa" w:w="60"/>
              <w:left w:type="dxa" w:w="90"/>
              <w:bottom w:type="dxa" w:w="60"/>
              <w:right w:type="dxa" w:w="90"/>
            </w:tcMar>
          </w:tcPr>
          <w:p>
            <w:pPr>
              <w:spacing w:after="0" w:line="240" w:lineRule="auto"/>
            </w:pPr>
            <w:r>
              <w:rPr>
                <w:b/>
                <w:bCs/>
                <w:sz w:val="17"/>
                <w:szCs w:val="17"/>
              </w:rPr>
              <w:t xml:space="preserve">Set by</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halobenzenes</w:t>
            </w:r>
          </w:p>
        </w:tc>
        <w:tc>
          <w:tcPr>
            <w:tcW w:type="dxa" w:w="2500"/>
            <w:tcMar>
              <w:top w:type="dxa" w:w="60"/>
              <w:left w:type="dxa" w:w="90"/>
              <w:bottom w:type="dxa" w:w="60"/>
              <w:right w:type="dxa" w:w="90"/>
            </w:tcMar>
          </w:tcPr>
          <w:p>
            <w:pPr>
              <w:spacing w:after="0" w:line="240" w:lineRule="auto"/>
            </w:pPr>
            <w:r>
              <w:rPr>
                <w:b w:val="false"/>
                <w:bCs w:val="false"/>
                <w:sz w:val="17"/>
                <w:szCs w:val="17"/>
              </w:rPr>
              <w:t xml:space="preserve">±0.035</w:t>
            </w:r>
          </w:p>
        </w:tc>
        <w:tc>
          <w:tcPr>
            <w:tcW w:type="dxa" w:w="3520"/>
            <w:tcMar>
              <w:top w:type="dxa" w:w="60"/>
              <w:left w:type="dxa" w:w="90"/>
              <w:bottom w:type="dxa" w:w="60"/>
              <w:right w:type="dxa" w:w="90"/>
            </w:tcMar>
          </w:tcPr>
          <w:p>
            <w:pPr>
              <w:spacing w:after="0" w:line="240" w:lineRule="auto"/>
            </w:pPr>
            <w:r>
              <w:rPr>
                <w:b w:val="false"/>
                <w:bCs w:val="false"/>
                <w:sz w:val="17"/>
                <w:szCs w:val="17"/>
              </w:rPr>
              <w:t xml:space="preserve">the halogen belt</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4-chloro-3-nitropyridine</w:t>
            </w:r>
          </w:p>
        </w:tc>
        <w:tc>
          <w:tcPr>
            <w:tcW w:type="dxa" w:w="2500"/>
            <w:tcMar>
              <w:top w:type="dxa" w:w="60"/>
              <w:left w:type="dxa" w:w="90"/>
              <w:bottom w:type="dxa" w:w="60"/>
              <w:right w:type="dxa" w:w="90"/>
            </w:tcMar>
          </w:tcPr>
          <w:p>
            <w:pPr>
              <w:spacing w:after="0" w:line="240" w:lineRule="auto"/>
            </w:pPr>
            <w:r>
              <w:rPr>
                <w:b w:val="false"/>
                <w:bCs w:val="false"/>
                <w:sz w:val="17"/>
                <w:szCs w:val="17"/>
              </w:rPr>
              <w:t xml:space="preserve">±0.060</w:t>
            </w:r>
          </w:p>
        </w:tc>
        <w:tc>
          <w:tcPr>
            <w:tcW w:type="dxa" w:w="3520"/>
            <w:tcMar>
              <w:top w:type="dxa" w:w="60"/>
              <w:left w:type="dxa" w:w="90"/>
              <w:bottom w:type="dxa" w:w="60"/>
              <w:right w:type="dxa" w:w="90"/>
            </w:tcMar>
          </w:tcPr>
          <w:p>
            <w:pPr>
              <w:spacing w:after="0" w:line="240" w:lineRule="auto"/>
            </w:pPr>
            <w:r>
              <w:rPr>
                <w:b w:val="false"/>
                <w:bCs w:val="false"/>
                <w:sz w:val="17"/>
                <w:szCs w:val="17"/>
              </w:rPr>
              <w:t xml:space="preserve">the ring hydrogens</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pyridine, 4-methylpyridine</w:t>
            </w:r>
          </w:p>
        </w:tc>
        <w:tc>
          <w:tcPr>
            <w:tcW w:type="dxa" w:w="2500"/>
            <w:tcMar>
              <w:top w:type="dxa" w:w="60"/>
              <w:left w:type="dxa" w:w="90"/>
              <w:bottom w:type="dxa" w:w="60"/>
              <w:right w:type="dxa" w:w="90"/>
            </w:tcMar>
          </w:tcPr>
          <w:p>
            <w:pPr>
              <w:spacing w:after="0" w:line="240" w:lineRule="auto"/>
            </w:pPr>
            <w:r>
              <w:rPr>
                <w:b w:val="false"/>
                <w:bCs w:val="false"/>
                <w:sz w:val="17"/>
                <w:szCs w:val="17"/>
              </w:rPr>
              <w:t xml:space="preserve">±0.070</w:t>
            </w:r>
          </w:p>
        </w:tc>
        <w:tc>
          <w:tcPr>
            <w:tcW w:type="dxa" w:w="3520"/>
            <w:tcMar>
              <w:top w:type="dxa" w:w="60"/>
              <w:left w:type="dxa" w:w="90"/>
              <w:bottom w:type="dxa" w:w="60"/>
              <w:right w:type="dxa" w:w="90"/>
            </w:tcMar>
          </w:tcPr>
          <w:p>
            <w:pPr>
              <w:spacing w:after="0" w:line="240" w:lineRule="auto"/>
            </w:pPr>
            <w:r>
              <w:rPr>
                <w:b w:val="false"/>
                <w:bCs w:val="false"/>
                <w:sz w:val="17"/>
                <w:szCs w:val="17"/>
              </w:rPr>
              <w:t xml:space="preserve">the ring nitrogen lone pair</w:t>
            </w:r>
          </w:p>
        </w:tc>
      </w:tr>
      <w:tr>
        <w:trPr>
          <w:cantSplit/>
        </w:trPr>
        <w:tc>
          <w:tcPr>
            <w:tcW w:type="dxa" w:w="3000"/>
            <w:tcMar>
              <w:top w:type="dxa" w:w="60"/>
              <w:left w:type="dxa" w:w="90"/>
              <w:bottom w:type="dxa" w:w="60"/>
              <w:right w:type="dxa" w:w="90"/>
            </w:tcMar>
          </w:tcPr>
          <w:p>
            <w:pPr>
              <w:spacing w:after="0" w:line="240" w:lineRule="auto"/>
            </w:pPr>
            <w:r>
              <w:rPr>
                <w:b w:val="false"/>
                <w:bCs w:val="false"/>
                <w:sz w:val="17"/>
                <w:szCs w:val="17"/>
              </w:rPr>
              <w:t xml:space="preserve">triazolam</w:t>
            </w:r>
          </w:p>
        </w:tc>
        <w:tc>
          <w:tcPr>
            <w:tcW w:type="dxa" w:w="2500"/>
            <w:tcMar>
              <w:top w:type="dxa" w:w="60"/>
              <w:left w:type="dxa" w:w="90"/>
              <w:bottom w:type="dxa" w:w="60"/>
              <w:right w:type="dxa" w:w="90"/>
            </w:tcMar>
          </w:tcPr>
          <w:p>
            <w:pPr>
              <w:spacing w:after="0" w:line="240" w:lineRule="auto"/>
            </w:pPr>
            <w:r>
              <w:rPr>
                <w:b w:val="false"/>
                <w:bCs w:val="false"/>
                <w:sz w:val="17"/>
                <w:szCs w:val="17"/>
              </w:rPr>
              <w:t xml:space="preserve">±0.085</w:t>
            </w:r>
          </w:p>
        </w:tc>
        <w:tc>
          <w:tcPr>
            <w:tcW w:type="dxa" w:w="3520"/>
            <w:tcMar>
              <w:top w:type="dxa" w:w="60"/>
              <w:left w:type="dxa" w:w="90"/>
              <w:bottom w:type="dxa" w:w="60"/>
              <w:right w:type="dxa" w:w="90"/>
            </w:tcMar>
          </w:tcPr>
          <w:p>
            <w:pPr>
              <w:spacing w:after="0" w:line="240" w:lineRule="auto"/>
            </w:pPr>
            <w:r>
              <w:rPr>
                <w:b w:val="false"/>
                <w:bCs w:val="false"/>
                <w:sz w:val="17"/>
                <w:szCs w:val="17"/>
              </w:rPr>
              <w:t xml:space="preserve">the triazole nitrogens</w:t>
            </w:r>
          </w:p>
        </w:tc>
      </w:tr>
    </w:tbl>
    <w:p>
      <w:pPr>
        <w:spacing w:after="220" w:line="240" w:lineRule="auto"/>
      </w:pPr>
      <w:r>
        <w:rPr>
          <w:i/>
          <w:iCs/>
          <w:color w:val="4A5568"/>
          <w:sz w:val="18"/>
          <w:szCs w:val="18"/>
        </w:rPr>
        <w:t xml:space="preserve">Table 15 — The automatic range is set by whichever feature of the molecule is most extreme, which is rarely the feature under discussion.</w:t>
      </w:r>
    </w:p>
    <w:p>
      <w:pPr>
        <w:spacing w:after="120" w:line="276" w:lineRule="auto"/>
      </w:pPr>
      <w:r>
        <w:rPr>
          <w:sz w:val="21"/>
          <w:szCs w:val="21"/>
        </w:rPr>
        <w:t xml:space="preserve">A σ-hole of +0.017 a.u. is 49 % of full blue at ±0.035 and 20 % at ±0.085 — clearly visible in the first case and nearly white in the second, from identical data. </w:t>
      </w:r>
      <w:r>
        <w:rPr>
          <w:sz w:val="21"/>
          <w:szCs w:val="21"/>
        </w:rPr>
        <w:t xml:space="preserve">Triazolam is the cautionary example: its triazole nitrogens push the automatic range out to ±0.085, and a correctly computed σ-hole then all but disappears from the picture. </w:t>
      </w:r>
      <w:r>
        <w:rPr>
          <w:b/>
          <w:bCs/>
          <w:sz w:val="21"/>
          <w:szCs w:val="21"/>
        </w:rPr>
        <w:t xml:space="preserve">A common scale is required whenever two figures are compared, and a common scale is meaningless across data of different provenance.</w:t>
      </w:r>
    </w:p>
    <w:p>
      <w:pPr>
        <w:pStyle w:val="Heading2"/>
        <w:spacing w:after="120" w:before="260"/>
      </w:pPr>
      <w:r>
        <w:rPr>
          <w:b/>
          <w:bCs/>
          <w:color w:val="1F3864"/>
          <w:sz w:val="24"/>
          <w:szCs w:val="24"/>
        </w:rPr>
        <w:t xml:space="preserve">7.6  Rendering parameters</w:t>
      </w:r>
    </w:p>
    <w:tbl>
      <w:tblPr>
        <w:tblW w:type="dxa" w:w="9020"/>
        <w:tblBorders>
          <w:top w:val="single" w:color="B0B7C3" w:sz="4"/>
          <w:left w:val="none"/>
          <w:bottom w:val="single" w:color="B0B7C3" w:sz="4"/>
          <w:right w:val="none"/>
          <w:insideH w:val="single" w:color="D9DEE7" w:sz="2"/>
          <w:insideV w:val="none"/>
        </w:tblBorders>
      </w:tblPr>
      <w:tblGrid>
        <w:gridCol w:w="2200"/>
        <w:gridCol w:w="1800"/>
        <w:gridCol w:w="5020"/>
      </w:tblGrid>
      <w:tr>
        <w:trPr>
          <w:tblHeader/>
        </w:trPr>
        <w:tc>
          <w:tcPr>
            <w:tcW w:type="dxa" w:w="2200"/>
            <w:shd w:fill="F2F4F7" w:val="clear"/>
            <w:tcMar>
              <w:top w:type="dxa" w:w="60"/>
              <w:left w:type="dxa" w:w="90"/>
              <w:bottom w:type="dxa" w:w="60"/>
              <w:right w:type="dxa" w:w="90"/>
            </w:tcMar>
          </w:tcPr>
          <w:p>
            <w:pPr>
              <w:spacing w:after="0" w:line="240" w:lineRule="auto"/>
            </w:pPr>
            <w:r>
              <w:rPr>
                <w:b/>
                <w:bCs/>
                <w:sz w:val="17"/>
                <w:szCs w:val="17"/>
              </w:rPr>
              <w:t xml:space="preserve">Parameter</w:t>
            </w:r>
          </w:p>
        </w:tc>
        <w:tc>
          <w:tcPr>
            <w:tcW w:type="dxa" w:w="1800"/>
            <w:shd w:fill="F2F4F7" w:val="clear"/>
            <w:tcMar>
              <w:top w:type="dxa" w:w="60"/>
              <w:left w:type="dxa" w:w="90"/>
              <w:bottom w:type="dxa" w:w="60"/>
              <w:right w:type="dxa" w:w="90"/>
            </w:tcMar>
          </w:tcPr>
          <w:p>
            <w:pPr>
              <w:spacing w:after="0" w:line="240" w:lineRule="auto"/>
            </w:pPr>
            <w:r>
              <w:rPr>
                <w:b/>
                <w:bCs/>
                <w:sz w:val="17"/>
                <w:szCs w:val="17"/>
              </w:rPr>
              <w:t xml:space="preserve">Value</w:t>
            </w:r>
          </w:p>
        </w:tc>
        <w:tc>
          <w:tcPr>
            <w:tcW w:type="dxa" w:w="5020"/>
            <w:shd w:fill="F2F4F7" w:val="clear"/>
            <w:tcMar>
              <w:top w:type="dxa" w:w="60"/>
              <w:left w:type="dxa" w:w="90"/>
              <w:bottom w:type="dxa" w:w="60"/>
              <w:right w:type="dxa" w:w="90"/>
            </w:tcMar>
          </w:tcPr>
          <w:p>
            <w:pPr>
              <w:spacing w:after="0" w:line="240" w:lineRule="auto"/>
            </w:pPr>
            <w:r>
              <w:rPr>
                <w:b/>
                <w:bCs/>
                <w:sz w:val="17"/>
                <w:szCs w:val="17"/>
              </w:rPr>
              <w:t xml:space="preserve">Note</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Transparency (PyMOL)</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0.15</w:t>
            </w:r>
          </w:p>
        </w:tc>
        <w:tc>
          <w:tcPr>
            <w:tcW w:type="dxa" w:w="5020"/>
            <w:tcMar>
              <w:top w:type="dxa" w:w="60"/>
              <w:left w:type="dxa" w:w="90"/>
              <w:bottom w:type="dxa" w:w="60"/>
              <w:right w:type="dxa" w:w="90"/>
            </w:tcMar>
          </w:tcPr>
          <w:p>
            <w:pPr>
              <w:spacing w:after="0" w:line="240" w:lineRule="auto"/>
            </w:pPr>
            <w:r>
              <w:rPr>
                <w:b w:val="false"/>
                <w:bCs w:val="false"/>
                <w:sz w:val="17"/>
                <w:szCs w:val="17"/>
              </w:rPr>
              <w:t xml:space="preserve">enough to see the stick model through the surface; above ~0.3 the in-plane and axial views become unreadable</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Opacity (VMD)</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0.50</w:t>
            </w:r>
          </w:p>
        </w:tc>
        <w:tc>
          <w:tcPr>
            <w:tcW w:type="dxa" w:w="5020"/>
            <w:tcMar>
              <w:top w:type="dxa" w:w="60"/>
              <w:left w:type="dxa" w:w="90"/>
              <w:bottom w:type="dxa" w:w="60"/>
              <w:right w:type="dxa" w:w="90"/>
            </w:tcMar>
          </w:tcPr>
          <w:p>
            <w:pPr>
              <w:spacing w:after="0" w:line="240" w:lineRule="auto"/>
            </w:pPr>
            <w:r>
              <w:rPr>
                <w:b w:val="false"/>
                <w:bCs w:val="false"/>
                <w:sz w:val="17"/>
                <w:szCs w:val="17"/>
              </w:rPr>
              <w:t xml:space="preserve">not the same quantity — see §8.4</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Stick radius</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0.10 Å</w:t>
            </w:r>
          </w:p>
        </w:tc>
        <w:tc>
          <w:tcPr>
            <w:tcW w:type="dxa" w:w="5020"/>
            <w:tcMar>
              <w:top w:type="dxa" w:w="60"/>
              <w:left w:type="dxa" w:w="90"/>
              <w:bottom w:type="dxa" w:w="60"/>
              <w:right w:type="dxa" w:w="90"/>
            </w:tcMar>
          </w:tcPr>
          <w:p>
            <w:pPr>
              <w:spacing w:after="0" w:line="240" w:lineRule="auto"/>
            </w:pPr>
            <w:r>
              <w:rPr>
                <w:b w:val="false"/>
                <w:bCs w:val="false"/>
                <w:sz w:val="17"/>
                <w:szCs w:val="17"/>
              </w:rPr>
              <w:t xml:space="preserve">the skeleton locates a coloured patch; a wider stick hides the surface it is meant to explain</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Cast shadows</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off in both</w:t>
            </w:r>
          </w:p>
        </w:tc>
        <w:tc>
          <w:tcPr>
            <w:tcW w:type="dxa" w:w="5020"/>
            <w:tcMar>
              <w:top w:type="dxa" w:w="60"/>
              <w:left w:type="dxa" w:w="90"/>
              <w:bottom w:type="dxa" w:w="60"/>
              <w:right w:type="dxa" w:w="90"/>
            </w:tcMar>
          </w:tcPr>
          <w:p>
            <w:pPr>
              <w:spacing w:after="0" w:line="240" w:lineRule="auto"/>
            </w:pPr>
            <w:r>
              <w:rPr>
                <w:b w:val="false"/>
                <w:bCs w:val="false"/>
                <w:sz w:val="17"/>
                <w:szCs w:val="17"/>
              </w:rPr>
              <w:t xml:space="preserve">a shadow on a transparent surface reads as a dark patch of potential</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Orthoscopic projection</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on</w:t>
            </w:r>
          </w:p>
        </w:tc>
        <w:tc>
          <w:tcPr>
            <w:tcW w:type="dxa" w:w="5020"/>
            <w:tcMar>
              <w:top w:type="dxa" w:w="60"/>
              <w:left w:type="dxa" w:w="90"/>
              <w:bottom w:type="dxa" w:w="60"/>
              <w:right w:type="dxa" w:w="90"/>
            </w:tcMar>
          </w:tcPr>
          <w:p>
            <w:pPr>
              <w:spacing w:after="0" w:line="240" w:lineRule="auto"/>
            </w:pPr>
            <w:r>
              <w:rPr>
                <w:b w:val="false"/>
                <w:bCs w:val="false"/>
                <w:sz w:val="17"/>
                <w:szCs w:val="17"/>
              </w:rPr>
              <w:t xml:space="preserve">no perspective, so two molecules rendered at the same zoom are the same size</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Image size</w:t>
            </w:r>
          </w:p>
        </w:tc>
        <w:tc>
          <w:tcPr>
            <w:tcW w:type="dxa" w:w="1800"/>
            <w:tcMar>
              <w:top w:type="dxa" w:w="60"/>
              <w:left w:type="dxa" w:w="90"/>
              <w:bottom w:type="dxa" w:w="60"/>
              <w:right w:type="dxa" w:w="90"/>
            </w:tcMar>
          </w:tcPr>
          <w:p>
            <w:pPr>
              <w:spacing w:after="0" w:line="240" w:lineRule="auto"/>
            </w:pPr>
            <w:r>
              <w:rPr>
                <w:b w:val="false"/>
                <w:bCs w:val="false"/>
                <w:sz w:val="17"/>
                <w:szCs w:val="17"/>
              </w:rPr>
              <w:t xml:space="preserve">2000 × 1600 px, 300 dpi</w:t>
            </w:r>
          </w:p>
        </w:tc>
        <w:tc>
          <w:tcPr>
            <w:tcW w:type="dxa" w:w="5020"/>
            <w:tcMar>
              <w:top w:type="dxa" w:w="60"/>
              <w:left w:type="dxa" w:w="90"/>
              <w:bottom w:type="dxa" w:w="60"/>
              <w:right w:type="dxa" w:w="90"/>
            </w:tcMar>
          </w:tcPr>
          <w:p>
            <w:pPr>
              <w:spacing w:after="0" w:line="240" w:lineRule="auto"/>
            </w:pPr>
            <w:r>
              <w:rPr>
                <w:b w:val="false"/>
                <w:bCs w:val="false"/>
                <w:sz w:val="17"/>
                <w:szCs w:val="17"/>
              </w:rPr>
              <w:t xml:space="preserve">PyMOL; VMD is capped at window size and delivers 1600 × 1061</w:t>
            </w:r>
          </w:p>
        </w:tc>
      </w:tr>
    </w:tbl>
    <w:p>
      <w:pPr>
        <w:spacing w:after="220" w:line="240" w:lineRule="auto"/>
      </w:pPr>
      <w:r>
        <w:rPr>
          <w:i/>
          <w:iCs/>
          <w:color w:val="4A5568"/>
          <w:sz w:val="18"/>
          <w:szCs w:val="18"/>
        </w:rPr>
        <w:t xml:space="preserve">Table 16 — None of these changes a computed value. They are listed because reproducing a figure requires them.</w:t>
      </w:r>
    </w:p>
    <w:p>
      <w:pPr>
        <w:pStyle w:val="Heading2"/>
        <w:spacing w:after="120" w:before="260"/>
      </w:pPr>
      <w:r>
        <w:rPr>
          <w:b/>
          <w:bCs/>
          <w:color w:val="1F3864"/>
          <w:sz w:val="24"/>
          <w:szCs w:val="24"/>
        </w:rPr>
        <w:t xml:space="preserve">7.7  Ranking the sources of uncertainty</w:t>
      </w:r>
    </w:p>
    <w:p>
      <w:pPr>
        <w:spacing w:after="120" w:line="276" w:lineRule="auto"/>
      </w:pPr>
      <w:r>
        <w:rPr>
          <w:sz w:val="21"/>
          <w:szCs w:val="21"/>
        </w:rPr>
        <w:t xml:space="preserve">Collecting the four measurements above gives the result that generalises beyond this dataset. All figures are for the σ-hole of bromobenzene, the most sensitive quantity in the workflow:</w:t>
      </w:r>
    </w:p>
    <w:tbl>
      <w:tblPr>
        <w:tblW w:type="dxa" w:w="9020"/>
        <w:tblBorders>
          <w:top w:val="single" w:color="B0B7C3" w:sz="4"/>
          <w:left w:val="none"/>
          <w:bottom w:val="single" w:color="B0B7C3" w:sz="4"/>
          <w:right w:val="none"/>
          <w:insideH w:val="single" w:color="D9DEE7" w:sz="2"/>
          <w:insideV w:val="none"/>
        </w:tblBorders>
      </w:tblPr>
      <w:tblGrid>
        <w:gridCol w:w="700"/>
        <w:gridCol w:w="2300"/>
        <w:gridCol w:w="4020"/>
        <w:gridCol w:w="2000"/>
      </w:tblGrid>
      <w:tr>
        <w:trPr>
          <w:tblHeader/>
        </w:trPr>
        <w:tc>
          <w:tcPr>
            <w:tcW w:type="dxa" w:w="700"/>
            <w:shd w:fill="F2F4F7" w:val="clear"/>
            <w:tcMar>
              <w:top w:type="dxa" w:w="60"/>
              <w:left w:type="dxa" w:w="90"/>
              <w:bottom w:type="dxa" w:w="60"/>
              <w:right w:type="dxa" w:w="90"/>
            </w:tcMar>
          </w:tcPr>
          <w:p>
            <w:pPr>
              <w:spacing w:after="0" w:line="240" w:lineRule="auto"/>
            </w:pPr>
            <w:r>
              <w:rPr>
                <w:b/>
                <w:bCs/>
                <w:sz w:val="17"/>
                <w:szCs w:val="17"/>
              </w:rPr>
              <w:t xml:space="preserve">Rank</w:t>
            </w:r>
          </w:p>
        </w:tc>
        <w:tc>
          <w:tcPr>
            <w:tcW w:type="dxa" w:w="2300"/>
            <w:shd w:fill="F2F4F7" w:val="clear"/>
            <w:tcMar>
              <w:top w:type="dxa" w:w="60"/>
              <w:left w:type="dxa" w:w="90"/>
              <w:bottom w:type="dxa" w:w="60"/>
              <w:right w:type="dxa" w:w="90"/>
            </w:tcMar>
          </w:tcPr>
          <w:p>
            <w:pPr>
              <w:spacing w:after="0" w:line="240" w:lineRule="auto"/>
            </w:pPr>
            <w:r>
              <w:rPr>
                <w:b/>
                <w:bCs/>
                <w:sz w:val="17"/>
                <w:szCs w:val="17"/>
              </w:rPr>
              <w:t xml:space="preserve">Parameter</w:t>
            </w:r>
          </w:p>
        </w:tc>
        <w:tc>
          <w:tcPr>
            <w:tcW w:type="dxa" w:w="4020"/>
            <w:shd w:fill="F2F4F7" w:val="clear"/>
            <w:tcMar>
              <w:top w:type="dxa" w:w="60"/>
              <w:left w:type="dxa" w:w="90"/>
              <w:bottom w:type="dxa" w:w="60"/>
              <w:right w:type="dxa" w:w="90"/>
            </w:tcMar>
          </w:tcPr>
          <w:p>
            <w:pPr>
              <w:spacing w:after="0" w:line="240" w:lineRule="auto"/>
            </w:pPr>
            <w:r>
              <w:rPr>
                <w:b/>
                <w:bCs/>
                <w:sz w:val="17"/>
                <w:szCs w:val="17"/>
              </w:rPr>
              <w:t xml:space="preserve">Effect on the reported σ-hole</w:t>
            </w:r>
          </w:p>
        </w:tc>
        <w:tc>
          <w:tcPr>
            <w:tcW w:type="dxa" w:w="2000"/>
            <w:shd w:fill="F2F4F7" w:val="clear"/>
            <w:tcMar>
              <w:top w:type="dxa" w:w="60"/>
              <w:left w:type="dxa" w:w="90"/>
              <w:bottom w:type="dxa" w:w="60"/>
              <w:right w:type="dxa" w:w="90"/>
            </w:tcMar>
          </w:tcPr>
          <w:p>
            <w:pPr>
              <w:spacing w:after="0" w:line="240" w:lineRule="auto"/>
            </w:pPr>
            <w:r>
              <w:rPr>
                <w:b/>
                <w:bCs/>
                <w:sz w:val="17"/>
                <w:szCs w:val="17"/>
              </w:rPr>
              <w:t xml:space="preserve">Reference</w:t>
            </w:r>
          </w:p>
        </w:tc>
      </w:tr>
      <w:tr>
        <w:trPr>
          <w:cantSplit/>
        </w:trPr>
        <w:tc>
          <w:tcPr>
            <w:tcW w:type="dxa" w:w="700"/>
            <w:tcMar>
              <w:top w:type="dxa" w:w="60"/>
              <w:left w:type="dxa" w:w="90"/>
              <w:bottom w:type="dxa" w:w="60"/>
              <w:right w:type="dxa" w:w="90"/>
            </w:tcMar>
          </w:tcPr>
          <w:p>
            <w:pPr>
              <w:spacing w:after="0" w:line="240" w:lineRule="auto"/>
            </w:pPr>
            <w:r>
              <w:rPr>
                <w:b w:val="false"/>
                <w:bCs w:val="false"/>
                <w:sz w:val="17"/>
                <w:szCs w:val="17"/>
              </w:rPr>
              <w:t xml:space="preserve">1</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Isovalue ρ</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factor 4.4 over 0.0005–0.004 a.u.</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§7.1, Table 11</w:t>
            </w:r>
          </w:p>
        </w:tc>
      </w:tr>
      <w:tr>
        <w:trPr>
          <w:cantSplit/>
        </w:trPr>
        <w:tc>
          <w:tcPr>
            <w:tcW w:type="dxa" w:w="700"/>
            <w:tcMar>
              <w:top w:type="dxa" w:w="60"/>
              <w:left w:type="dxa" w:w="90"/>
              <w:bottom w:type="dxa" w:w="60"/>
              <w:right w:type="dxa" w:w="90"/>
            </w:tcMar>
          </w:tcPr>
          <w:p>
            <w:pPr>
              <w:spacing w:after="0" w:line="240" w:lineRule="auto"/>
            </w:pPr>
            <w:r>
              <w:rPr>
                <w:b w:val="false"/>
                <w:bCs w:val="false"/>
                <w:sz w:val="17"/>
                <w:szCs w:val="17"/>
              </w:rPr>
              <w:t xml:space="preserve">2</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Evaluation method</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up to factor 1.6 on a coarse grid; 57 % on triazolam at full resolution</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§7.3, Table 13</w:t>
            </w:r>
          </w:p>
        </w:tc>
      </w:tr>
      <w:tr>
        <w:trPr>
          <w:cantSplit/>
        </w:trPr>
        <w:tc>
          <w:tcPr>
            <w:tcW w:type="dxa" w:w="700"/>
            <w:tcMar>
              <w:top w:type="dxa" w:w="60"/>
              <w:left w:type="dxa" w:w="90"/>
              <w:bottom w:type="dxa" w:w="60"/>
              <w:right w:type="dxa" w:w="90"/>
            </w:tcMar>
          </w:tcPr>
          <w:p>
            <w:pPr>
              <w:spacing w:after="0" w:line="240" w:lineRule="auto"/>
            </w:pPr>
            <w:r>
              <w:rPr>
                <w:b w:val="false"/>
                <w:bCs w:val="false"/>
                <w:sz w:val="17"/>
                <w:szCs w:val="17"/>
              </w:rPr>
              <w:t xml:space="preserve">3</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Grid spacing</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17 % over a 480-fold cost range</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§7.2, Table 12</w:t>
            </w:r>
          </w:p>
        </w:tc>
      </w:tr>
      <w:tr>
        <w:trPr>
          <w:cantSplit/>
        </w:trPr>
        <w:tc>
          <w:tcPr>
            <w:tcW w:type="dxa" w:w="700"/>
            <w:tcMar>
              <w:top w:type="dxa" w:w="60"/>
              <w:left w:type="dxa" w:w="90"/>
              <w:bottom w:type="dxa" w:w="60"/>
              <w:right w:type="dxa" w:w="90"/>
            </w:tcMar>
          </w:tcPr>
          <w:p>
            <w:pPr>
              <w:spacing w:after="0" w:line="240" w:lineRule="auto"/>
            </w:pPr>
            <w:r>
              <w:rPr>
                <w:b w:val="false"/>
                <w:bCs w:val="false"/>
                <w:sz w:val="17"/>
                <w:szCs w:val="17"/>
              </w:rPr>
              <w:t xml:space="preserve">4</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Quantum-chemical method</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roughly ±10–20 % between published functionals</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§6.4, Table 9</w:t>
            </w:r>
          </w:p>
        </w:tc>
      </w:tr>
      <w:tr>
        <w:trPr>
          <w:cantSplit/>
        </w:trPr>
        <w:tc>
          <w:tcPr>
            <w:tcW w:type="dxa" w:w="700"/>
            <w:tcMar>
              <w:top w:type="dxa" w:w="60"/>
              <w:left w:type="dxa" w:w="90"/>
              <w:bottom w:type="dxa" w:w="60"/>
              <w:right w:type="dxa" w:w="90"/>
            </w:tcMar>
          </w:tcPr>
          <w:p>
            <w:pPr>
              <w:spacing w:after="0" w:line="240" w:lineRule="auto"/>
            </w:pPr>
            <w:r>
              <w:rPr>
                <w:b w:val="false"/>
                <w:bCs w:val="false"/>
                <w:sz w:val="17"/>
                <w:szCs w:val="17"/>
              </w:rPr>
              <w:t xml:space="preserve">5</w:t>
            </w:r>
          </w:p>
        </w:tc>
        <w:tc>
          <w:tcPr>
            <w:tcW w:type="dxa" w:w="2300"/>
            <w:tcMar>
              <w:top w:type="dxa" w:w="60"/>
              <w:left w:type="dxa" w:w="90"/>
              <w:bottom w:type="dxa" w:w="60"/>
              <w:right w:type="dxa" w:w="90"/>
            </w:tcMar>
          </w:tcPr>
          <w:p>
            <w:pPr>
              <w:spacing w:after="0" w:line="240" w:lineRule="auto"/>
            </w:pPr>
            <w:r>
              <w:rPr>
                <w:b w:val="false"/>
                <w:bCs w:val="false"/>
                <w:sz w:val="17"/>
                <w:szCs w:val="17"/>
              </w:rPr>
              <w:t xml:space="preserve">Visualization program</w:t>
            </w:r>
          </w:p>
        </w:tc>
        <w:tc>
          <w:tcPr>
            <w:tcW w:type="dxa" w:w="4020"/>
            <w:tcMar>
              <w:top w:type="dxa" w:w="60"/>
              <w:left w:type="dxa" w:w="90"/>
              <w:bottom w:type="dxa" w:w="60"/>
              <w:right w:type="dxa" w:w="90"/>
            </w:tcMar>
          </w:tcPr>
          <w:p>
            <w:pPr>
              <w:spacing w:after="0" w:line="240" w:lineRule="auto"/>
            </w:pPr>
            <w:r>
              <w:rPr>
                <w:b w:val="false"/>
                <w:bCs w:val="false"/>
                <w:sz w:val="17"/>
                <w:szCs w:val="17"/>
              </w:rPr>
              <w:t xml:space="preserve">none — zero to five decimal places</w:t>
            </w:r>
          </w:p>
        </w:tc>
        <w:tc>
          <w:tcPr>
            <w:tcW w:type="dxa" w:w="2000"/>
            <w:tcMar>
              <w:top w:type="dxa" w:w="60"/>
              <w:left w:type="dxa" w:w="90"/>
              <w:bottom w:type="dxa" w:w="60"/>
              <w:right w:type="dxa" w:w="90"/>
            </w:tcMar>
          </w:tcPr>
          <w:p>
            <w:pPr>
              <w:spacing w:after="0" w:line="240" w:lineRule="auto"/>
            </w:pPr>
            <w:r>
              <w:rPr>
                <w:b w:val="false"/>
                <w:bCs w:val="false"/>
                <w:sz w:val="17"/>
                <w:szCs w:val="17"/>
              </w:rPr>
              <w:t xml:space="preserve">§6.6, Table 10</w:t>
            </w:r>
          </w:p>
        </w:tc>
      </w:tr>
    </w:tbl>
    <w:p>
      <w:pPr>
        <w:spacing w:after="220" w:line="240" w:lineRule="auto"/>
      </w:pPr>
      <w:r>
        <w:rPr>
          <w:i/>
          <w:iCs/>
          <w:color w:val="4A5568"/>
          <w:sz w:val="18"/>
          <w:szCs w:val="18"/>
        </w:rPr>
        <w:t xml:space="preserve">Table 17 — The ranking. The parameter most often left unstated in publications is the one at the top of this list.</w:t>
      </w:r>
    </w:p>
    <w:p>
      <w:pPr>
        <w:spacing w:after="120" w:line="276" w:lineRule="auto"/>
      </w:pPr>
      <w:r>
        <w:rPr>
          <w:b/>
          <w:bCs/>
          <w:sz w:val="21"/>
          <w:szCs w:val="21"/>
        </w:rPr>
        <w:t xml:space="preserve">This is the central result of the report. </w:t>
      </w:r>
      <w:r>
        <w:rPr>
          <w:sz w:val="21"/>
          <w:szCs w:val="21"/>
        </w:rPr>
        <w:t xml:space="preserve">The choice of visualization program — the decision that consumed most of the evaluation effort in §1 and that a reader would most readily suspect of biasing a figure — contributes nothing measurable. </w:t>
      </w:r>
      <w:r>
        <w:rPr>
          <w:sz w:val="21"/>
          <w:szCs w:val="21"/>
        </w:rPr>
        <w:t xml:space="preserve">The isovalue, which is frequently reported as an afterthought or not at all, moves the answer by more than a factor of four. </w:t>
      </w:r>
      <w:r>
        <w:rPr>
          <w:sz w:val="21"/>
          <w:szCs w:val="21"/>
        </w:rPr>
        <w:t xml:space="preserve">A σ-hole value is therefore only meaningful when quoted together with its isosurface and its evaluation method; the program that drew the picture is irrelevant to the number, and relevant only to the picture.</w:t>
      </w:r>
    </w:p>
    <w:p>
      <w:pPr>
        <w:pStyle w:val="Heading1"/>
        <w:spacing w:after="160" w:before="360"/>
      </w:pPr>
      <w:r>
        <w:rPr>
          <w:b/>
          <w:bCs/>
          <w:color w:val="1F3864"/>
          <w:sz w:val="30"/>
          <w:szCs w:val="30"/>
        </w:rPr>
        <w:t xml:space="preserve">8  Robustness and failure modes</w:t>
      </w:r>
    </w:p>
    <w:p>
      <w:pPr>
        <w:spacing w:after="120" w:line="276" w:lineRule="auto"/>
      </w:pPr>
      <w:r>
        <w:rPr>
          <w:sz w:val="21"/>
          <w:szCs w:val="21"/>
        </w:rPr>
        <w:t xml:space="preserve">A workflow that fails loudly is better than one that fails quietly, and every defect described here produced a plausible-looking figure before it was caught. </w:t>
      </w:r>
      <w:r>
        <w:rPr>
          <w:sz w:val="21"/>
          <w:szCs w:val="21"/>
        </w:rPr>
        <w:t xml:space="preserve">They are reported in full because in a software evaluation they are results, not embarrassments.</w:t>
      </w:r>
    </w:p>
    <w:p>
      <w:pPr>
        <w:pStyle w:val="Heading2"/>
        <w:spacing w:after="120" w:before="260"/>
      </w:pPr>
      <w:r>
        <w:rPr>
          <w:b/>
          <w:bCs/>
          <w:color w:val="1F3864"/>
          <w:sz w:val="24"/>
          <w:szCs w:val="24"/>
        </w:rPr>
        <w:t xml:space="preserve">8.1  More than one structure file</w:t>
      </w:r>
    </w:p>
    <w:p>
      <w:pPr>
        <w:spacing w:after="120" w:line="276" w:lineRule="auto"/>
      </w:pPr>
      <w:r>
        <w:rPr>
          <w:sz w:val="21"/>
          <w:szCs w:val="21"/>
        </w:rPr>
        <w:t xml:space="preserve">A molecule folder holds the two grids and a structure file. If it holds two structure files that are not simply the same geometry in a second format, the batch driver used to take the first in sort order. </w:t>
      </w:r>
      <w:r>
        <w:rPr>
          <w:sz w:val="21"/>
          <w:szCs w:val="21"/>
        </w:rPr>
        <w:t xml:space="preserve">A left-over file that happens to sort first then pairs the wrong geometry with the grids silently — </w:t>
      </w:r>
      <w:r>
        <w:rPr>
          <w:rFonts w:ascii="Consolas" w:cs="Consolas" w:eastAsia="Consolas" w:hAnsi="Consolas"/>
          <w:sz w:val="21"/>
          <w:szCs w:val="21"/>
        </w:rPr>
        <w:t xml:space="preserve">“Halcion - Kopie.mol”</w:t>
      </w:r>
      <w:r>
        <w:rPr>
          <w:sz w:val="21"/>
          <w:szCs w:val="21"/>
        </w:rPr>
        <w:t xml:space="preserve"> next to </w:t>
      </w:r>
      <w:r>
        <w:rPr>
          <w:rFonts w:ascii="Consolas" w:cs="Consolas" w:eastAsia="Consolas" w:hAnsi="Consolas"/>
          <w:sz w:val="21"/>
          <w:szCs w:val="21"/>
        </w:rPr>
        <w:t xml:space="preserve">“Halcion.mol”</w:t>
      </w:r>
      <w:r>
        <w:rPr>
          <w:sz w:val="21"/>
          <w:szCs w:val="21"/>
        </w:rPr>
        <w:t xml:space="preserve"> is enough. </w:t>
      </w:r>
      <w:r>
        <w:rPr>
          <w:sz w:val="21"/>
          <w:szCs w:val="21"/>
        </w:rPr>
        <w:t xml:space="preserve">Both pipelines now abort, name every candidate they found, and ask for the folder to be cleaned up. There is nothing to choose from, so nothing is chosen.</w:t>
      </w:r>
    </w:p>
    <w:p>
      <w:pPr>
        <w:pStyle w:val="Heading2"/>
        <w:spacing w:after="120" w:before="260"/>
      </w:pPr>
      <w:r>
        <w:rPr>
          <w:b/>
          <w:bCs/>
          <w:color w:val="1F3864"/>
          <w:sz w:val="24"/>
          <w:szCs w:val="24"/>
        </w:rPr>
        <w:t xml:space="preserve">8.2  Structure and grid do not belong together</w:t>
      </w:r>
    </w:p>
    <w:p>
      <w:pPr>
        <w:spacing w:after="120" w:line="276" w:lineRule="auto"/>
      </w:pPr>
      <w:r>
        <w:rPr>
          <w:sz w:val="21"/>
          <w:szCs w:val="21"/>
        </w:rPr>
        <w:t xml:space="preserve">The more serious version of the same problem. A cube file marries two things from different sources: the atom block comes from the structure file, the grid from the quantum chemistry. Nothing in the format forces them to describe the same geometry, and when they do not, the molecule floats beside its own isosurface. </w:t>
      </w:r>
      <w:r>
        <w:rPr>
          <w:b/>
          <w:bCs/>
          <w:sz w:val="21"/>
          <w:szCs w:val="21"/>
        </w:rPr>
        <w:t xml:space="preserve">This failure does not announce itself: </w:t>
      </w:r>
      <w:r>
        <w:rPr>
          <w:sz w:val="21"/>
          <w:szCs w:val="21"/>
        </w:rPr>
        <w:t xml:space="preserve">there is a round, coloured surface in every direction, and one takes the far side for the σ-hole.</w:t>
      </w:r>
    </w:p>
    <w:p>
      <w:pPr>
        <w:spacing w:after="120" w:line="276" w:lineRule="auto"/>
      </w:pPr>
      <w:r>
        <w:rPr>
          <w:sz w:val="21"/>
          <w:szCs w:val="21"/>
        </w:rPr>
        <w:t xml:space="preserve">It surfaced on triazolam, where a left-over structure file from an earlier run put all 35 nuclei in vacuum. The centroids of the two geometries agreed and no permutation of the axes repaired it, so the difference was a rotation — the one error a glance at the picture will not catch.</w:t>
      </w:r>
    </w:p>
    <w:p>
      <w:pPr>
        <w:spacing w:after="120" w:line="276" w:lineRule="auto"/>
      </w:pPr>
      <w:r>
        <w:rPr>
          <w:sz w:val="21"/>
          <w:szCs w:val="21"/>
        </w:rPr>
        <w:t xml:space="preserve">The guard is one line of physics. Where a nucleus sits the electron density is enormous; where none sits it is near zero. The check looks up the density at every heavy nucleus and takes the median of the largest value in the 3×3×3 neighbourhood of each:</w:t>
      </w:r>
    </w:p>
    <w:tbl>
      <w:tblPr>
        <w:tblW w:type="dxa" w:w="9020"/>
        <w:tblBorders>
          <w:top w:val="single" w:color="B0B7C3" w:sz="4"/>
          <w:left w:val="none"/>
          <w:bottom w:val="single" w:color="B0B7C3" w:sz="4"/>
          <w:right w:val="none"/>
          <w:insideH w:val="single" w:color="D9DEE7" w:sz="2"/>
          <w:insideV w:val="none"/>
        </w:tblBorders>
      </w:tblPr>
      <w:tblGrid>
        <w:gridCol w:w="2400"/>
        <w:gridCol w:w="3400"/>
        <w:gridCol w:w="3220"/>
      </w:tblGrid>
      <w:tr>
        <w:trPr>
          <w:tblHeader/>
        </w:trPr>
        <w:tc>
          <w:tcPr>
            <w:tcW w:type="dxa" w:w="2400"/>
            <w:shd w:fill="F2F4F7" w:val="clear"/>
            <w:tcMar>
              <w:top w:type="dxa" w:w="60"/>
              <w:left w:type="dxa" w:w="90"/>
              <w:bottom w:type="dxa" w:w="60"/>
              <w:right w:type="dxa" w:w="90"/>
            </w:tcMar>
          </w:tcPr>
          <w:p>
            <w:pPr>
              <w:spacing w:after="0" w:line="240" w:lineRule="auto"/>
            </w:pPr>
            <w:r>
              <w:rPr>
                <w:b/>
                <w:bCs/>
                <w:sz w:val="17"/>
                <w:szCs w:val="17"/>
              </w:rPr>
              <w:t xml:space="preserve">Grid spacing</w:t>
            </w:r>
          </w:p>
        </w:tc>
        <w:tc>
          <w:tcPr>
            <w:tcW w:type="dxa" w:w="3400"/>
            <w:shd w:fill="F2F4F7" w:val="clear"/>
            <w:tcMar>
              <w:top w:type="dxa" w:w="60"/>
              <w:left w:type="dxa" w:w="90"/>
              <w:bottom w:type="dxa" w:w="60"/>
              <w:right w:type="dxa" w:w="90"/>
            </w:tcMar>
          </w:tcPr>
          <w:p>
            <w:pPr>
              <w:spacing w:after="0" w:line="240" w:lineRule="auto"/>
            </w:pPr>
            <w:r>
              <w:rPr>
                <w:b/>
                <w:bCs/>
                <w:sz w:val="17"/>
                <w:szCs w:val="17"/>
              </w:rPr>
              <w:t xml:space="preserve">Median ρ at the heavy nuclei</w:t>
            </w:r>
          </w:p>
        </w:tc>
        <w:tc>
          <w:tcPr>
            <w:tcW w:type="dxa" w:w="3220"/>
            <w:shd w:fill="F2F4F7" w:val="clear"/>
            <w:tcMar>
              <w:top w:type="dxa" w:w="60"/>
              <w:left w:type="dxa" w:w="90"/>
              <w:bottom w:type="dxa" w:w="60"/>
              <w:right w:type="dxa" w:w="90"/>
            </w:tcMar>
          </w:tcPr>
          <w:p>
            <w:pPr>
              <w:spacing w:after="0" w:line="240" w:lineRule="auto"/>
            </w:pPr>
            <w:r>
              <w:rPr>
                <w:b/>
                <w:bCs/>
                <w:sz w:val="17"/>
                <w:szCs w:val="17"/>
              </w:rPr>
              <w:t xml:space="preserve">Interpretation</w:t>
            </w:r>
          </w:p>
        </w:tc>
      </w:tr>
      <w:tr>
        <w:trPr>
          <w:cantSplit/>
        </w:trPr>
        <w:tc>
          <w:tcPr>
            <w:tcW w:type="dxa" w:w="2400"/>
            <w:tcMar>
              <w:top w:type="dxa" w:w="60"/>
              <w:left w:type="dxa" w:w="90"/>
              <w:bottom w:type="dxa" w:w="60"/>
              <w:right w:type="dxa" w:w="90"/>
            </w:tcMar>
          </w:tcPr>
          <w:p>
            <w:pPr>
              <w:spacing w:after="0" w:line="240" w:lineRule="auto"/>
            </w:pPr>
            <w:r>
              <w:rPr>
                <w:b w:val="false"/>
                <w:bCs w:val="false"/>
                <w:sz w:val="17"/>
                <w:szCs w:val="17"/>
              </w:rPr>
              <w:t xml:space="preserve">0.12 Bohr</w:t>
            </w:r>
          </w:p>
        </w:tc>
        <w:tc>
          <w:tcPr>
            <w:tcW w:type="dxa" w:w="3400"/>
            <w:tcMar>
              <w:top w:type="dxa" w:w="60"/>
              <w:left w:type="dxa" w:w="90"/>
              <w:bottom w:type="dxa" w:w="60"/>
              <w:right w:type="dxa" w:w="90"/>
            </w:tcMar>
          </w:tcPr>
          <w:p>
            <w:pPr>
              <w:spacing w:after="0" w:line="240" w:lineRule="auto"/>
            </w:pPr>
            <w:r>
              <w:rPr>
                <w:b w:val="false"/>
                <w:bCs w:val="false"/>
                <w:sz w:val="17"/>
                <w:szCs w:val="17"/>
              </w:rPr>
              <w:t xml:space="preserve">64</w:t>
            </w:r>
          </w:p>
        </w:tc>
        <w:tc>
          <w:tcPr>
            <w:tcW w:type="dxa" w:w="3220"/>
            <w:tcMar>
              <w:top w:type="dxa" w:w="60"/>
              <w:left w:type="dxa" w:w="90"/>
              <w:bottom w:type="dxa" w:w="60"/>
              <w:right w:type="dxa" w:w="90"/>
            </w:tcMar>
          </w:tcPr>
          <w:p>
            <w:pPr>
              <w:spacing w:after="0" w:line="240" w:lineRule="auto"/>
            </w:pPr>
            <w:r>
              <w:rPr>
                <w:b w:val="false"/>
                <w:bCs w:val="false"/>
                <w:sz w:val="17"/>
                <w:szCs w:val="17"/>
              </w:rPr>
              <w:t xml:space="preserve">full resolution</w:t>
            </w:r>
          </w:p>
        </w:tc>
      </w:tr>
      <w:tr>
        <w:trPr>
          <w:cantSplit/>
        </w:trPr>
        <w:tc>
          <w:tcPr>
            <w:tcW w:type="dxa" w:w="2400"/>
            <w:tcMar>
              <w:top w:type="dxa" w:w="60"/>
              <w:left w:type="dxa" w:w="90"/>
              <w:bottom w:type="dxa" w:w="60"/>
              <w:right w:type="dxa" w:w="90"/>
            </w:tcMar>
          </w:tcPr>
          <w:p>
            <w:pPr>
              <w:spacing w:after="0" w:line="240" w:lineRule="auto"/>
            </w:pPr>
            <w:r>
              <w:rPr>
                <w:b w:val="false"/>
                <w:bCs w:val="false"/>
                <w:sz w:val="17"/>
                <w:szCs w:val="17"/>
              </w:rPr>
              <w:t xml:space="preserve">0.25 Bohr</w:t>
            </w:r>
          </w:p>
        </w:tc>
        <w:tc>
          <w:tcPr>
            <w:tcW w:type="dxa" w:w="3400"/>
            <w:tcMar>
              <w:top w:type="dxa" w:w="60"/>
              <w:left w:type="dxa" w:w="90"/>
              <w:bottom w:type="dxa" w:w="60"/>
              <w:right w:type="dxa" w:w="90"/>
            </w:tcMar>
          </w:tcPr>
          <w:p>
            <w:pPr>
              <w:spacing w:after="0" w:line="240" w:lineRule="auto"/>
            </w:pPr>
            <w:r>
              <w:rPr>
                <w:b w:val="false"/>
                <w:bCs w:val="false"/>
                <w:sz w:val="17"/>
                <w:szCs w:val="17"/>
              </w:rPr>
              <w:t xml:space="preserve">27</w:t>
            </w:r>
          </w:p>
        </w:tc>
        <w:tc>
          <w:tcPr>
            <w:tcW w:type="dxa" w:w="3220"/>
            <w:tcMar>
              <w:top w:type="dxa" w:w="60"/>
              <w:left w:type="dxa" w:w="90"/>
              <w:bottom w:type="dxa" w:w="60"/>
              <w:right w:type="dxa" w:w="90"/>
            </w:tcMar>
          </w:tcPr>
          <w:p>
            <w:pPr>
              <w:spacing w:after="0" w:line="240" w:lineRule="auto"/>
            </w:pPr>
            <w:r>
              <w:rPr>
                <w:b w:val="false"/>
                <w:bCs w:val="false"/>
                <w:sz w:val="17"/>
                <w:szCs w:val="17"/>
              </w:rPr>
              <w:t xml:space="preserve">typical production run</w:t>
            </w:r>
          </w:p>
        </w:tc>
      </w:tr>
      <w:tr>
        <w:trPr>
          <w:cantSplit/>
        </w:trPr>
        <w:tc>
          <w:tcPr>
            <w:tcW w:type="dxa" w:w="2400"/>
            <w:tcMar>
              <w:top w:type="dxa" w:w="60"/>
              <w:left w:type="dxa" w:w="90"/>
              <w:bottom w:type="dxa" w:w="60"/>
              <w:right w:type="dxa" w:w="90"/>
            </w:tcMar>
          </w:tcPr>
          <w:p>
            <w:pPr>
              <w:spacing w:after="0" w:line="240" w:lineRule="auto"/>
            </w:pPr>
            <w:r>
              <w:rPr>
                <w:b w:val="false"/>
                <w:bCs w:val="false"/>
                <w:sz w:val="17"/>
                <w:szCs w:val="17"/>
              </w:rPr>
              <w:t xml:space="preserve">0.60 Bohr</w:t>
            </w:r>
          </w:p>
        </w:tc>
        <w:tc>
          <w:tcPr>
            <w:tcW w:type="dxa" w:w="3400"/>
            <w:tcMar>
              <w:top w:type="dxa" w:w="60"/>
              <w:left w:type="dxa" w:w="90"/>
              <w:bottom w:type="dxa" w:w="60"/>
              <w:right w:type="dxa" w:w="90"/>
            </w:tcMar>
          </w:tcPr>
          <w:p>
            <w:pPr>
              <w:spacing w:after="0" w:line="240" w:lineRule="auto"/>
            </w:pPr>
            <w:r>
              <w:rPr>
                <w:b w:val="false"/>
                <w:bCs w:val="false"/>
                <w:sz w:val="17"/>
                <w:szCs w:val="17"/>
              </w:rPr>
              <w:t xml:space="preserve">5</w:t>
            </w:r>
          </w:p>
        </w:tc>
        <w:tc>
          <w:tcPr>
            <w:tcW w:type="dxa" w:w="3220"/>
            <w:tcMar>
              <w:top w:type="dxa" w:w="60"/>
              <w:left w:type="dxa" w:w="90"/>
              <w:bottom w:type="dxa" w:w="60"/>
              <w:right w:type="dxa" w:w="90"/>
            </w:tcMar>
          </w:tcPr>
          <w:p>
            <w:pPr>
              <w:spacing w:after="0" w:line="240" w:lineRule="auto"/>
            </w:pPr>
            <w:r>
              <w:rPr>
                <w:b w:val="false"/>
                <w:bCs w:val="false"/>
                <w:sz w:val="17"/>
                <w:szCs w:val="17"/>
              </w:rPr>
              <w:t xml:space="preserve">the decimated reference dataset</w:t>
            </w:r>
          </w:p>
        </w:tc>
      </w:tr>
      <w:tr>
        <w:trPr>
          <w:cantSplit/>
        </w:trPr>
        <w:tc>
          <w:tcPr>
            <w:tcW w:type="dxa" w:w="2400"/>
            <w:tcMar>
              <w:top w:type="dxa" w:w="60"/>
              <w:left w:type="dxa" w:w="90"/>
              <w:bottom w:type="dxa" w:w="60"/>
              <w:right w:type="dxa" w:w="90"/>
            </w:tcMar>
          </w:tcPr>
          <w:p>
            <w:pPr>
              <w:spacing w:after="0" w:line="240" w:lineRule="auto"/>
            </w:pPr>
            <w:r>
              <w:rPr>
                <w:b w:val="false"/>
                <w:bCs w:val="false"/>
                <w:sz w:val="17"/>
                <w:szCs w:val="17"/>
              </w:rPr>
              <w:t xml:space="preserve">—</w:t>
            </w:r>
          </w:p>
        </w:tc>
        <w:tc>
          <w:tcPr>
            <w:tcW w:type="dxa" w:w="3400"/>
            <w:tcMar>
              <w:top w:type="dxa" w:w="60"/>
              <w:left w:type="dxa" w:w="90"/>
              <w:bottom w:type="dxa" w:w="60"/>
              <w:right w:type="dxa" w:w="90"/>
            </w:tcMar>
          </w:tcPr>
          <w:p>
            <w:pPr>
              <w:spacing w:after="0" w:line="240" w:lineRule="auto"/>
            </w:pPr>
            <w:r>
              <w:rPr>
                <w:b w:val="false"/>
                <w:bCs w:val="false"/>
                <w:sz w:val="17"/>
                <w:szCs w:val="17"/>
              </w:rPr>
              <w:t xml:space="preserve">0.03</w:t>
            </w:r>
          </w:p>
        </w:tc>
        <w:tc>
          <w:tcPr>
            <w:tcW w:type="dxa" w:w="3220"/>
            <w:tcMar>
              <w:top w:type="dxa" w:w="60"/>
              <w:left w:type="dxa" w:w="90"/>
              <w:bottom w:type="dxa" w:w="60"/>
              <w:right w:type="dxa" w:w="90"/>
            </w:tcMar>
          </w:tcPr>
          <w:p>
            <w:pPr>
              <w:spacing w:after="0" w:line="240" w:lineRule="auto"/>
            </w:pPr>
            <w:r>
              <w:rPr>
                <w:b w:val="false"/>
                <w:bCs w:val="false"/>
                <w:sz w:val="17"/>
                <w:szCs w:val="17"/>
              </w:rPr>
              <w:t xml:space="preserve">the broken case: structure from a different run</w:t>
            </w:r>
          </w:p>
        </w:tc>
      </w:tr>
    </w:tbl>
    <w:p>
      <w:pPr>
        <w:spacing w:after="220" w:line="240" w:lineRule="auto"/>
      </w:pPr>
      <w:r>
        <w:rPr>
          <w:i/>
          <w:iCs/>
          <w:color w:val="4A5568"/>
          <w:sz w:val="18"/>
          <w:szCs w:val="18"/>
        </w:rPr>
        <w:t xml:space="preserve">Table 18 — The threshold is set at 1.0, a factor of five below the coarsest healthy case and thirty above the broken one. A coarse grid depresses the value because the nucleus then sits further from the nearest grid point and the density peak falls off steeply.</w:t>
      </w:r>
    </w:p>
    <w:p>
      <w:pPr>
        <w:spacing w:after="120" w:line="276" w:lineRule="auto"/>
      </w:pPr>
      <w:r>
        <w:rPr>
          <w:sz w:val="21"/>
          <w:szCs w:val="21"/>
        </w:rPr>
        <w:t xml:space="preserve">Three details of that check are not obvious, and all three were established by measurement:</w:t>
      </w:r>
    </w:p>
    <w:p>
      <w:pPr>
        <w:pStyle w:val="ListParagraph"/>
        <w:numPr>
          <w:ilvl w:val="0"/>
          <w:numId w:val="2"/>
        </w:numPr>
        <w:spacing w:after="80" w:line="276" w:lineRule="auto"/>
      </w:pPr>
      <w:r>
        <w:rPr>
          <w:sz w:val="21"/>
          <w:szCs w:val="21"/>
        </w:rPr>
        <w:t xml:space="preserve">The median rather than the minimum. Iodine is described by an effective core potential, so its core electrons are not in the density at all and its nucleus carries about 0.26 a.u. on a perfectly healthy molecule — less than a hydrogen. A minimum-based rule would reject every iodine compound in the set.</w:t>
      </w:r>
    </w:p>
    <w:p>
      <w:pPr>
        <w:pStyle w:val="ListParagraph"/>
        <w:numPr>
          <w:ilvl w:val="0"/>
          <w:numId w:val="2"/>
        </w:numPr>
        <w:spacing w:after="80" w:line="276" w:lineRule="auto"/>
      </w:pPr>
      <w:r>
        <w:rPr>
          <w:sz w:val="21"/>
          <w:szCs w:val="21"/>
        </w:rPr>
        <w:t xml:space="preserve">The largest value in the 3×3×3 neighbourhood rather than trilinear interpolation. The density has a cusp at a nucleus and linear interpolation can only cut a cusp off — measured at 46 % too low on the coarse grid. This is the same interpolation that is correct on the smooth isosurface (§5.4).</w:t>
      </w:r>
    </w:p>
    <w:p>
      <w:pPr>
        <w:pStyle w:val="ListParagraph"/>
        <w:numPr>
          <w:ilvl w:val="0"/>
          <w:numId w:val="2"/>
        </w:numPr>
        <w:spacing w:after="80" w:line="276" w:lineRule="auto"/>
      </w:pPr>
      <w:r>
        <w:rPr>
          <w:sz w:val="21"/>
          <w:szCs w:val="21"/>
        </w:rPr>
        <w:t xml:space="preserve">The cheaper alternative — checking that all atoms lie inside the grid box — would have been useless here: of 2000 random rotations of triazolam, not one pushed an atom out of the box. The error is a rotation about the common centroid and stays geometrically inconspicuous.</w:t>
      </w:r>
    </w:p>
    <w:p>
      <w:pPr>
        <w:spacing w:after="120" w:line="276" w:lineRule="auto"/>
      </w:pPr>
      <w:r>
        <w:rPr>
          <w:sz w:val="21"/>
          <w:szCs w:val="21"/>
        </w:rPr>
        <w:t xml:space="preserve">In a batch the two failures are treated differently, and deliberately so. Ambiguous structure files stop the whole run, because nothing can be chosen. A structure/grid mismatch is local to one folder: at several minutes per molecule, failing a ten-molecule run over one bad folder would be waste, so the molecule is skipped, named again at the end, and the exit code is 1 — visible to whatever called the script, without the other nine image sets being lost.</w:t>
      </w:r>
    </w:p>
    <w:p>
      <w:pPr>
        <w:pStyle w:val="Heading2"/>
        <w:spacing w:after="120" w:before="260"/>
      </w:pPr>
      <w:r>
        <w:rPr>
          <w:b/>
          <w:bCs/>
          <w:color w:val="1F3864"/>
          <w:sz w:val="24"/>
          <w:szCs w:val="24"/>
        </w:rPr>
        <w:t xml:space="preserve">8.3  The ray leaving its own halogen</w:t>
      </w:r>
    </w:p>
    <w:p>
      <w:pPr>
        <w:spacing w:after="120" w:line="276" w:lineRule="auto"/>
      </w:pPr>
      <w:r>
        <w:rPr>
          <w:sz w:val="21"/>
          <w:szCs w:val="21"/>
        </w:rPr>
        <w:t xml:space="preserve">Triazolam exposed a second defect, and this one was not about having two halogens — it had simply never been triggered by flat molecules. The ray method originally took the </w:t>
      </w:r>
      <w:r>
        <w:rPr>
          <w:i/>
          <w:iCs/>
          <w:sz w:val="21"/>
          <w:szCs w:val="21"/>
        </w:rPr>
        <w:t xml:space="preserve">outermost</w:t>
      </w:r>
      <w:r>
        <w:rPr>
          <w:sz w:val="21"/>
          <w:szCs w:val="21"/>
        </w:rPr>
        <w:t xml:space="preserve"> crossing of ρ = 0.001. In a folded molecule the cone around one C–X axis does not point into empty space but at another part of the molecule, so the ray passed through the halogen’s own surface, through the gap, and measured the surface of the methyl group on the triazole ring beyond it.</w:t>
      </w:r>
    </w:p>
    <w:tbl>
      <w:tblPr>
        <w:tblW w:type="dxa" w:w="9020"/>
        <w:tblBorders>
          <w:top w:val="single" w:color="B0B7C3" w:sz="4"/>
          <w:left w:val="none"/>
          <w:bottom w:val="single" w:color="B0B7C3" w:sz="4"/>
          <w:right w:val="none"/>
          <w:insideH w:val="single" w:color="D9DEE7" w:sz="2"/>
          <w:insideV w:val="none"/>
        </w:tblBorders>
      </w:tblPr>
      <w:tblGrid>
        <w:gridCol w:w="2200"/>
        <w:gridCol w:w="3400"/>
        <w:gridCol w:w="3420"/>
      </w:tblGrid>
      <w:tr>
        <w:trPr>
          <w:tblHeader/>
        </w:trPr>
        <w:tc>
          <w:tcPr>
            <w:tcW w:type="dxa" w:w="2200"/>
            <w:shd w:fill="F2F4F7" w:val="clear"/>
            <w:tcMar>
              <w:top w:type="dxa" w:w="60"/>
              <w:left w:type="dxa" w:w="90"/>
              <w:bottom w:type="dxa" w:w="60"/>
              <w:right w:type="dxa" w:w="90"/>
            </w:tcMar>
          </w:tcPr>
          <w:p>
            <w:pPr>
              <w:spacing w:after="0" w:line="240" w:lineRule="auto"/>
            </w:pPr>
            <w:r>
              <w:rPr>
                <w:b/>
                <w:bCs/>
                <w:sz w:val="17"/>
                <w:szCs w:val="17"/>
              </w:rPr>
              <w:t xml:space="preserve"/>
            </w:r>
          </w:p>
        </w:tc>
        <w:tc>
          <w:tcPr>
            <w:tcW w:type="dxa" w:w="3400"/>
            <w:shd w:fill="F2F4F7" w:val="clear"/>
            <w:tcMar>
              <w:top w:type="dxa" w:w="60"/>
              <w:left w:type="dxa" w:w="90"/>
              <w:bottom w:type="dxa" w:w="60"/>
              <w:right w:type="dxa" w:w="90"/>
            </w:tcMar>
          </w:tcPr>
          <w:p>
            <w:pPr>
              <w:spacing w:after="0" w:line="240" w:lineRule="auto"/>
            </w:pPr>
            <w:r>
              <w:rPr>
                <w:b/>
                <w:bCs/>
                <w:sz w:val="17"/>
                <w:szCs w:val="17"/>
              </w:rPr>
              <w:t xml:space="preserve">Before</w:t>
            </w:r>
          </w:p>
        </w:tc>
        <w:tc>
          <w:tcPr>
            <w:tcW w:type="dxa" w:w="3420"/>
            <w:shd w:fill="F2F4F7" w:val="clear"/>
            <w:tcMar>
              <w:top w:type="dxa" w:w="60"/>
              <w:left w:type="dxa" w:w="90"/>
              <w:bottom w:type="dxa" w:w="60"/>
              <w:right w:type="dxa" w:w="90"/>
            </w:tcMar>
          </w:tcPr>
          <w:p>
            <w:pPr>
              <w:spacing w:after="0" w:line="240" w:lineRule="auto"/>
            </w:pPr>
            <w:r>
              <w:rPr>
                <w:b/>
                <w:bCs/>
                <w:sz w:val="17"/>
                <w:szCs w:val="17"/>
              </w:rPr>
              <w:t xml:space="preserve">After</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Cl21 σ-hole</w:t>
            </w:r>
          </w:p>
        </w:tc>
        <w:tc>
          <w:tcPr>
            <w:tcW w:type="dxa" w:w="3400"/>
            <w:tcMar>
              <w:top w:type="dxa" w:w="60"/>
              <w:left w:type="dxa" w:w="90"/>
              <w:bottom w:type="dxa" w:w="60"/>
              <w:right w:type="dxa" w:w="90"/>
            </w:tcMar>
          </w:tcPr>
          <w:p>
            <w:pPr>
              <w:spacing w:after="0" w:line="240" w:lineRule="auto"/>
            </w:pPr>
            <w:r>
              <w:rPr>
                <w:b w:val="false"/>
                <w:bCs w:val="false"/>
                <w:sz w:val="17"/>
                <w:szCs w:val="17"/>
              </w:rPr>
              <w:t xml:space="preserve">+18.8 kcal/(mol·e), 29.0° off the axis</w:t>
            </w:r>
          </w:p>
        </w:tc>
        <w:tc>
          <w:tcPr>
            <w:tcW w:type="dxa" w:w="3420"/>
            <w:tcMar>
              <w:top w:type="dxa" w:w="60"/>
              <w:left w:type="dxa" w:w="90"/>
              <w:bottom w:type="dxa" w:w="60"/>
              <w:right w:type="dxa" w:w="90"/>
            </w:tcMar>
          </w:tcPr>
          <w:p>
            <w:pPr>
              <w:spacing w:after="0" w:line="240" w:lineRule="auto"/>
            </w:pPr>
            <w:r>
              <w:rPr>
                <w:b w:val="false"/>
                <w:bCs w:val="false"/>
                <w:sz w:val="17"/>
                <w:szCs w:val="17"/>
              </w:rPr>
              <w:t xml:space="preserve">+10.7, 3.8°</w:t>
            </w:r>
          </w:p>
        </w:tc>
      </w:tr>
      <w:tr>
        <w:trPr>
          <w:cantSplit/>
        </w:trPr>
        <w:tc>
          <w:tcPr>
            <w:tcW w:type="dxa" w:w="2200"/>
            <w:tcMar>
              <w:top w:type="dxa" w:w="60"/>
              <w:left w:type="dxa" w:w="90"/>
              <w:bottom w:type="dxa" w:w="60"/>
              <w:right w:type="dxa" w:w="90"/>
            </w:tcMar>
          </w:tcPr>
          <w:p>
            <w:pPr>
              <w:spacing w:after="0" w:line="240" w:lineRule="auto"/>
            </w:pPr>
            <w:r>
              <w:rPr>
                <w:b w:val="false"/>
                <w:bCs w:val="false"/>
                <w:sz w:val="17"/>
                <w:szCs w:val="17"/>
              </w:rPr>
              <w:t xml:space="preserve">Cl21 belt</w:t>
            </w:r>
          </w:p>
        </w:tc>
        <w:tc>
          <w:tcPr>
            <w:tcW w:type="dxa" w:w="3400"/>
            <w:tcMar>
              <w:top w:type="dxa" w:w="60"/>
              <w:left w:type="dxa" w:w="90"/>
              <w:bottom w:type="dxa" w:w="60"/>
              <w:right w:type="dxa" w:w="90"/>
            </w:tcMar>
          </w:tcPr>
          <w:p>
            <w:pPr>
              <w:spacing w:after="0" w:line="240" w:lineRule="auto"/>
            </w:pPr>
            <w:r>
              <w:rPr>
                <w:b w:val="false"/>
                <w:bCs w:val="false"/>
                <w:sz w:val="17"/>
                <w:szCs w:val="17"/>
              </w:rPr>
              <w:t xml:space="preserve">−42.0 (in fact the triazole nitrogens)</w:t>
            </w:r>
          </w:p>
        </w:tc>
        <w:tc>
          <w:tcPr>
            <w:tcW w:type="dxa" w:w="3420"/>
            <w:tcMar>
              <w:top w:type="dxa" w:w="60"/>
              <w:left w:type="dxa" w:w="90"/>
              <w:bottom w:type="dxa" w:w="60"/>
              <w:right w:type="dxa" w:w="90"/>
            </w:tcMar>
          </w:tcPr>
          <w:p>
            <w:pPr>
              <w:spacing w:after="0" w:line="240" w:lineRule="auto"/>
            </w:pPr>
            <w:r>
              <w:rPr>
                <w:b w:val="false"/>
                <w:bCs w:val="false"/>
                <w:sz w:val="17"/>
                <w:szCs w:val="17"/>
              </w:rPr>
              <w:t xml:space="preserve">−11.5</w:t>
            </w:r>
          </w:p>
        </w:tc>
      </w:tr>
    </w:tbl>
    <w:p>
      <w:pPr>
        <w:spacing w:after="220" w:line="240" w:lineRule="auto"/>
      </w:pPr>
      <w:r>
        <w:rPr>
          <w:i/>
          <w:iCs/>
          <w:color w:val="4A5568"/>
          <w:sz w:val="18"/>
          <w:szCs w:val="18"/>
        </w:rPr>
        <w:t xml:space="preserve">Table 19 — +18.8 for an aryl chloride was the clue: chlorobenzene gives +4.9, and no substituent pattern triples that.</w:t>
      </w:r>
    </w:p>
    <w:p>
      <w:pPr>
        <w:spacing w:after="120" w:line="276" w:lineRule="auto"/>
      </w:pPr>
      <w:r>
        <w:rPr>
          <w:sz w:val="21"/>
          <w:szCs w:val="21"/>
        </w:rPr>
        <w:t xml:space="preserve">Two changes fixed it, and both are now defaults:</w:t>
      </w:r>
    </w:p>
    <w:p>
      <w:pPr>
        <w:pStyle w:val="ListParagraph"/>
        <w:numPr>
          <w:ilvl w:val="0"/>
          <w:numId w:val="2"/>
        </w:numPr>
        <w:spacing w:after="80" w:line="276" w:lineRule="auto"/>
      </w:pPr>
      <w:r>
        <w:rPr>
          <w:sz w:val="21"/>
          <w:szCs w:val="21"/>
        </w:rPr>
        <w:t xml:space="preserve">The ray takes the innermost downward crossing. It starts deep inside the halogen’s own density, so the first drop through the isovalue is that halogen’s own surface.</w:t>
      </w:r>
    </w:p>
    <w:p>
      <w:pPr>
        <w:pStyle w:val="ListParagraph"/>
        <w:numPr>
          <w:ilvl w:val="0"/>
          <w:numId w:val="2"/>
        </w:numPr>
        <w:spacing w:after="80" w:line="276" w:lineRule="auto"/>
      </w:pPr>
      <w:r>
        <w:rPr>
          <w:sz w:val="21"/>
          <w:szCs w:val="21"/>
        </w:rPr>
        <w:t xml:space="preserve">Both the ray search and the grid-point cap are cut off at 1.6 × the Bondi van der Waals radius of the halogen.</w:t>
      </w:r>
    </w:p>
    <w:p>
      <w:pPr>
        <w:spacing w:after="120" w:line="276" w:lineRule="auto"/>
      </w:pPr>
      <w:r>
        <w:rPr>
          <w:sz w:val="21"/>
          <w:szCs w:val="21"/>
        </w:rPr>
        <w:t xml:space="preserve">Single-halogen molecules are unaffected — bromobenzene stays at +0.01629 a.u. and −0.01882 for the belt, identical to every digit before and after. </w:t>
      </w:r>
      <w:r>
        <w:rPr>
          <w:b/>
          <w:bCs/>
          <w:sz w:val="21"/>
          <w:szCs w:val="21"/>
        </w:rPr>
        <w:t xml:space="preserve">The lesson generalises: three flat halobenzenes cannot test a method that assumes the space beyond the halogen is empty. </w:t>
      </w:r>
      <w:r>
        <w:rPr>
          <w:sz w:val="21"/>
          <w:szCs w:val="21"/>
        </w:rPr>
        <w:t xml:space="preserve">The same molecule also revealed that the axial view was being computed from the C–X axis projected into the best-fit plane, which for a non-planar molecule looked 42.9° past the σ-hole. Both defects were invisible on the model compounds and obvious on a real drug molecule.</w:t>
      </w:r>
    </w:p>
    <w:p>
      <w:pPr>
        <w:pStyle w:val="Heading2"/>
        <w:spacing w:after="120" w:before="260"/>
      </w:pPr>
      <w:r>
        <w:rPr>
          <w:b/>
          <w:bCs/>
          <w:color w:val="1F3864"/>
          <w:sz w:val="24"/>
          <w:szCs w:val="24"/>
        </w:rPr>
        <w:t xml:space="preserve">8.4  Renderer behaviour</w:t>
      </w:r>
    </w:p>
    <w:p>
      <w:pPr>
        <w:spacing w:after="120" w:line="276" w:lineRule="auto"/>
      </w:pPr>
      <w:r>
        <w:rPr>
          <w:sz w:val="21"/>
          <w:szCs w:val="21"/>
        </w:rPr>
        <w:t xml:space="preserve">Three properties of the VMD renderer had to be worked around, and they are documented because they affect what the images can be used for.</w:t>
      </w:r>
    </w:p>
    <w:p>
      <w:pPr>
        <w:spacing w:after="120" w:line="276" w:lineRule="auto"/>
      </w:pPr>
      <w:r>
        <w:rPr>
          <w:b/>
          <w:bCs/>
          <w:sz w:val="21"/>
          <w:szCs w:val="21"/>
        </w:rPr>
        <w:t xml:space="preserve">Transparency does not translate between the programs. </w:t>
      </w:r>
      <w:r>
        <w:rPr>
          <w:sz w:val="21"/>
          <w:szCs w:val="21"/>
        </w:rPr>
        <w:t xml:space="preserve">The isosurface is closed, so a line of sight enters at the front and leaves at the back; at opacity a only (1−a)² of what lies behind survives, which at a = 0.6 is 16 %. </w:t>
      </w:r>
      <w:r>
        <w:rPr>
          <w:sz w:val="21"/>
          <w:szCs w:val="21"/>
        </w:rPr>
        <w:t xml:space="preserve">The two programs weight the setting differently: PyMOL shows the skeleton at transparency 0.15, VMD needs about 0.30 for a comparable impression. </w:t>
      </w:r>
      <w:r>
        <w:rPr>
          <w:b/>
          <w:bCs/>
          <w:sz w:val="21"/>
          <w:szCs w:val="21"/>
        </w:rPr>
        <w:t xml:space="preserve">Identical parameter values in the two programs are therefore not comparable settings.</w:t>
      </w:r>
    </w:p>
    <w:p>
      <w:pPr>
        <w:spacing w:after="120" w:line="276" w:lineRule="auto"/>
      </w:pPr>
      <w:r>
        <w:rPr>
          <w:b/>
          <w:bCs/>
          <w:sz w:val="21"/>
          <w:szCs w:val="21"/>
        </w:rPr>
        <w:t xml:space="preserve">The ray tracer fails unpredictably on stacked transparency. </w:t>
      </w:r>
      <w:r>
        <w:rPr>
          <w:sz w:val="21"/>
          <w:szCs w:val="21"/>
        </w:rPr>
        <w:t xml:space="preserve">In the axial view every line of sight crosses many transparent layers, and TachyonInternal aborts there — on Windows with exit code 0xC0000374, heap corruption, and no error message. </w:t>
      </w:r>
      <w:r>
        <w:rPr>
          <w:sz w:val="21"/>
          <w:szCs w:val="21"/>
        </w:rPr>
        <w:t xml:space="preserve">The same nine molecules were rendered twice from identical data with identical settings: nine of twenty-seven views fell back to a window capture in the first run and seven in the second, with the set almost completely exchanged. Iodobenzene lost all three views in the first run and none in the second; bromobenzene lost one and then two. </w:t>
      </w:r>
      <w:r>
        <w:rPr>
          <w:b/>
          <w:bCs/>
          <w:sz w:val="21"/>
          <w:szCs w:val="21"/>
        </w:rPr>
        <w:t xml:space="preserve">The failure is therefore not a property of the molecule, and it is not reproducible.</w:t>
      </w:r>
      <w:r>
        <w:rPr>
          <w:sz w:val="21"/>
          <w:szCs w:val="21"/>
        </w:rPr>
        <w:t xml:space="preserve"> The pipeline renders in passes and keeps whatever each pass produced, recording per view which pass produced it. PyMOL’s ray tracer rendered all twenty-seven without a single failure, in both runs.</w:t>
      </w:r>
    </w:p>
    <w:p>
      <w:pPr>
        <w:spacing w:after="120" w:line="276" w:lineRule="auto"/>
      </w:pPr>
      <w:r>
        <w:rPr>
          <w:b/>
          <w:bCs/>
          <w:sz w:val="21"/>
          <w:szCs w:val="21"/>
        </w:rPr>
        <w:t xml:space="preserve">Image size is capped by the screen. </w:t>
      </w:r>
      <w:r>
        <w:rPr>
          <w:sz w:val="21"/>
          <w:szCs w:val="21"/>
        </w:rPr>
        <w:t xml:space="preserve">TachyonInternal renders at window size and Windows clamps the window to the display, so a request for 1600 × 1280 yields 1600 × 1061 on a 1080-line screen. The VMD image sets are correspondingly smaller than the PyMOL ones.</w:t>
      </w:r>
    </w:p>
    <w:p>
      <w:pPr>
        <w:pStyle w:val="Heading1"/>
        <w:spacing w:after="160" w:before="360"/>
      </w:pPr>
      <w:r>
        <w:rPr>
          <w:b/>
          <w:bCs/>
          <w:color w:val="1F3864"/>
          <w:sz w:val="30"/>
          <w:szCs w:val="30"/>
        </w:rPr>
        <w:t xml:space="preserve">9  Discussion</w:t>
      </w:r>
    </w:p>
    <w:p>
      <w:pPr>
        <w:pStyle w:val="Heading2"/>
        <w:spacing w:after="120" w:before="260"/>
      </w:pPr>
      <w:r>
        <w:rPr>
          <w:b/>
          <w:bCs/>
          <w:color w:val="1F3864"/>
          <w:sz w:val="24"/>
          <w:szCs w:val="24"/>
        </w:rPr>
        <w:t xml:space="preserve">9.1  What is viewer-dependent and what is not</w:t>
      </w:r>
    </w:p>
    <w:p>
      <w:pPr>
        <w:spacing w:after="120" w:line="276" w:lineRule="auto"/>
      </w:pPr>
      <w:r>
        <w:rPr>
          <w:sz w:val="21"/>
          <w:szCs w:val="21"/>
        </w:rPr>
        <w:t xml:space="preserve">The separation established in §6.6 is clean and, as far as this dataset goes, complete. Surface extrema, colour ranges, σ-holes and belts are properties of the data and the convention; they came out identical from two implementations that share no code. </w:t>
      </w:r>
      <w:r>
        <w:rPr>
          <w:sz w:val="21"/>
          <w:szCs w:val="21"/>
        </w:rPr>
        <w:t xml:space="preserve">Everything that differs between the two rows of Figures 2, 4 and 5 — the saturation of the surface, the visibility of the skeleton, the apparent size of the molecule, the smoothness of the triangulation — is the viewer.</w:t>
      </w:r>
    </w:p>
    <w:p>
      <w:pPr>
        <w:spacing w:after="120" w:line="276" w:lineRule="auto"/>
      </w:pPr>
      <w:r>
        <w:rPr>
          <w:sz w:val="21"/>
          <w:szCs w:val="21"/>
        </w:rPr>
        <w:t xml:space="preserve">That has a practical consequence for reading the literature. A published ESP figure carries no information about the program that made it, and needs none. What it must carry is the isovalue and the colour range, because those are what the ranking in Table 17 says actually matter. </w:t>
      </w:r>
      <w:r>
        <w:rPr>
          <w:sz w:val="21"/>
          <w:szCs w:val="21"/>
        </w:rPr>
        <w:t xml:space="preserve">A figure without a labelled colour bar cannot be read at all, and this workflow ships one with every image for that reason.</w:t>
      </w:r>
    </w:p>
    <w:p>
      <w:pPr>
        <w:pStyle w:val="Heading2"/>
        <w:spacing w:after="120" w:before="260"/>
      </w:pPr>
      <w:r>
        <w:rPr>
          <w:b/>
          <w:bCs/>
          <w:color w:val="1F3864"/>
          <w:sz w:val="24"/>
          <w:szCs w:val="24"/>
        </w:rPr>
        <w:t xml:space="preserve">9.2  Which pipeline for what</w:t>
      </w:r>
    </w:p>
    <w:p>
      <w:pPr>
        <w:pStyle w:val="ListParagraph"/>
        <w:numPr>
          <w:ilvl w:val="0"/>
          <w:numId w:val="2"/>
        </w:numPr>
        <w:spacing w:after="80" w:line="276" w:lineRule="auto"/>
      </w:pPr>
      <w:r>
        <w:rPr>
          <w:sz w:val="21"/>
          <w:szCs w:val="21"/>
        </w:rPr>
        <w:t xml:space="preserve">For quantities, use the PyMOL pipeline. Not because its V_S values are better — they are identical — but because it is the one that locates the σ-hole, names the atom carrying each extremum, and handles several halogens per molecule.</w:t>
      </w:r>
    </w:p>
    <w:p>
      <w:pPr>
        <w:pStyle w:val="ListParagraph"/>
        <w:numPr>
          <w:ilvl w:val="0"/>
          <w:numId w:val="2"/>
        </w:numPr>
        <w:spacing w:after="80" w:line="276" w:lineRule="auto"/>
      </w:pPr>
      <w:r>
        <w:rPr>
          <w:sz w:val="21"/>
          <w:szCs w:val="21"/>
        </w:rPr>
        <w:t xml:space="preserve">For the π face, either. The maps agree and VMD draws the more readable skeleton.</w:t>
      </w:r>
    </w:p>
    <w:p>
      <w:pPr>
        <w:pStyle w:val="ListParagraph"/>
        <w:numPr>
          <w:ilvl w:val="0"/>
          <w:numId w:val="2"/>
        </w:numPr>
        <w:spacing w:after="80" w:line="276" w:lineRule="auto"/>
      </w:pPr>
      <w:r>
        <w:rPr>
          <w:sz w:val="21"/>
          <w:szCs w:val="21"/>
        </w:rPr>
        <w:t xml:space="preserve">For the axial view, PyMOL. This is the view that carries the σ-hole argument and the one VMD renders worst — partly through the transparency mechanics, partly because it is the view its ray tracer is most likely to abandon.</w:t>
      </w:r>
    </w:p>
    <w:p>
      <w:pPr>
        <w:pStyle w:val="ListParagraph"/>
        <w:numPr>
          <w:ilvl w:val="0"/>
          <w:numId w:val="2"/>
        </w:numPr>
        <w:spacing w:after="80" w:line="276" w:lineRule="auto"/>
      </w:pPr>
      <w:r>
        <w:rPr>
          <w:sz w:val="21"/>
          <w:szCs w:val="21"/>
        </w:rPr>
        <w:t xml:space="preserve">The second pipeline nevertheless earned its place. It confirmed the surface statistics of the first from an independent implementation, on ten molecules, to five decimal places. No amount of internal testing of a single implementation could have produced that.</w:t>
      </w:r>
    </w:p>
    <w:p>
      <w:pPr>
        <w:pStyle w:val="Heading2"/>
        <w:spacing w:after="120" w:before="260"/>
      </w:pPr>
      <w:r>
        <w:rPr>
          <w:b/>
          <w:bCs/>
          <w:color w:val="1F3864"/>
          <w:sz w:val="24"/>
          <w:szCs w:val="24"/>
        </w:rPr>
        <w:t xml:space="preserve">9.3  Limitations</w:t>
      </w:r>
    </w:p>
    <w:p>
      <w:pPr>
        <w:pStyle w:val="ListParagraph"/>
        <w:numPr>
          <w:ilvl w:val="0"/>
          <w:numId w:val="2"/>
        </w:numPr>
        <w:spacing w:after="80" w:line="276" w:lineRule="auto"/>
      </w:pPr>
      <w:r>
        <w:rPr>
          <w:sz w:val="21"/>
          <w:szCs w:val="21"/>
        </w:rPr>
        <w:t xml:space="preserve">One level of theory. All grids come from a single set of Turbomole calculations whose method and basis set were not supplied. The literature comparison in §6.4 suggests they are consistent with a modern hybrid functional and a polarised double-zeta basis with ECP, but that is an inference. The ±10–20 % method sensitivity in Table 17 is taken from published values, not measured here.</w:t>
      </w:r>
    </w:p>
    <w:p>
      <w:pPr>
        <w:pStyle w:val="ListParagraph"/>
        <w:numPr>
          <w:ilvl w:val="0"/>
          <w:numId w:val="2"/>
        </w:numPr>
        <w:spacing w:after="80" w:line="276" w:lineRule="auto"/>
      </w:pPr>
      <w:r>
        <w:rPr>
          <w:sz w:val="21"/>
          <w:szCs w:val="21"/>
        </w:rPr>
        <w:t xml:space="preserve">The σ-hole tool in the VMD repository is a port of the PyMOL routine, not an independent derivation. Its self test proves the two copies are still the same code; it does not independently confirm the method. The genuine independent confirmation in this report is the surface statistics of §6.6, which were written twice.</w:t>
      </w:r>
    </w:p>
    <w:p>
      <w:pPr>
        <w:pStyle w:val="ListParagraph"/>
        <w:numPr>
          <w:ilvl w:val="0"/>
          <w:numId w:val="2"/>
        </w:numPr>
        <w:spacing w:after="80" w:line="276" w:lineRule="auto"/>
      </w:pPr>
      <w:r>
        <w:rPr>
          <w:sz w:val="21"/>
          <w:szCs w:val="21"/>
        </w:rPr>
        <w:t xml:space="preserve">Two grid geometries. The pyridines were computed on a wider box at coarser spacing than the halobenzenes. Table 12 indicates the effect on V_S is negligible at these spacings, but the two groups are not strictly a single dataset.</w:t>
      </w:r>
    </w:p>
    <w:p>
      <w:pPr>
        <w:pStyle w:val="ListParagraph"/>
        <w:numPr>
          <w:ilvl w:val="0"/>
          <w:numId w:val="2"/>
        </w:numPr>
        <w:spacing w:after="80" w:line="276" w:lineRule="auto"/>
      </w:pPr>
      <w:r>
        <w:rPr>
          <w:sz w:val="21"/>
          <w:szCs w:val="21"/>
        </w:rPr>
        <w:t xml:space="preserve">Avogadro 2 and GaussView 6 were assessed from documentation only (§1.5).</w:t>
      </w:r>
    </w:p>
    <w:p>
      <w:pPr>
        <w:pStyle w:val="ListParagraph"/>
        <w:numPr>
          <w:ilvl w:val="0"/>
          <w:numId w:val="2"/>
        </w:numPr>
        <w:spacing w:after="80" w:line="276" w:lineRule="auto"/>
      </w:pPr>
      <w:r>
        <w:rPr>
          <w:sz w:val="21"/>
          <w:szCs w:val="21"/>
        </w:rPr>
        <w:t xml:space="preserve">The delivered image sets and the parameter study were produced on the same data but at different times; the tables in §7 come from the bromobenzene study and were not repeated for every molecule.</w:t>
      </w:r>
    </w:p>
    <w:p>
      <w:pPr>
        <w:pStyle w:val="Heading1"/>
        <w:spacing w:after="160" w:before="360"/>
      </w:pPr>
      <w:r>
        <w:rPr>
          <w:b/>
          <w:bCs/>
          <w:color w:val="1F3864"/>
          <w:sz w:val="30"/>
          <w:szCs w:val="30"/>
        </w:rPr>
        <w:t xml:space="preserve">10  Outlook</w:t>
      </w:r>
    </w:p>
    <w:p>
      <w:pPr>
        <w:pStyle w:val="Heading2"/>
        <w:spacing w:after="120" w:before="260"/>
      </w:pPr>
      <w:r>
        <w:rPr>
          <w:b/>
          <w:bCs/>
          <w:color w:val="1F3864"/>
          <w:sz w:val="24"/>
          <w:szCs w:val="24"/>
        </w:rPr>
        <w:t xml:space="preserve">10.1  Electrostatic complementarity</w:t>
      </w:r>
    </w:p>
    <w:p>
      <w:pPr>
        <w:spacing w:after="120" w:line="276" w:lineRule="auto"/>
      </w:pPr>
      <w:r>
        <w:rPr>
          <w:sz w:val="21"/>
          <w:szCs w:val="21"/>
        </w:rPr>
        <w:t xml:space="preserve">The natural extension is from one molecule to an interface: comparing the potential on a ligand surface with the potential the protein presents at the same place, so that a red patch facing a blue one scores as complementary. </w:t>
      </w:r>
      <w:r>
        <w:rPr>
          <w:sz w:val="21"/>
          <w:szCs w:val="21"/>
        </w:rPr>
        <w:t xml:space="preserve">Several components of this workflow transfer directly — the cube handling, the shell band, the surface statistics and the rendering. Three things would have to be added: an electrostatics model for the protein, which is a different computational problem (Poisson–Boltzmann, or partial charges with a distance-dependent dielectric); a quantitative definition of what “complementary” means as a number; and a validation case for which the answer is already known. </w:t>
      </w:r>
      <w:r>
        <w:rPr>
          <w:sz w:val="21"/>
          <w:szCs w:val="21"/>
        </w:rPr>
        <w:t xml:space="preserve">The last of these is the hard one, and it is why this was scoped out rather than attempted.</w:t>
      </w:r>
    </w:p>
    <w:p>
      <w:pPr>
        <w:pStyle w:val="Heading2"/>
        <w:spacing w:after="120" w:before="260"/>
      </w:pPr>
      <w:r>
        <w:rPr>
          <w:b/>
          <w:bCs/>
          <w:color w:val="1F3864"/>
          <w:sz w:val="24"/>
          <w:szCs w:val="24"/>
        </w:rPr>
        <w:t xml:space="preserve">10.2  A third viewer</w:t>
      </w:r>
    </w:p>
    <w:p>
      <w:pPr>
        <w:spacing w:after="120" w:line="276" w:lineRule="auto"/>
      </w:pPr>
      <w:r>
        <w:rPr>
          <w:sz w:val="21"/>
          <w:szCs w:val="21"/>
        </w:rPr>
        <w:t xml:space="preserve">ChimeraX would broaden the evaluation from two data points to three at low marginal cost, since the cube files and all the analysis already exist and only a scene script and an image set would be new. </w:t>
      </w:r>
      <w:r>
        <w:rPr>
          <w:sz w:val="21"/>
          <w:szCs w:val="21"/>
        </w:rPr>
        <w:t xml:space="preserve">On the evidence of §6.6 the numbers would agree; the interesting question is whether its OpenGL-only rendering, with multi-directional ambient shadowing instead of a ray tracer, produces a comparable axial view — the one view where the two existing pipelines genuinely differ.</w:t>
      </w:r>
    </w:p>
    <w:p>
      <w:pPr>
        <w:pStyle w:val="Heading2"/>
        <w:spacing w:after="120" w:before="260"/>
      </w:pPr>
      <w:r>
        <w:rPr>
          <w:b/>
          <w:bCs/>
          <w:color w:val="1F3864"/>
          <w:sz w:val="24"/>
          <w:szCs w:val="24"/>
        </w:rPr>
        <w:t xml:space="preserve">10.3  The missing axis</w:t>
      </w:r>
    </w:p>
    <w:p>
      <w:pPr>
        <w:spacing w:after="120" w:line="276" w:lineRule="auto"/>
      </w:pPr>
      <w:r>
        <w:rPr>
          <w:sz w:val="21"/>
          <w:szCs w:val="21"/>
        </w:rPr>
        <w:t xml:space="preserve">Table 17 has four measured rows and one taken from the literature. Repeating a single molecule at two levels of theory would close that gap and complete the ranking with a number of this project’s own, which is the most valuable single addition the work could still receive.</w:t>
      </w:r>
    </w:p>
    <w:p>
      <w:r>
        <w:br w:type="page"/>
      </w:r>
    </w:p>
    <w:p>
      <w:pPr>
        <w:pStyle w:val="Heading1"/>
        <w:spacing w:after="160" w:before="360"/>
      </w:pPr>
      <w:r>
        <w:rPr>
          <w:b/>
          <w:bCs/>
          <w:color w:val="1F3864"/>
          <w:sz w:val="30"/>
          <w:szCs w:val="30"/>
        </w:rPr>
        <w:t xml:space="preserve">Appendix A  Repository layout</w:t>
      </w:r>
    </w:p>
    <w:p>
      <w:pPr>
        <w:spacing w:after="120" w:line="276" w:lineRule="auto"/>
      </w:pPr>
      <w:r>
        <w:rPr>
          <w:sz w:val="21"/>
          <w:szCs w:val="21"/>
        </w:rPr>
        <w:t xml:space="preserve">Two repositories, one per pipeline, each self-contained and independently clonable. </w:t>
      </w:r>
      <w:r>
        <w:rPr>
          <w:b/>
          <w:bCs/>
          <w:sz w:val="21"/>
          <w:szCs w:val="21"/>
        </w:rPr>
        <w:t xml:space="preserve">The standard operating procedures — installation, execution, the complete parameter reference, worked examples and troubleshooting — live in the README.md of each repository</w:t>
      </w:r>
      <w:r>
        <w:rPr>
          <w:sz w:val="21"/>
          <w:szCs w:val="21"/>
        </w:rPr>
        <w:t xml:space="preserve"> and are deliberately not reproduced here.</w:t>
      </w:r>
    </w:p>
    <w:p>
      <w:pPr>
        <w:shd w:fill="F2F4F7" w:val="clear"/>
        <w:spacing w:after="160" w:before="100" w:line="240" w:lineRule="auto"/>
        <w:ind w:left="180" w:right="180"/>
      </w:pPr>
      <w:r>
        <w:rPr>
          <w:rFonts w:ascii="Consolas" w:cs="Consolas" w:eastAsia="Consolas" w:hAnsi="Consolas"/>
          <w:sz w:val="18"/>
          <w:szCs w:val="18"/>
        </w:rPr>
        <w:t xml:space="preserve">Pymol_esp_visualization/</w:t>
      </w:r>
      <w:r>
        <w:rPr>
          <w:rFonts w:ascii="Consolas" w:cs="Consolas" w:eastAsia="Consolas" w:hAnsi="Consolas"/>
          <w:sz w:val="18"/>
          <w:szCs w:val="18"/>
        </w:rPr>
        <w:br/>
        <w:t xml:space="preserve">  README.md              SOP: install, run, parameters, troubleshooting</w:t>
      </w:r>
      <w:r>
        <w:rPr>
          <w:rFonts w:ascii="Consolas" w:cs="Consolas" w:eastAsia="Consolas" w:hAnsi="Consolas"/>
          <w:sz w:val="18"/>
          <w:szCs w:val="18"/>
        </w:rPr>
        <w:br/>
        <w:t xml:space="preserve">  environment.yml        conda environment</w:t>
      </w:r>
      <w:r>
        <w:rPr>
          <w:rFonts w:ascii="Consolas" w:cs="Consolas" w:eastAsia="Consolas" w:hAnsi="Consolas"/>
          <w:sz w:val="18"/>
          <w:szCs w:val="18"/>
        </w:rPr>
        <w:br/>
        <w:t xml:space="preserve">  scripts/</w:t>
      </w:r>
      <w:r>
        <w:rPr>
          <w:rFonts w:ascii="Consolas" w:cs="Consolas" w:eastAsia="Consolas" w:hAnsi="Consolas"/>
          <w:sz w:val="18"/>
          <w:szCs w:val="18"/>
        </w:rPr>
        <w:br/>
        <w:t xml:space="preserve">    xyzToCube.py         pointval -&gt; cube; surface statistics</w:t>
      </w:r>
      <w:r>
        <w:rPr>
          <w:rFonts w:ascii="Consolas" w:cs="Consolas" w:eastAsia="Consolas" w:hAnsi="Consolas"/>
          <w:sz w:val="18"/>
          <w:szCs w:val="18"/>
        </w:rPr>
        <w:br/>
        <w:t xml:space="preserve">    render_esp.py        views, sigma hole, images, settings file</w:t>
      </w:r>
      <w:r>
        <w:rPr>
          <w:rFonts w:ascii="Consolas" w:cs="Consolas" w:eastAsia="Consolas" w:hAnsi="Consolas"/>
          <w:sz w:val="18"/>
          <w:szCs w:val="18"/>
        </w:rPr>
        <w:br/>
        <w:t xml:space="preserve">    run_all.py           batch driver + time-stamped summary CSV</w:t>
      </w:r>
      <w:r>
        <w:rPr>
          <w:rFonts w:ascii="Consolas" w:cs="Consolas" w:eastAsia="Consolas" w:hAnsi="Consolas"/>
          <w:sz w:val="18"/>
          <w:szCs w:val="18"/>
        </w:rPr>
        <w:br/>
        <w:t xml:space="preserve">    constants.py         unit conversions, shared</w:t>
      </w:r>
      <w:r>
        <w:rPr>
          <w:rFonts w:ascii="Consolas" w:cs="Consolas" w:eastAsia="Consolas" w:hAnsi="Consolas"/>
          <w:sz w:val="18"/>
          <w:szCs w:val="18"/>
        </w:rPr>
        <w:br/>
        <w:t xml:space="preserve">  tools/</w:t>
      </w:r>
      <w:r>
        <w:rPr>
          <w:rFonts w:ascii="Consolas" w:cs="Consolas" w:eastAsia="Consolas" w:hAnsi="Consolas"/>
          <w:sz w:val="18"/>
          <w:szCs w:val="18"/>
        </w:rPr>
        <w:br/>
        <w:t xml:space="preserve">    CreateTpTdFromSmiles.py   test data from a SMILES string</w:t>
      </w:r>
      <w:r>
        <w:rPr>
          <w:rFonts w:ascii="Consolas" w:cs="Consolas" w:eastAsia="Consolas" w:hAnsi="Consolas"/>
          <w:sz w:val="18"/>
          <w:szCs w:val="18"/>
        </w:rPr>
        <w:br/>
        <w:t xml:space="preserve">    stride_sweep.py           the grid-resolution study (Table 12)</w:t>
      </w:r>
      <w:r>
        <w:rPr>
          <w:rFonts w:ascii="Consolas" w:cs="Consolas" w:eastAsia="Consolas" w:hAnsi="Consolas"/>
          <w:sz w:val="18"/>
          <w:szCs w:val="18"/>
        </w:rPr>
        <w:br/>
        <w:t xml:space="preserve">    iso_sweep.py              the isovalue study (Table 11)</w:t>
      </w:r>
      <w:r>
        <w:rPr>
          <w:rFonts w:ascii="Consolas" w:cs="Consolas" w:eastAsia="Consolas" w:hAnsi="Consolas"/>
          <w:sz w:val="18"/>
          <w:szCs w:val="18"/>
        </w:rPr>
        <w:br/>
        <w:t xml:space="preserve">    make_reference.py         builds the committed reference dataset</w:t>
      </w:r>
      <w:r>
        <w:rPr>
          <w:rFonts w:ascii="Consolas" w:cs="Consolas" w:eastAsia="Consolas" w:hAnsi="Consolas"/>
          <w:sz w:val="18"/>
          <w:szCs w:val="18"/>
        </w:rPr>
        <w:br/>
        <w:t xml:space="preserve">  reference/             committed known-good example; the self test</w:t>
      </w:r>
      <w:r>
        <w:rPr>
          <w:rFonts w:ascii="Consolas" w:cs="Consolas" w:eastAsia="Consolas" w:hAnsi="Consolas"/>
          <w:sz w:val="18"/>
          <w:szCs w:val="18"/>
        </w:rPr>
        <w:br/>
        <w:t xml:space="preserve">  results/               the delivered image sets</w:t>
      </w:r>
      <w:r>
        <w:rPr>
          <w:rFonts w:ascii="Consolas" w:cs="Consolas" w:eastAsia="Consolas" w:hAnsi="Consolas"/>
          <w:sz w:val="18"/>
          <w:szCs w:val="18"/>
        </w:rPr>
        <w:br/>
        <w:t xml:space="preserve">  docs/                  this document</w:t>
      </w:r>
      <w:r>
        <w:rPr>
          <w:rFonts w:ascii="Consolas" w:cs="Consolas" w:eastAsia="Consolas" w:hAnsi="Consolas"/>
          <w:sz w:val="18"/>
          <w:szCs w:val="18"/>
        </w:rPr>
        <w:br/>
        <w:t xml:space="preserve"/>
      </w:r>
      <w:r>
        <w:rPr>
          <w:rFonts w:ascii="Consolas" w:cs="Consolas" w:eastAsia="Consolas" w:hAnsi="Consolas"/>
          <w:sz w:val="18"/>
          <w:szCs w:val="18"/>
        </w:rPr>
        <w:br/>
        <w:t xml:space="preserve">VMD_esp_visualization/</w:t>
      </w:r>
      <w:r>
        <w:rPr>
          <w:rFonts w:ascii="Consolas" w:cs="Consolas" w:eastAsia="Consolas" w:hAnsi="Consolas"/>
          <w:sz w:val="18"/>
          <w:szCs w:val="18"/>
        </w:rPr>
        <w:br/>
        <w:t xml:space="preserve">  README.md              SOP: install, run, parameters, troubleshooting</w:t>
      </w:r>
      <w:r>
        <w:rPr>
          <w:rFonts w:ascii="Consolas" w:cs="Consolas" w:eastAsia="Consolas" w:hAnsi="Consolas"/>
          <w:sz w:val="18"/>
          <w:szCs w:val="18"/>
        </w:rPr>
        <w:br/>
        <w:t xml:space="preserve">  scripts/</w:t>
      </w:r>
      <w:r>
        <w:rPr>
          <w:rFonts w:ascii="Consolas" w:cs="Consolas" w:eastAsia="Consolas" w:hAnsi="Consolas"/>
          <w:sz w:val="18"/>
          <w:szCs w:val="18"/>
        </w:rPr>
        <w:br/>
        <w:t xml:space="preserve">    xyzToCubeToVMDVis.py Turbomole pointval -&gt; cube -&gt; esp.tcl</w:t>
      </w:r>
      <w:r>
        <w:rPr>
          <w:rFonts w:ascii="Consolas" w:cs="Consolas" w:eastAsia="Consolas" w:hAnsi="Consolas"/>
          <w:sz w:val="18"/>
          <w:szCs w:val="18"/>
        </w:rPr>
        <w:br/>
        <w:t xml:space="preserve">    esp_template.tcl     the VMD scene, with @@placeholders@@</w:t>
      </w:r>
      <w:r>
        <w:rPr>
          <w:rFonts w:ascii="Consolas" w:cs="Consolas" w:eastAsia="Consolas" w:hAnsi="Consolas"/>
          <w:sz w:val="18"/>
          <w:szCs w:val="18"/>
        </w:rPr>
        <w:br/>
        <w:t xml:space="preserve">    render_espVMD.py     drives VMD; the standard image set</w:t>
      </w:r>
      <w:r>
        <w:rPr>
          <w:rFonts w:ascii="Consolas" w:cs="Consolas" w:eastAsia="Consolas" w:hAnsi="Consolas"/>
          <w:sz w:val="18"/>
          <w:szCs w:val="18"/>
        </w:rPr>
        <w:br/>
        <w:t xml:space="preserve">    run_allVMD.py        batch driver + time-stamped summary CSV</w:t>
      </w:r>
      <w:r>
        <w:rPr>
          <w:rFonts w:ascii="Consolas" w:cs="Consolas" w:eastAsia="Consolas" w:hAnsi="Consolas"/>
          <w:sz w:val="18"/>
          <w:szCs w:val="18"/>
        </w:rPr>
        <w:br/>
        <w:t xml:space="preserve">  tools/</w:t>
      </w:r>
      <w:r>
        <w:rPr>
          <w:rFonts w:ascii="Consolas" w:cs="Consolas" w:eastAsia="Consolas" w:hAnsi="Consolas"/>
          <w:sz w:val="18"/>
          <w:szCs w:val="18"/>
        </w:rPr>
        <w:br/>
        <w:t xml:space="preserve">    SigmaHoleCalc.py     sigma hole by ray marching, outside the workflow</w:t>
      </w:r>
      <w:r>
        <w:rPr>
          <w:rFonts w:ascii="Consolas" w:cs="Consolas" w:eastAsia="Consolas" w:hAnsi="Consolas"/>
          <w:sz w:val="18"/>
          <w:szCs w:val="18"/>
        </w:rPr>
        <w:br/>
        <w:t xml:space="preserve">    make_reference.py</w:t>
      </w:r>
      <w:r>
        <w:rPr>
          <w:rFonts w:ascii="Consolas" w:cs="Consolas" w:eastAsia="Consolas" w:hAnsi="Consolas"/>
          <w:sz w:val="18"/>
          <w:szCs w:val="18"/>
        </w:rPr>
        <w:br/>
        <w:t xml:space="preserve">  reference/  results/   as above</w:t>
      </w:r>
    </w:p>
    <w:p>
      <w:pPr>
        <w:spacing w:after="120" w:line="276" w:lineRule="auto"/>
      </w:pPr>
      <w:r>
        <w:rPr>
          <w:b/>
          <w:bCs/>
          <w:sz w:val="21"/>
          <w:szCs w:val="21"/>
        </w:rPr>
        <w:t xml:space="preserve">Large files are deliberately untracked. </w:t>
      </w:r>
      <w:r>
        <w:rPr>
          <w:sz w:val="21"/>
          <w:szCs w:val="21"/>
        </w:rPr>
        <w:t xml:space="preserve">A full-resolution cube is about 200 MB, so the cube files and the raw grids are excluded by </w:t>
      </w:r>
      <w:r>
        <w:rPr>
          <w:rFonts w:ascii="Consolas" w:cs="Consolas" w:eastAsia="Consolas" w:hAnsi="Consolas"/>
          <w:sz w:val="21"/>
          <w:szCs w:val="21"/>
        </w:rPr>
        <w:t xml:space="preserve">.gitignore</w:t>
      </w:r>
      <w:r>
        <w:rPr>
          <w:sz w:val="21"/>
          <w:szCs w:val="21"/>
        </w:rPr>
        <w:t xml:space="preserve"> and regenerated by the converters. The one exception is the reference dataset, which ships as decimated raw </w:t>
      </w:r>
      <w:r>
        <w:rPr>
          <w:rFonts w:ascii="Consolas" w:cs="Consolas" w:eastAsia="Consolas" w:hAnsi="Consolas"/>
          <w:sz w:val="21"/>
          <w:szCs w:val="21"/>
        </w:rPr>
        <w:t xml:space="preserve">pointval</w:t>
      </w:r>
      <w:r>
        <w:rPr>
          <w:sz w:val="21"/>
          <w:szCs w:val="21"/>
        </w:rPr>
        <w:t xml:space="preserve"> files rather than as cubes, so that a fresh clone exercises the whole chain including unit conversion and index reordering.</w:t>
      </w:r>
    </w:p>
    <w:p>
      <w:pPr>
        <w:pStyle w:val="Heading2"/>
        <w:spacing w:after="120" w:before="260"/>
      </w:pPr>
      <w:r>
        <w:rPr>
          <w:b/>
          <w:bCs/>
          <w:color w:val="1F3864"/>
          <w:sz w:val="24"/>
          <w:szCs w:val="24"/>
        </w:rPr>
        <w:t xml:space="preserve">Reproducing the results</w:t>
      </w:r>
    </w:p>
    <w:p>
      <w:pPr>
        <w:shd w:fill="F2F4F7" w:val="clear"/>
        <w:spacing w:after="160" w:before="100" w:line="240" w:lineRule="auto"/>
        <w:ind w:left="180" w:right="180"/>
      </w:pPr>
      <w:r>
        <w:rPr>
          <w:rFonts w:ascii="Consolas" w:cs="Consolas" w:eastAsia="Consolas" w:hAnsi="Consolas"/>
          <w:sz w:val="18"/>
          <w:szCs w:val="18"/>
        </w:rPr>
        <w:t xml:space="preserve"># self test on the committed reference dataset</w:t>
      </w:r>
      <w:r>
        <w:rPr>
          <w:rFonts w:ascii="Consolas" w:cs="Consolas" w:eastAsia="Consolas" w:hAnsi="Consolas"/>
          <w:sz w:val="18"/>
          <w:szCs w:val="18"/>
        </w:rPr>
        <w:br/>
        <w:t xml:space="preserve">cd scripts &amp;&amp; python run_all.py</w:t>
      </w:r>
      <w:r>
        <w:rPr>
          <w:rFonts w:ascii="Consolas" w:cs="Consolas" w:eastAsia="Consolas" w:hAnsi="Consolas"/>
          <w:sz w:val="18"/>
          <w:szCs w:val="18"/>
        </w:rPr>
        <w:br/>
        <w:t xml:space="preserve"/>
      </w:r>
      <w:r>
        <w:rPr>
          <w:rFonts w:ascii="Consolas" w:cs="Consolas" w:eastAsia="Consolas" w:hAnsi="Consolas"/>
          <w:sz w:val="18"/>
          <w:szCs w:val="18"/>
        </w:rPr>
        <w:br/>
        <w:t xml:space="preserve"># the full result set, both pipelines</w:t>
      </w:r>
      <w:r>
        <w:rPr>
          <w:rFonts w:ascii="Consolas" w:cs="Consolas" w:eastAsia="Consolas" w:hAnsi="Consolas"/>
          <w:sz w:val="18"/>
          <w:szCs w:val="18"/>
        </w:rPr>
        <w:br/>
        <w:t xml:space="preserve">python run_all.py    --root ../sandbox --two-pass</w:t>
      </w:r>
      <w:r>
        <w:rPr>
          <w:rFonts w:ascii="Consolas" w:cs="Consolas" w:eastAsia="Consolas" w:hAnsi="Consolas"/>
          <w:sz w:val="18"/>
          <w:szCs w:val="18"/>
        </w:rPr>
        <w:br/>
        <w:t xml:space="preserve">python run_allVMD.py --root ../sandbox --esp-range 0.0850</w:t>
      </w:r>
      <w:r>
        <w:rPr>
          <w:rFonts w:ascii="Consolas" w:cs="Consolas" w:eastAsia="Consolas" w:hAnsi="Consolas"/>
          <w:sz w:val="18"/>
          <w:szCs w:val="18"/>
        </w:rPr>
        <w:br/>
        <w:t xml:space="preserve"/>
      </w:r>
      <w:r>
        <w:rPr>
          <w:rFonts w:ascii="Consolas" w:cs="Consolas" w:eastAsia="Consolas" w:hAnsi="Consolas"/>
          <w:sz w:val="18"/>
          <w:szCs w:val="18"/>
        </w:rPr>
        <w:br/>
        <w:t xml:space="preserve"># the sigma hole of one molecule, outside the rendering workflow</w:t>
      </w:r>
      <w:r>
        <w:rPr>
          <w:rFonts w:ascii="Consolas" w:cs="Consolas" w:eastAsia="Consolas" w:hAnsi="Consolas"/>
          <w:sz w:val="18"/>
          <w:szCs w:val="18"/>
        </w:rPr>
        <w:br/>
        <w:t xml:space="preserve">cd tools &amp;&amp; python SigmaHoleCalc.py --folder ../sandbox/brombenzol --csv</w:t>
      </w:r>
    </w:p>
    <w:p>
      <w:pPr>
        <w:pStyle w:val="Heading1"/>
        <w:spacing w:after="160" w:before="360"/>
      </w:pPr>
      <w:r>
        <w:rPr>
          <w:b/>
          <w:bCs/>
          <w:color w:val="1F3864"/>
          <w:sz w:val="30"/>
          <w:szCs w:val="30"/>
        </w:rPr>
        <w:t xml:space="preserve">11  References</w:t>
      </w:r>
    </w:p>
    <w:p>
      <w:pPr>
        <w:pStyle w:val="Heading2"/>
        <w:spacing w:after="120" w:before="260"/>
      </w:pPr>
      <w:r>
        <w:rPr>
          <w:b/>
          <w:bCs/>
          <w:color w:val="1F3864"/>
          <w:sz w:val="24"/>
          <w:szCs w:val="24"/>
        </w:rPr>
        <w:t xml:space="preserve">Method and convention</w:t>
      </w:r>
    </w:p>
    <w:p>
      <w:pPr>
        <w:pStyle w:val="ListParagraph"/>
        <w:numPr>
          <w:ilvl w:val="0"/>
          <w:numId w:val="2"/>
        </w:numPr>
        <w:spacing w:after="80" w:line="276" w:lineRule="auto"/>
      </w:pPr>
      <w:r>
        <w:rPr>
          <w:sz w:val="21"/>
          <w:szCs w:val="21"/>
        </w:rPr>
        <w:t xml:space="preserve">R. F. W. Bader, M. T. Carroll, J. R. Cheeseman, C. Chang, Properties of atoms in molecules: atomic volumes, J. Am. Chem. Soc. 109 (1987) 7968–7979. doi:10.1021/ja00260a006</w:t>
      </w:r>
    </w:p>
    <w:p>
      <w:pPr>
        <w:pStyle w:val="ListParagraph"/>
        <w:numPr>
          <w:ilvl w:val="0"/>
          <w:numId w:val="2"/>
        </w:numPr>
        <w:spacing w:after="80" w:line="276" w:lineRule="auto"/>
      </w:pPr>
      <w:r>
        <w:rPr>
          <w:sz w:val="21"/>
          <w:szCs w:val="21"/>
        </w:rPr>
        <w:t xml:space="preserve">F. A. Bulat, A. Toro-Labbé, T. Brinck, J. S. Murray, P. Politzer, Quantitative analysis of molecular surfaces: areas, volumes, electrostatic potentials and average local ionization energies, J. Mol. Model. 16 (2010) 1679–1691. doi:10.1007/s00894-010-0692-x</w:t>
      </w:r>
    </w:p>
    <w:p>
      <w:pPr>
        <w:pStyle w:val="ListParagraph"/>
        <w:numPr>
          <w:ilvl w:val="0"/>
          <w:numId w:val="2"/>
        </w:numPr>
        <w:spacing w:after="80" w:line="276" w:lineRule="auto"/>
      </w:pPr>
      <w:r>
        <w:rPr>
          <w:sz w:val="21"/>
          <w:szCs w:val="21"/>
        </w:rPr>
        <w:t xml:space="preserve">J. S. Murray, P. Politzer, The electrostatic potential: an overview, WIREs Comput. Mol. Sci. 1 (2011) 153–163. doi:10.1002/wcms.19</w:t>
      </w:r>
    </w:p>
    <w:p>
      <w:pPr>
        <w:pStyle w:val="ListParagraph"/>
        <w:numPr>
          <w:ilvl w:val="0"/>
          <w:numId w:val="2"/>
        </w:numPr>
        <w:spacing w:after="80" w:line="276" w:lineRule="auto"/>
      </w:pPr>
      <w:r>
        <w:rPr>
          <w:sz w:val="21"/>
          <w:szCs w:val="21"/>
        </w:rPr>
        <w:t xml:space="preserve">P. Politzer, J. S. Murray, T. Clark, Halogen bonding and other σ-hole interactions: a perspective, Phys. Chem. Chem. Phys. 15 (2013) 11178–11189. doi:10.1039/C3CP00054K</w:t>
      </w:r>
    </w:p>
    <w:p>
      <w:pPr>
        <w:pStyle w:val="ListParagraph"/>
        <w:numPr>
          <w:ilvl w:val="0"/>
          <w:numId w:val="2"/>
        </w:numPr>
        <w:spacing w:after="80" w:line="276" w:lineRule="auto"/>
      </w:pPr>
      <w:r>
        <w:rPr>
          <w:sz w:val="21"/>
          <w:szCs w:val="21"/>
        </w:rPr>
        <w:t xml:space="preserve">G. Cavallo, P. Metrangolo, R. Milani, T. Pilati, A. Priimagi, G. Resnati, G. Terraneo, The Halogen Bond, Chem. Rev. 116 (2016) 2478–2601. doi:10.1021/acs.chemrev.5b00484</w:t>
      </w:r>
    </w:p>
    <w:p>
      <w:pPr>
        <w:pStyle w:val="Heading2"/>
        <w:spacing w:after="120" w:before="260"/>
      </w:pPr>
      <w:r>
        <w:rPr>
          <w:b/>
          <w:bCs/>
          <w:color w:val="1F3864"/>
          <w:sz w:val="24"/>
          <w:szCs w:val="24"/>
        </w:rPr>
        <w:t xml:space="preserve">σ-hole values used in the literature comparison (§6.4)</w:t>
      </w:r>
    </w:p>
    <w:p>
      <w:pPr>
        <w:pStyle w:val="ListParagraph"/>
        <w:numPr>
          <w:ilvl w:val="0"/>
          <w:numId w:val="2"/>
        </w:numPr>
        <w:spacing w:after="80" w:line="276" w:lineRule="auto"/>
      </w:pPr>
      <w:r>
        <w:rPr>
          <w:sz w:val="21"/>
          <w:szCs w:val="21"/>
        </w:rPr>
        <w:t xml:space="preserve">K. E. Riley, J. S. Murray, J. Fanfrlík, J. Řezáč, R. J. Solá, M. C. Concha, F. M. Ramos, P. Politzer, Halogen bond tunability I: the effects of aromatic fluorine substitution on the strengths of halogen-bonding interactions involving chlorine, bromine and iodine, J. Mol. Model. 17 (2011) 3309–3318. doi:10.1007/s00894-011-1015-6</w:t>
      </w:r>
    </w:p>
    <w:p>
      <w:pPr>
        <w:pStyle w:val="ListParagraph"/>
        <w:numPr>
          <w:ilvl w:val="0"/>
          <w:numId w:val="2"/>
        </w:numPr>
        <w:spacing w:after="80" w:line="276" w:lineRule="auto"/>
      </w:pPr>
      <w:r>
        <w:rPr>
          <w:sz w:val="21"/>
          <w:szCs w:val="21"/>
        </w:rPr>
        <w:t xml:space="preserve">D. P. Devore, T. L. Ellington, K. L. Shuford, Elucidating the role of electron-donating groups in halogen bonding, J. Phys. Chem. A 128 (2024) 1477–1490. doi:10.1021/acs.jpca.3c06894</w:t>
      </w:r>
    </w:p>
    <w:p>
      <w:pPr>
        <w:pStyle w:val="ListParagraph"/>
        <w:numPr>
          <w:ilvl w:val="0"/>
          <w:numId w:val="2"/>
        </w:numPr>
        <w:spacing w:after="80" w:line="276" w:lineRule="auto"/>
      </w:pPr>
      <w:r>
        <w:rPr>
          <w:sz w:val="21"/>
          <w:szCs w:val="21"/>
        </w:rPr>
        <w:t xml:space="preserve">J. Heidrich, L. E. Sperl, F. M. Boeckler, Embracing the diversity of halogen bonding motifs in fragment-based drug discovery — construction of a diversity-optimized halogen-enriched fragment library, Front. Chem. 7 (2019) 9. doi:10.3389/fchem.2019.00009</w:t>
      </w:r>
    </w:p>
    <w:p>
      <w:pPr>
        <w:pStyle w:val="ListParagraph"/>
        <w:numPr>
          <w:ilvl w:val="0"/>
          <w:numId w:val="2"/>
        </w:numPr>
        <w:spacing w:after="80" w:line="276" w:lineRule="auto"/>
      </w:pPr>
      <w:r>
        <w:rPr>
          <w:sz w:val="21"/>
          <w:szCs w:val="21"/>
        </w:rPr>
        <w:t xml:space="preserve">M. A. A. Ibrahim et al., Type I–IV halogen···halogen interactions: a comparative theoretical study in halobenzene···halobenzene homodimers, Int. J. Mol. Sci. 23 (2022) 3114. doi:10.3390/ijms23063114  [the ρ = 0.002 a.u. values]</w:t>
      </w:r>
    </w:p>
    <w:p>
      <w:pPr>
        <w:pStyle w:val="ListParagraph"/>
        <w:numPr>
          <w:ilvl w:val="0"/>
          <w:numId w:val="2"/>
        </w:numPr>
        <w:spacing w:after="80" w:line="276" w:lineRule="auto"/>
      </w:pPr>
      <w:r>
        <w:rPr>
          <w:sz w:val="21"/>
          <w:szCs w:val="21"/>
        </w:rPr>
        <w:t xml:space="preserve">P. R. Varadwaj, A. Varadwaj, H. M. Marques, K. Yamashita, Can combined electrostatic and polarization effects alone explain the F···F negative–negative bonding in simple fluoro-substituted benzene derivatives?, Computation 6 (2018) 51. doi:10.3390/computation6040051  [fluorobenzene]</w:t>
      </w:r>
    </w:p>
    <w:p>
      <w:pPr>
        <w:pStyle w:val="ListParagraph"/>
        <w:numPr>
          <w:ilvl w:val="0"/>
          <w:numId w:val="2"/>
        </w:numPr>
        <w:spacing w:after="80" w:line="276" w:lineRule="auto"/>
      </w:pPr>
      <w:r>
        <w:rPr>
          <w:sz w:val="21"/>
          <w:szCs w:val="21"/>
        </w:rPr>
        <w:t xml:space="preserve">M. H. Kolář, P. Carloni, P. Hobza, Statistical analysis of σ-holes: a novel complementary view on halogen bonding, Phys. Chem. Chem. Phys. 16 (2014) 19111. doi:10.1039/C4CP02621G</w:t>
      </w:r>
    </w:p>
    <w:p>
      <w:pPr>
        <w:pStyle w:val="Heading2"/>
        <w:spacing w:after="120" w:before="260"/>
      </w:pPr>
      <w:r>
        <w:rPr>
          <w:b/>
          <w:bCs/>
          <w:color w:val="1F3864"/>
          <w:sz w:val="24"/>
          <w:szCs w:val="24"/>
        </w:rPr>
        <w:t xml:space="preserve">Software</w:t>
      </w:r>
    </w:p>
    <w:p>
      <w:pPr>
        <w:pStyle w:val="ListParagraph"/>
        <w:numPr>
          <w:ilvl w:val="0"/>
          <w:numId w:val="2"/>
        </w:numPr>
        <w:spacing w:after="80" w:line="276" w:lineRule="auto"/>
      </w:pPr>
      <w:r>
        <w:rPr>
          <w:sz w:val="21"/>
          <w:szCs w:val="21"/>
        </w:rPr>
        <w:t xml:space="preserve">The PyMOL Molecular Graphics System, Schrödinger, LLC. Open-source build: github.com/schrodinger/pymol-open-source</w:t>
      </w:r>
    </w:p>
    <w:p>
      <w:pPr>
        <w:pStyle w:val="ListParagraph"/>
        <w:numPr>
          <w:ilvl w:val="0"/>
          <w:numId w:val="2"/>
        </w:numPr>
        <w:spacing w:after="80" w:line="276" w:lineRule="auto"/>
      </w:pPr>
      <w:r>
        <w:rPr>
          <w:sz w:val="21"/>
          <w:szCs w:val="21"/>
        </w:rPr>
        <w:t xml:space="preserve">W. Humphrey, A. Dalke, K. Schulten, VMD — Visual Molecular Dynamics, J. Mol. Graph. 14 (1996) 33–38. doi:10.1016/0263-7855(96)00018-5</w:t>
      </w:r>
    </w:p>
    <w:p>
      <w:pPr>
        <w:pStyle w:val="ListParagraph"/>
        <w:numPr>
          <w:ilvl w:val="0"/>
          <w:numId w:val="2"/>
        </w:numPr>
        <w:spacing w:after="80" w:line="276" w:lineRule="auto"/>
      </w:pPr>
      <w:r>
        <w:rPr>
          <w:sz w:val="21"/>
          <w:szCs w:val="21"/>
        </w:rPr>
        <w:t xml:space="preserve">E. C. Meng et al., UCSF ChimeraX: tools for structure building and analysis, Protein Sci. 32 (2023) e4792. doi:10.1002/pro.4792</w:t>
      </w:r>
    </w:p>
    <w:p>
      <w:pPr>
        <w:pStyle w:val="ListParagraph"/>
        <w:numPr>
          <w:ilvl w:val="0"/>
          <w:numId w:val="2"/>
        </w:numPr>
        <w:spacing w:after="80" w:line="276" w:lineRule="auto"/>
      </w:pPr>
      <w:r>
        <w:rPr>
          <w:sz w:val="21"/>
          <w:szCs w:val="21"/>
        </w:rPr>
        <w:t xml:space="preserve">M. D. Hanwell et al., Avogadro: an advanced semantic chemical editor, visualization and analysis platform, J. Cheminform. 4 (2012) 17. doi:10.1186/1758-2946-4-17</w:t>
      </w:r>
    </w:p>
    <w:p>
      <w:pPr>
        <w:pStyle w:val="ListParagraph"/>
        <w:numPr>
          <w:ilvl w:val="0"/>
          <w:numId w:val="2"/>
        </w:numPr>
        <w:spacing w:after="80" w:line="276" w:lineRule="auto"/>
      </w:pPr>
      <w:r>
        <w:rPr>
          <w:sz w:val="21"/>
          <w:szCs w:val="21"/>
        </w:rPr>
        <w:t xml:space="preserve">GaussView 6, Gaussian Inc. gaussian.com/gaussview6</w:t>
      </w:r>
    </w:p>
    <w:p>
      <w:pPr>
        <w:pStyle w:val="ListParagraph"/>
        <w:numPr>
          <w:ilvl w:val="0"/>
          <w:numId w:val="2"/>
        </w:numPr>
        <w:spacing w:after="80" w:line="276" w:lineRule="auto"/>
      </w:pPr>
      <w:r>
        <w:rPr>
          <w:sz w:val="21"/>
          <w:szCs w:val="21"/>
        </w:rPr>
        <w:t xml:space="preserve">T. Lu, F. Chen, Multiwfn: a multifunctional wavefunction analyzer, J. Comput. Chem. 33 (2012) 580–592. doi:10.1002/jcc.22885</w:t>
      </w:r>
    </w:p>
    <w:p>
      <w:pPr>
        <w:pStyle w:val="ListParagraph"/>
        <w:numPr>
          <w:ilvl w:val="0"/>
          <w:numId w:val="2"/>
        </w:numPr>
        <w:spacing w:after="80" w:line="276" w:lineRule="auto"/>
      </w:pPr>
      <w:r>
        <w:rPr>
          <w:sz w:val="21"/>
          <w:szCs w:val="21"/>
        </w:rPr>
        <w:t xml:space="preserve">J. Stone, An efficient library for parallel ray tracing and animation, M.Sc. thesis, University of Missouri–Rolla, 1998.  [Tachyon]</w:t>
      </w:r>
    </w:p>
    <w:p>
      <w:pPr>
        <w:pStyle w:val="Heading2"/>
        <w:spacing w:after="120" w:before="260"/>
      </w:pPr>
      <w:r>
        <w:rPr>
          <w:b/>
          <w:bCs/>
          <w:color w:val="1F3864"/>
          <w:sz w:val="24"/>
          <w:szCs w:val="24"/>
        </w:rPr>
        <w:t xml:space="preserve">Documentation consulted (August 2026)</w:t>
      </w:r>
    </w:p>
    <w:p>
      <w:pPr>
        <w:pStyle w:val="ListParagraph"/>
        <w:numPr>
          <w:ilvl w:val="0"/>
          <w:numId w:val="2"/>
        </w:numPr>
        <w:spacing w:after="80" w:line="276" w:lineRule="auto"/>
      </w:pPr>
      <w:r>
        <w:rPr>
          <w:sz w:val="21"/>
          <w:szCs w:val="21"/>
        </w:rPr>
        <w:t xml:space="preserve">PyMOL ramp_new and command-line options — pymolwiki.org</w:t>
      </w:r>
    </w:p>
    <w:p>
      <w:pPr>
        <w:pStyle w:val="ListParagraph"/>
        <w:numPr>
          <w:ilvl w:val="0"/>
          <w:numId w:val="2"/>
        </w:numPr>
        <w:spacing w:after="80" w:line="276" w:lineRule="auto"/>
      </w:pPr>
      <w:r>
        <w:rPr>
          <w:sz w:val="21"/>
          <w:szCs w:val="21"/>
        </w:rPr>
        <w:t xml:space="preserve">VMD user guide, coloring methods and cube plugin — ks.uiuc.edu/Research/vmd</w:t>
      </w:r>
    </w:p>
    <w:p>
      <w:pPr>
        <w:pStyle w:val="ListParagraph"/>
        <w:numPr>
          <w:ilvl w:val="0"/>
          <w:numId w:val="2"/>
        </w:numPr>
        <w:spacing w:after="80" w:line="276" w:lineRule="auto"/>
      </w:pPr>
      <w:r>
        <w:rPr>
          <w:sz w:val="21"/>
          <w:szCs w:val="21"/>
        </w:rPr>
        <w:t xml:space="preserve">VMD licence — ks.uiuc.edu/Research/vmd/current/LICENSE.html</w:t>
      </w:r>
    </w:p>
    <w:p>
      <w:pPr>
        <w:pStyle w:val="ListParagraph"/>
        <w:numPr>
          <w:ilvl w:val="0"/>
          <w:numId w:val="2"/>
        </w:numPr>
        <w:spacing w:after="80" w:line="276" w:lineRule="auto"/>
      </w:pPr>
      <w:r>
        <w:rPr>
          <w:sz w:val="21"/>
          <w:szCs w:val="21"/>
        </w:rPr>
        <w:t xml:space="preserve">ChimeraX color and volume commands, startup options — cgl.ucsf.edu/chimerax/docs</w:t>
      </w:r>
    </w:p>
    <w:p>
      <w:pPr>
        <w:pStyle w:val="ListParagraph"/>
        <w:numPr>
          <w:ilvl w:val="0"/>
          <w:numId w:val="2"/>
        </w:numPr>
        <w:spacing w:after="80" w:line="276" w:lineRule="auto"/>
      </w:pPr>
      <w:r>
        <w:rPr>
          <w:sz w:val="21"/>
          <w:szCs w:val="21"/>
        </w:rPr>
        <w:t xml:space="preserve">Avogadro 2 documentation, Analyze menu and surfaces — avogadro.cc/docs</w:t>
      </w:r>
    </w:p>
    <w:p>
      <w:pPr>
        <w:pStyle w:val="ListParagraph"/>
        <w:numPr>
          <w:ilvl w:val="0"/>
          <w:numId w:val="2"/>
        </w:numPr>
        <w:spacing w:after="80" w:line="276" w:lineRule="auto"/>
      </w:pPr>
      <w:r>
        <w:rPr>
          <w:sz w:val="21"/>
          <w:szCs w:val="21"/>
        </w:rPr>
        <w:t xml:space="preserve">GaussView 6 features and academic price list — gaussian.com</w:t>
      </w:r>
    </w:p>
    <w:p>
      <w:pPr>
        <w:pStyle w:val="Heading2"/>
        <w:spacing w:after="120" w:before="260"/>
      </w:pPr>
      <w:r>
        <w:rPr>
          <w:b/>
          <w:bCs/>
          <w:color w:val="1F3864"/>
          <w:sz w:val="24"/>
          <w:szCs w:val="24"/>
        </w:rPr>
        <w:t xml:space="preserve">Workflow documentation</w:t>
      </w:r>
    </w:p>
    <w:p>
      <w:pPr>
        <w:pStyle w:val="ListParagraph"/>
        <w:numPr>
          <w:ilvl w:val="0"/>
          <w:numId w:val="2"/>
        </w:numPr>
        <w:spacing w:after="80" w:line="276" w:lineRule="auto"/>
      </w:pPr>
      <w:r>
        <w:rPr>
          <w:sz w:val="21"/>
          <w:szCs w:val="21"/>
        </w:rPr>
        <w:t xml:space="preserve">README.md in each repository — installation, execution, complete parameter reference, worked examples, troubleshooting. These are the standard operating procedures and are the authoritative reference for running the pipelines.</w:t>
      </w:r>
    </w:p>
    <w:p>
      <w:pPr>
        <w:pStyle w:val="ListParagraph"/>
        <w:numPr>
          <w:ilvl w:val="0"/>
          <w:numId w:val="2"/>
        </w:numPr>
        <w:spacing w:after="80" w:line="276" w:lineRule="auto"/>
      </w:pPr>
      <w:r>
        <w:rPr>
          <w:sz w:val="21"/>
          <w:szCs w:val="21"/>
        </w:rPr>
        <w:t xml:space="preserve">tools/README.txt — the test-data generator, its parameters and its limitations.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f1b11cbd8ef598231bf0513bb8c619706092fe.jpg"/><Relationship Id="rId9" Type="http://schemas.openxmlformats.org/officeDocument/2006/relationships/image" Target="media/04c472ed1b05b24ae4d1045cd4895dbbb53e4ee3.jpg"/><Relationship Id="rId10" Type="http://schemas.openxmlformats.org/officeDocument/2006/relationships/image" Target="media/dbbad98ecf54b110b8a09be626bc1e3fa9bf47b6.jpg"/><Relationship Id="rId11" Type="http://schemas.openxmlformats.org/officeDocument/2006/relationships/image" Target="media/ed526c5b27e04ba0687514ccdadba4af2a5a383a.jpg"/><Relationship Id="rId12" Type="http://schemas.openxmlformats.org/officeDocument/2006/relationships/image" Target="media/71b44a4bcc13313ab3b73b34741dbfe0cadd4471.jpg"/><Relationship Id="rId13" Type="http://schemas.openxmlformats.org/officeDocument/2006/relationships/image" Target="media/8d5938eac23d2111c8eeccdb67c63b20bb1b2aa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Visualization of Molecular Electrostatic Potentials</dc:title>
  <dc:creator>FL</dc:creator>
  <dc:description>Two reproducible pipelines from Turbomole grid output to publication figures</dc:description>
  <cp:lastModifiedBy>Un-named</cp:lastModifiedBy>
  <cp:revision>1</cp:revision>
  <dcterms:created xsi:type="dcterms:W3CDTF">2026-08-31T10:24:59.770Z</dcterms:created>
  <dcterms:modified xsi:type="dcterms:W3CDTF">2026-08-31T10:24:59.770Z</dcterms:modified>
</cp:coreProperties>
</file>

<file path=docProps/custom.xml><?xml version="1.0" encoding="utf-8"?>
<Properties xmlns="http://schemas.openxmlformats.org/officeDocument/2006/custom-properties" xmlns:vt="http://schemas.openxmlformats.org/officeDocument/2006/docPropsVTypes"/>
</file>