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ESP Visualization — VMD</w:t>
      </w:r>
    </w:p>
    <w:p>
      <w:pPr>
        <w:spacing w:after="40"/>
      </w:pPr>
      <w:r>
        <w:rPr>
          <w:color w:val="444444"/>
          <w:sz w:val="28"/>
          <w:szCs w:val="28"/>
        </w:rPr>
        <w:t xml:space="preserve">Details and background</w:t>
      </w:r>
    </w:p>
    <w:p>
      <w:pPr>
        <w:pBdr>
          <w:bottom w:val="single" w:color="BBBBBB" w:sz="6" w:space="8"/>
        </w:pBdr>
        <w:spacing w:after="320"/>
      </w:pPr>
      <w:r>
        <w:rPr>
          <w:i/>
          <w:iCs/>
          <w:color w:val="666666"/>
          <w:sz w:val="20"/>
          <w:szCs w:val="20"/>
        </w:rPr>
        <w:t xml:space="preserve">Companion to the README of VMD_esp_visualization</w:t>
      </w:r>
    </w:p>
    <w:p>
      <w:pPr>
        <w:spacing w:after="140"/>
      </w:pPr>
      <w:r>
        <w:t xml:space="preserve">The README is the user guide: install, run, read the output. This document holds everything that is background rather than instruction — why this repository exists next to the PyMOL one, what actually changes when the viewer changes, why VMD 1.9.4 and not 2.0.0, and the renderer behaviour that cost time to work out and would otherwise have to be rediscovered.</w:t>
      </w:r>
    </w:p>
    <w:p>
      <w:pPr>
        <w:pStyle w:val="Heading1"/>
        <w:spacing w:after="160" w:before="320"/>
      </w:pPr>
      <w:r>
        <w:t xml:space="preserve">1. Why a second pipeline</w:t>
      </w:r>
    </w:p>
    <w:p>
      <w:pPr>
        <w:spacing w:after="140"/>
      </w:pPr>
      <w:r>
        <w:t xml:space="preserve">The PyMOL workflow is finished and does what it was built for: it turns Turbomole pointval output into a reproducible, publication-quality picture of the ESP on the ρ = 0.001 a.u. density isosurface, and it reports the numbers that belong to that picture. There are two reasons to do the picture again in VMD.</w:t>
      </w:r>
    </w:p>
    <w:p>
      <w:pPr>
        <w:spacing w:after="140"/>
      </w:pPr>
      <w:r>
        <w:rPr>
          <w:b/>
          <w:bCs/>
        </w:rPr>
        <w:t xml:space="preserve">The practical one. </w:t>
      </w:r>
      <w:r>
        <w:t xml:space="preserve">The large majority of published ESP figures in this field are made with VMD. A workflow is only adopted if it speaks the tool its intended users already have open, and a figure is only comparable to the literature if it can be produced the way the literature produced it. A pipeline that exists only for PyMOL asks every reader to switch software before they can use it.</w:t>
      </w:r>
    </w:p>
    <w:p>
      <w:pPr>
        <w:spacing w:after="140"/>
      </w:pPr>
      <w:r>
        <w:rPr>
          <w:b/>
          <w:bCs/>
        </w:rPr>
        <w:t xml:space="preserve">The methodological one. </w:t>
      </w:r>
      <w:r>
        <w:t xml:space="preserve">Two independent viewers reading the same cube files are a control on each other. Isosurface extraction, interpolation of the potential onto that surface, and the mapping of values to colour are all implementation details, and every one of them can change what a figure shows. If the same data at the same isovalue on the same colour scale produces the same picture in both, that agreement is evidence that the figure shows a property of the quantum-chemical data rather than an artefact of one renderer. If the two disagree, the disagreement is itself worth reporting — and a single-viewer study would never have surfaced it.</w:t>
      </w:r>
    </w:p>
    <w:p>
      <w:pPr>
        <w:spacing w:after="140"/>
      </w:pPr>
      <w:r>
        <w:t xml:space="preserve">That makes this repository more than a port. The comparison is part of the result.</w:t>
      </w:r>
    </w:p>
    <w:p>
      <w:pPr>
        <w:pStyle w:val="Heading1"/>
        <w:spacing w:after="160" w:before="320"/>
      </w:pPr>
      <w:r>
        <w:t xml:space="preserve">2. What changes when the viewer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DEDED" w:val="clear"/>
            <w:tcMar>
              <w:top w:type="dxa" w:w="60"/>
              <w:left w:type="dxa" w:w="90"/>
              <w:bottom w:type="dxa" w:w="60"/>
              <w:right w:type="dxa" w:w="90"/>
            </w:tcMar>
          </w:tcPr>
          <w:p>
            <w:pPr>
              <w:spacing w:after="0"/>
            </w:pPr>
            <w:r>
              <w:rPr>
                <w:b/>
                <w:bCs/>
                <w:sz w:val="19"/>
                <w:szCs w:val="19"/>
              </w:rPr>
              <w:t xml:space="preserve"/>
            </w:r>
          </w:p>
        </w:tc>
        <w:tc>
          <w:tcPr>
            <w:tcW w:type="dxa" w:w="3380"/>
            <w:shd w:fill="EDEDED" w:val="clear"/>
            <w:tcMar>
              <w:top w:type="dxa" w:w="60"/>
              <w:left w:type="dxa" w:w="90"/>
              <w:bottom w:type="dxa" w:w="60"/>
              <w:right w:type="dxa" w:w="90"/>
            </w:tcMar>
          </w:tcPr>
          <w:p>
            <w:pPr>
              <w:spacing w:after="0"/>
            </w:pPr>
            <w:r>
              <w:rPr>
                <w:b/>
                <w:bCs/>
                <w:sz w:val="19"/>
                <w:szCs w:val="19"/>
              </w:rPr>
              <w:t xml:space="preserve">PyMOL</w:t>
            </w:r>
          </w:p>
        </w:tc>
        <w:tc>
          <w:tcPr>
            <w:tcW w:type="dxa" w:w="3380"/>
            <w:shd w:fill="EDEDED" w:val="clear"/>
            <w:tcMar>
              <w:top w:type="dxa" w:w="60"/>
              <w:left w:type="dxa" w:w="90"/>
              <w:bottom w:type="dxa" w:w="60"/>
              <w:right w:type="dxa" w:w="90"/>
            </w:tcMar>
          </w:tcPr>
          <w:p>
            <w:pPr>
              <w:spacing w:after="0"/>
            </w:pPr>
            <w:r>
              <w:rPr>
                <w:b/>
                <w:bCs/>
                <w:sz w:val="19"/>
                <w:szCs w:val="19"/>
              </w:rPr>
              <w:t xml:space="preserve">VMD</w:t>
            </w:r>
          </w:p>
        </w:tc>
      </w:tr>
      <w:tr>
        <w:tc>
          <w:tcPr>
            <w:tcW w:type="dxa" w:w="2600"/>
            <w:tcMar>
              <w:top w:type="dxa" w:w="60"/>
              <w:left w:type="dxa" w:w="90"/>
              <w:bottom w:type="dxa" w:w="60"/>
              <w:right w:type="dxa" w:w="90"/>
            </w:tcMar>
          </w:tcPr>
          <w:p>
            <w:pPr>
              <w:spacing w:after="0"/>
            </w:pPr>
            <w:r>
              <w:rPr>
                <w:b w:val="false"/>
                <w:bCs w:val="false"/>
                <w:sz w:val="19"/>
                <w:szCs w:val="19"/>
              </w:rPr>
              <w:t xml:space="preserve">Scene language</w:t>
            </w:r>
          </w:p>
        </w:tc>
        <w:tc>
          <w:tcPr>
            <w:tcW w:type="dxa" w:w="3380"/>
            <w:tcMar>
              <w:top w:type="dxa" w:w="60"/>
              <w:left w:type="dxa" w:w="90"/>
              <w:bottom w:type="dxa" w:w="60"/>
              <w:right w:type="dxa" w:w="90"/>
            </w:tcMar>
          </w:tcPr>
          <w:p>
            <w:pPr>
              <w:spacing w:after="0"/>
            </w:pPr>
            <w:r>
              <w:rPr>
                <w:b w:val="false"/>
                <w:bCs w:val="false"/>
                <w:sz w:val="19"/>
                <w:szCs w:val="19"/>
              </w:rPr>
              <w:t xml:space="preserve">Python / .pml</w:t>
            </w:r>
          </w:p>
        </w:tc>
        <w:tc>
          <w:tcPr>
            <w:tcW w:type="dxa" w:w="3380"/>
            <w:tcMar>
              <w:top w:type="dxa" w:w="60"/>
              <w:left w:type="dxa" w:w="90"/>
              <w:bottom w:type="dxa" w:w="60"/>
              <w:right w:type="dxa" w:w="90"/>
            </w:tcMar>
          </w:tcPr>
          <w:p>
            <w:pPr>
              <w:spacing w:after="0"/>
            </w:pPr>
            <w:r>
              <w:rPr>
                <w:b w:val="false"/>
                <w:bCs w:val="false"/>
                <w:sz w:val="19"/>
                <w:szCs w:val="19"/>
              </w:rPr>
              <w:t xml:space="preserve">Tcl / .tcl</w:t>
            </w:r>
          </w:p>
        </w:tc>
      </w:tr>
      <w:tr>
        <w:tc>
          <w:tcPr>
            <w:tcW w:type="dxa" w:w="2600"/>
            <w:tcMar>
              <w:top w:type="dxa" w:w="60"/>
              <w:left w:type="dxa" w:w="90"/>
              <w:bottom w:type="dxa" w:w="60"/>
              <w:right w:type="dxa" w:w="90"/>
            </w:tcMar>
          </w:tcPr>
          <w:p>
            <w:pPr>
              <w:spacing w:after="0"/>
            </w:pPr>
            <w:r>
              <w:rPr>
                <w:b w:val="false"/>
                <w:bCs w:val="false"/>
                <w:sz w:val="19"/>
                <w:szCs w:val="19"/>
              </w:rPr>
              <w:t xml:space="preserve">ESP on surface</w:t>
            </w:r>
          </w:p>
        </w:tc>
        <w:tc>
          <w:tcPr>
            <w:tcW w:type="dxa" w:w="3380"/>
            <w:tcMar>
              <w:top w:type="dxa" w:w="60"/>
              <w:left w:type="dxa" w:w="90"/>
              <w:bottom w:type="dxa" w:w="60"/>
              <w:right w:type="dxa" w:w="90"/>
            </w:tcMar>
          </w:tcPr>
          <w:p>
            <w:pPr>
              <w:spacing w:after="0"/>
            </w:pPr>
            <w:r>
              <w:rPr>
                <w:b w:val="false"/>
                <w:bCs w:val="false"/>
                <w:sz w:val="19"/>
                <w:szCs w:val="19"/>
              </w:rPr>
              <w:t xml:space="preserve">ramp_new + set surface_color</w:t>
            </w:r>
          </w:p>
        </w:tc>
        <w:tc>
          <w:tcPr>
            <w:tcW w:type="dxa" w:w="3380"/>
            <w:tcMar>
              <w:top w:type="dxa" w:w="60"/>
              <w:left w:type="dxa" w:w="90"/>
              <w:bottom w:type="dxa" w:w="60"/>
              <w:right w:type="dxa" w:w="90"/>
            </w:tcMar>
          </w:tcPr>
          <w:p>
            <w:pPr>
              <w:spacing w:after="0"/>
            </w:pPr>
            <w:r>
              <w:rPr>
                <w:b w:val="false"/>
                <w:bCs w:val="false"/>
                <w:sz w:val="19"/>
                <w:szCs w:val="19"/>
              </w:rPr>
              <w:t xml:space="preserve">second volumetric dataset via mol addfile; Isosurface rep coloured by Volume</w:t>
            </w:r>
          </w:p>
        </w:tc>
      </w:tr>
      <w:tr>
        <w:tc>
          <w:tcPr>
            <w:tcW w:type="dxa" w:w="2600"/>
            <w:tcMar>
              <w:top w:type="dxa" w:w="60"/>
              <w:left w:type="dxa" w:w="90"/>
              <w:bottom w:type="dxa" w:w="60"/>
              <w:right w:type="dxa" w:w="90"/>
            </w:tcMar>
          </w:tcPr>
          <w:p>
            <w:pPr>
              <w:spacing w:after="0"/>
            </w:pPr>
            <w:r>
              <w:rPr>
                <w:b w:val="false"/>
                <w:bCs w:val="false"/>
                <w:sz w:val="19"/>
                <w:szCs w:val="19"/>
              </w:rPr>
              <w:t xml:space="preserve">Colour scale</w:t>
            </w:r>
          </w:p>
        </w:tc>
        <w:tc>
          <w:tcPr>
            <w:tcW w:type="dxa" w:w="3380"/>
            <w:tcMar>
              <w:top w:type="dxa" w:w="60"/>
              <w:left w:type="dxa" w:w="90"/>
              <w:bottom w:type="dxa" w:w="60"/>
              <w:right w:type="dxa" w:w="90"/>
            </w:tcMar>
          </w:tcPr>
          <w:p>
            <w:pPr>
              <w:spacing w:after="0"/>
            </w:pPr>
            <w:r>
              <w:rPr>
                <w:b w:val="false"/>
                <w:bCs w:val="false"/>
                <w:sz w:val="19"/>
                <w:szCs w:val="19"/>
              </w:rPr>
              <w:t xml:space="preserve">ramp with explicit min/max</w:t>
            </w:r>
          </w:p>
        </w:tc>
        <w:tc>
          <w:tcPr>
            <w:tcW w:type="dxa" w:w="3380"/>
            <w:tcMar>
              <w:top w:type="dxa" w:w="60"/>
              <w:left w:type="dxa" w:w="90"/>
              <w:bottom w:type="dxa" w:w="60"/>
              <w:right w:type="dxa" w:w="90"/>
            </w:tcMar>
          </w:tcPr>
          <w:p>
            <w:pPr>
              <w:spacing w:after="0"/>
            </w:pPr>
            <w:r>
              <w:rPr>
                <w:b w:val="false"/>
                <w:bCs w:val="false"/>
                <w:sz w:val="19"/>
                <w:szCs w:val="19"/>
              </w:rPr>
              <w:t xml:space="preserve">color scale method RWB + mol scaleminmax</w:t>
            </w:r>
          </w:p>
        </w:tc>
      </w:tr>
      <w:tr>
        <w:tc>
          <w:tcPr>
            <w:tcW w:type="dxa" w:w="2600"/>
            <w:tcMar>
              <w:top w:type="dxa" w:w="60"/>
              <w:left w:type="dxa" w:w="90"/>
              <w:bottom w:type="dxa" w:w="60"/>
              <w:right w:type="dxa" w:w="90"/>
            </w:tcMar>
          </w:tcPr>
          <w:p>
            <w:pPr>
              <w:spacing w:after="0"/>
            </w:pPr>
            <w:r>
              <w:rPr>
                <w:b w:val="false"/>
                <w:bCs w:val="false"/>
                <w:sz w:val="19"/>
                <w:szCs w:val="19"/>
              </w:rPr>
              <w:t xml:space="preserve">Structure file</w:t>
            </w:r>
          </w:p>
        </w:tc>
        <w:tc>
          <w:tcPr>
            <w:tcW w:type="dxa" w:w="3380"/>
            <w:tcMar>
              <w:top w:type="dxa" w:w="60"/>
              <w:left w:type="dxa" w:w="90"/>
              <w:bottom w:type="dxa" w:w="60"/>
              <w:right w:type="dxa" w:w="90"/>
            </w:tcMar>
          </w:tcPr>
          <w:p>
            <w:pPr>
              <w:spacing w:after="0"/>
            </w:pPr>
            <w:r>
              <w:rPr>
                <w:b w:val="false"/>
                <w:bCs w:val="false"/>
                <w:sz w:val="19"/>
                <w:szCs w:val="19"/>
              </w:rPr>
              <w:t xml:space="preserve">loaded separately</w:t>
            </w:r>
          </w:p>
        </w:tc>
        <w:tc>
          <w:tcPr>
            <w:tcW w:type="dxa" w:w="3380"/>
            <w:tcMar>
              <w:top w:type="dxa" w:w="60"/>
              <w:left w:type="dxa" w:w="90"/>
              <w:bottom w:type="dxa" w:w="60"/>
              <w:right w:type="dxa" w:w="90"/>
            </w:tcMar>
          </w:tcPr>
          <w:p>
            <w:pPr>
              <w:spacing w:after="0"/>
            </w:pPr>
            <w:r>
              <w:rPr>
                <w:b w:val="false"/>
                <w:bCs w:val="false"/>
                <w:sz w:val="19"/>
                <w:szCs w:val="19"/>
              </w:rPr>
              <w:t xml:space="preserve">not needed — the cube carries the atoms</w:t>
            </w:r>
          </w:p>
        </w:tc>
      </w:tr>
      <w:tr>
        <w:tc>
          <w:tcPr>
            <w:tcW w:type="dxa" w:w="2600"/>
            <w:tcMar>
              <w:top w:type="dxa" w:w="60"/>
              <w:left w:type="dxa" w:w="90"/>
              <w:bottom w:type="dxa" w:w="60"/>
              <w:right w:type="dxa" w:w="90"/>
            </w:tcMar>
          </w:tcPr>
          <w:p>
            <w:pPr>
              <w:spacing w:after="0"/>
            </w:pPr>
            <w:r>
              <w:rPr>
                <w:b w:val="false"/>
                <w:bCs w:val="false"/>
                <w:sz w:val="19"/>
                <w:szCs w:val="19"/>
              </w:rPr>
              <w:t xml:space="preserve">Batch mode</w:t>
            </w:r>
          </w:p>
        </w:tc>
        <w:tc>
          <w:tcPr>
            <w:tcW w:type="dxa" w:w="3380"/>
            <w:tcMar>
              <w:top w:type="dxa" w:w="60"/>
              <w:left w:type="dxa" w:w="90"/>
              <w:bottom w:type="dxa" w:w="60"/>
              <w:right w:type="dxa" w:w="90"/>
            </w:tcMar>
          </w:tcPr>
          <w:p>
            <w:pPr>
              <w:spacing w:after="0"/>
            </w:pPr>
            <w:r>
              <w:rPr>
                <w:b w:val="false"/>
                <w:bCs w:val="false"/>
                <w:sz w:val="19"/>
                <w:szCs w:val="19"/>
              </w:rPr>
              <w:t xml:space="preserve">pymol -cq script.py --</w:t>
            </w:r>
          </w:p>
        </w:tc>
        <w:tc>
          <w:tcPr>
            <w:tcW w:type="dxa" w:w="3380"/>
            <w:tcMar>
              <w:top w:type="dxa" w:w="60"/>
              <w:left w:type="dxa" w:w="90"/>
              <w:bottom w:type="dxa" w:w="60"/>
              <w:right w:type="dxa" w:w="90"/>
            </w:tcMar>
          </w:tcPr>
          <w:p>
            <w:pPr>
              <w:spacing w:after="0"/>
            </w:pPr>
            <w:r>
              <w:rPr>
                <w:b w:val="false"/>
                <w:bCs w:val="false"/>
                <w:sz w:val="19"/>
                <w:szCs w:val="19"/>
              </w:rPr>
              <w:t xml:space="preserve">vmd -dispdev text -e script.tcl</w:t>
            </w:r>
          </w:p>
        </w:tc>
      </w:tr>
      <w:tr>
        <w:tc>
          <w:tcPr>
            <w:tcW w:type="dxa" w:w="2600"/>
            <w:tcMar>
              <w:top w:type="dxa" w:w="60"/>
              <w:left w:type="dxa" w:w="90"/>
              <w:bottom w:type="dxa" w:w="60"/>
              <w:right w:type="dxa" w:w="90"/>
            </w:tcMar>
          </w:tcPr>
          <w:p>
            <w:pPr>
              <w:spacing w:after="0"/>
            </w:pPr>
            <w:r>
              <w:rPr>
                <w:b w:val="false"/>
                <w:bCs w:val="false"/>
                <w:sz w:val="19"/>
                <w:szCs w:val="19"/>
              </w:rPr>
              <w:t xml:space="preserve">Renderer</w:t>
            </w:r>
          </w:p>
        </w:tc>
        <w:tc>
          <w:tcPr>
            <w:tcW w:type="dxa" w:w="3380"/>
            <w:tcMar>
              <w:top w:type="dxa" w:w="60"/>
              <w:left w:type="dxa" w:w="90"/>
              <w:bottom w:type="dxa" w:w="60"/>
              <w:right w:type="dxa" w:w="90"/>
            </w:tcMar>
          </w:tcPr>
          <w:p>
            <w:pPr>
              <w:spacing w:after="0"/>
            </w:pPr>
            <w:r>
              <w:rPr>
                <w:b w:val="false"/>
                <w:bCs w:val="false"/>
                <w:sz w:val="19"/>
                <w:szCs w:val="19"/>
              </w:rPr>
              <w:t xml:space="preserve">built-in ray tracer</w:t>
            </w:r>
          </w:p>
        </w:tc>
        <w:tc>
          <w:tcPr>
            <w:tcW w:type="dxa" w:w="3380"/>
            <w:tcMar>
              <w:top w:type="dxa" w:w="60"/>
              <w:left w:type="dxa" w:w="90"/>
              <w:bottom w:type="dxa" w:w="60"/>
              <w:right w:type="dxa" w:w="90"/>
            </w:tcMar>
          </w:tcPr>
          <w:p>
            <w:pPr>
              <w:spacing w:after="0"/>
            </w:pPr>
            <w:r>
              <w:rPr>
                <w:b w:val="false"/>
                <w:bCs w:val="false"/>
                <w:sz w:val="19"/>
                <w:szCs w:val="19"/>
              </w:rPr>
              <w:t xml:space="preserve">Tachyon / TachyonLOptiXInternal</w:t>
            </w:r>
          </w:p>
        </w:tc>
      </w:tr>
    </w:tbl>
    <w:p>
      <w:pPr>
        <w:spacing w:after="160"/>
      </w:pPr>
    </w:p>
    <w:p>
      <w:pPr>
        <w:spacing w:after="140"/>
      </w:pPr>
      <w:r>
        <w:t xml:space="preserve">The essential mechanic is the second row: </w:t>
      </w:r>
      <w:r>
        <w:rPr>
          <w:b/>
          <w:bCs/>
        </w:rPr>
        <w:t xml:space="preserve">VMD has no ramp object.</w:t>
      </w:r>
      <w:r>
        <w:t xml:space="preserve"> Both grids are loaded into the same molecule ID — the density first, the potential as an additional volumetric dataset — and the isosurface drawn from volume 0 is then coloured by the values of volume 1. Everything else follows from that.</w:t>
      </w:r>
    </w:p>
    <w:p>
      <w:pPr>
        <w:spacing w:after="140"/>
      </w:pPr>
      <w:r>
        <w:t xml:space="preserve">The fourth row is a quiet win. In PyMOL the structure file is a second source of coordinates, and if its units disagree with the grid, the molecule floats next to its own surface. A cube file carries its atom block in Bohr alongside the grid, so in VMD there is only one source and nothing to misalign.</w:t>
      </w:r>
    </w:p>
    <w:p>
      <w:pPr>
        <w:pStyle w:val="Heading1"/>
        <w:spacing w:after="160" w:before="320"/>
      </w:pPr>
      <w:r>
        <w:t xml:space="preserve">3. Scope: what is deliberately missing</w:t>
      </w:r>
    </w:p>
    <w:p>
      <w:pPr>
        <w:spacing w:after="140"/>
      </w:pPr>
      <w:r>
        <w:t xml:space="preserve">The line runs between what the picture needs and what the study reports.</w:t>
      </w:r>
    </w:p>
    <w:p>
      <w:pPr>
        <w:spacing w:after="140"/>
      </w:pPr>
      <w:r>
        <w:rPr>
          <w:b/>
          <w:bCs/>
        </w:rPr>
        <w:t xml:space="preserve">Computed here: </w:t>
      </w:r>
      <w:r>
        <w:t xml:space="preserve">V_S,min and V_S,max on the ρ = 0.001 a.u. shell, and the symmetric colour range rounded up from them. Without those there is no colour scale, and a picture with an arbitrary scale is not a result.</w:t>
      </w:r>
    </w:p>
    <w:p>
      <w:pPr>
        <w:spacing w:after="140"/>
      </w:pPr>
      <w:r>
        <w:t xml:space="preserve">The values come from grid points near the shell, not from an interpolated surface, and no σ-hole is located. That is the deliberate cut: locating the σ-hole maximum needs trilinear interpolation onto the isosurface, and that code is already written, parameter-studied and documented in the PyMOL project. A second implementation here would be a duplicate nobody notices drifting until two chapters of the same thesis quote different numbers for the same molecule. Quote the PyMOL numbers; the ones here size a colour bar.</w:t>
      </w:r>
    </w:p>
    <w:p>
      <w:pPr>
        <w:spacing w:after="140"/>
      </w:pPr>
      <w:r>
        <w:t xml:space="preserve">The two agree where they overlap. On the shared bromobenzene reference dataset both pipelines find 313 shell points, V_S,min = −0.01863 a.u. and V_S,max = +0.03070 a.u., giving a colour range of ±0.0350 a.u. — identical to every digit. On the full-resolution grids the halobenzenes agree just as closely (bromobenzene −0.01882 / +0.03154 in both).</w:t>
      </w:r>
    </w:p>
    <w:p>
      <w:pPr>
        <w:spacing w:after="140"/>
      </w:pPr>
      <w:r>
        <w:t xml:space="preserve">The computed values are stamped into the first line of tp.cube, so --tcl-only recovers them without re-reading a 200 MB grid.</w:t>
      </w:r>
    </w:p>
    <w:p>
      <w:pPr>
        <w:spacing w:after="140"/>
      </w:pPr>
      <w:r>
        <w:t xml:space="preserve">What is carried over unchanged, so the two image sets can be laid side by side:</w:t>
      </w:r>
    </w:p>
    <w:p>
      <w:pPr>
        <w:pStyle w:val="ListParagraph"/>
        <w:numPr>
          <w:ilvl w:val="0"/>
          <w:numId w:val="2"/>
        </w:numPr>
        <w:spacing w:after="80"/>
      </w:pPr>
      <w:r>
        <w:t xml:space="preserve">The surface: ρ = 0.001 a.u. electron-density isosurface (Politzer/Murray).</w:t>
      </w:r>
    </w:p>
    <w:p>
      <w:pPr>
        <w:pStyle w:val="ListParagraph"/>
        <w:numPr>
          <w:ilvl w:val="0"/>
          <w:numId w:val="2"/>
        </w:numPr>
        <w:spacing w:after="80"/>
      </w:pPr>
      <w:r>
        <w:t xml:space="preserve">The colour convention: red negative, blue positive, white at zero.</w:t>
      </w:r>
    </w:p>
    <w:p>
      <w:pPr>
        <w:pStyle w:val="ListParagraph"/>
        <w:numPr>
          <w:ilvl w:val="0"/>
          <w:numId w:val="2"/>
        </w:numPr>
        <w:spacing w:after="80"/>
      </w:pPr>
      <w:r>
        <w:t xml:space="preserve">The three views: π face, in-plane edge, σ-hole along the C–X axis.</w:t>
      </w:r>
    </w:p>
    <w:p>
      <w:pPr>
        <w:pStyle w:val="ListParagraph"/>
        <w:numPr>
          <w:ilvl w:val="0"/>
          <w:numId w:val="2"/>
        </w:numPr>
        <w:spacing w:after="80"/>
      </w:pPr>
      <w:r>
        <w:t xml:space="preserve">The view geometry: ring normal and C–halogen axis, computed the same way in both projects.</w:t>
      </w:r>
    </w:p>
    <w:p>
      <w:pPr>
        <w:pStyle w:val="ListParagraph"/>
        <w:numPr>
          <w:ilvl w:val="0"/>
          <w:numId w:val="2"/>
        </w:numPr>
        <w:spacing w:after="80"/>
      </w:pPr>
      <w:r>
        <w:t xml:space="preserve">reference/ is committed and not edited; sandbox/ is ignored.</w:t>
      </w:r>
    </w:p>
    <w:p>
      <w:pPr>
        <w:pStyle w:val="Heading1"/>
        <w:spacing w:after="160" w:before="320"/>
      </w:pPr>
      <w:r>
        <w:t xml:space="preserve">4. Choice of VMD version</w:t>
      </w:r>
    </w:p>
    <w:p>
      <w:pPr>
        <w:spacing w:after="140"/>
      </w:pPr>
      <w:r>
        <w:t xml:space="preserve">The pipeline targets VMD 1.9.4 (Windows 64-bit, CUDA, OptiX, OSPray build). Two notes on that choice.</w:t>
      </w:r>
    </w:p>
    <w:p>
      <w:pPr>
        <w:spacing w:after="140"/>
      </w:pPr>
      <w:r>
        <w:t xml:space="preserve">The download page labels the Windows build "Windows 10". That is the tested minimum, not an upper limit — it installs and runs on Windows 11 natively.</w:t>
      </w:r>
    </w:p>
    <w:p>
      <w:pPr>
        <w:spacing w:after="140"/>
      </w:pPr>
      <w:r>
        <w:t xml:space="preserve">Version 2.0.0 exists as a monthly-updated alpha with a fully overhauled plugin system still to come. Its new features do not touch what this pipeline needs, and a viewer rebuilt every month is a poor foundation for a workflow that has to be reproducible. 1.9.x is what the published literature used. To try 2.0, install it alongside — the two do not conflict.</w:t>
      </w:r>
    </w:p>
    <w:p>
      <w:pPr>
        <w:pStyle w:val="Heading2"/>
        <w:spacing w:after="120" w:before="260"/>
      </w:pPr>
      <w:r>
        <w:t xml:space="preserve">Getting VMD onto the PATH (Windows)</w:t>
      </w:r>
    </w:p>
    <w:p>
      <w:pPr>
        <w:spacing w:after="140"/>
      </w:pPr>
      <w:r>
        <w:t xml:space="preserve">The installer registers a Start Menu entry but does not extend the PATH, so vmd is not recognised as a command in a fresh shell. The scripts look at the VMDDIR environment variable, which the installer does set, so they usually find VMD anyway. To add it permanently, in PowerShell:</w:t>
      </w:r>
    </w:p>
    <w:p>
      <w:pPr>
        <w:spacing w:after="0" w:before="40"/>
        <w:ind w:left="360"/>
      </w:pPr>
      <w:r>
        <w:rPr>
          <w:rFonts w:ascii="Consolas" w:cs="Consolas" w:eastAsia="Consolas" w:hAnsi="Consolas"/>
          <w:sz w:val="18"/>
          <w:szCs w:val="18"/>
        </w:rPr>
        <w:t xml:space="preserve">$sh = New-Object -ComObject WScript.Shell     # ask the Start Menu shortcut</w:t>
      </w:r>
    </w:p>
    <w:p>
      <w:pPr>
        <w:spacing w:after="0" w:before="0"/>
        <w:ind w:left="360"/>
      </w:pPr>
      <w:r>
        <w:rPr>
          <w:rFonts w:ascii="Consolas" w:cs="Consolas" w:eastAsia="Consolas" w:hAnsi="Consolas"/>
          <w:sz w:val="18"/>
          <w:szCs w:val="18"/>
        </w:rPr>
        <w:t xml:space="preserve">Get-ChildItem "$env:ProgramData\Microsoft\Windows\Start Menu\Programs" -Recurse `</w:t>
      </w:r>
    </w:p>
    <w:p>
      <w:pPr>
        <w:spacing w:after="0" w:before="0"/>
        <w:ind w:left="360"/>
      </w:pPr>
      <w:r>
        <w:rPr>
          <w:rFonts w:ascii="Consolas" w:cs="Consolas" w:eastAsia="Consolas" w:hAnsi="Consolas"/>
          <w:sz w:val="18"/>
          <w:szCs w:val="18"/>
        </w:rPr>
        <w:t xml:space="preserve">  -Filter "*VMD*.lnk" -ErrorAction SilentlyContinue |</w:t>
      </w:r>
    </w:p>
    <w:p>
      <w:pPr>
        <w:spacing w:after="0" w:before="0"/>
        <w:ind w:left="360"/>
      </w:pPr>
      <w:r>
        <w:rPr>
          <w:rFonts w:ascii="Consolas" w:cs="Consolas" w:eastAsia="Consolas" w:hAnsi="Consolas"/>
          <w:sz w:val="18"/>
          <w:szCs w:val="18"/>
        </w:rPr>
        <w:t xml:space="preserve">  ForEach-Object { $sh.CreateShortcut($_.FullName).TargetPath }</w:t>
      </w:r>
    </w:p>
    <w:p>
      <w:pPr>
        <w:spacing w:after="0" w:before="0"/>
        <w:ind w:left="360"/>
      </w:pPr>
      <w:r>
        <w:rPr>
          <w:rFonts w:ascii="Consolas" w:cs="Consolas" w:eastAsia="Consolas" w:hAnsi="Consolas"/>
          <w:sz w:val="18"/>
          <w:szCs w:val="18"/>
        </w:rPr>
        <w:t xml:space="preserve"> </w:t>
      </w:r>
    </w:p>
    <w:p>
      <w:pPr>
        <w:spacing w:after="0" w:before="0"/>
        <w:ind w:left="360"/>
      </w:pPr>
      <w:r>
        <w:rPr>
          <w:rFonts w:ascii="Consolas" w:cs="Consolas" w:eastAsia="Consolas" w:hAnsi="Consolas"/>
          <w:sz w:val="18"/>
          <w:szCs w:val="18"/>
        </w:rPr>
        <w:t xml:space="preserve">$vmd = "C:\Program Files\VMD"               # the folder the line above reported</w:t>
      </w:r>
    </w:p>
    <w:p>
      <w:pPr>
        <w:spacing w:after="0" w:before="0"/>
        <w:ind w:left="360"/>
      </w:pPr>
      <w:r>
        <w:rPr>
          <w:rFonts w:ascii="Consolas" w:cs="Consolas" w:eastAsia="Consolas" w:hAnsi="Consolas"/>
          <w:sz w:val="18"/>
          <w:szCs w:val="18"/>
        </w:rPr>
        <w:t xml:space="preserve">$old = [Environment]::GetEnvironmentVariable("Path", "User")</w:t>
      </w:r>
    </w:p>
    <w:p>
      <w:pPr>
        <w:spacing w:after="0" w:before="0"/>
        <w:ind w:left="360"/>
      </w:pPr>
      <w:r>
        <w:rPr>
          <w:rFonts w:ascii="Consolas" w:cs="Consolas" w:eastAsia="Consolas" w:hAnsi="Consolas"/>
          <w:sz w:val="18"/>
          <w:szCs w:val="18"/>
        </w:rPr>
        <w:t xml:space="preserve">if ($old -notlike "*$vmd*") {</w:t>
      </w:r>
    </w:p>
    <w:p>
      <w:pPr>
        <w:spacing w:after="0" w:before="0"/>
        <w:ind w:left="360"/>
      </w:pPr>
      <w:r>
        <w:rPr>
          <w:rFonts w:ascii="Consolas" w:cs="Consolas" w:eastAsia="Consolas" w:hAnsi="Consolas"/>
          <w:sz w:val="18"/>
          <w:szCs w:val="18"/>
        </w:rPr>
        <w:t xml:space="preserve">    [Environment]::SetEnvironmentVariable("Path", "$old;$vmd", "User")</w:t>
      </w:r>
    </w:p>
    <w:p>
      <w:pPr>
        <w:spacing w:after="160" w:before="0"/>
        <w:ind w:left="360"/>
      </w:pPr>
      <w:r>
        <w:rPr>
          <w:rFonts w:ascii="Consolas" w:cs="Consolas" w:eastAsia="Consolas" w:hAnsi="Consolas"/>
          <w:sz w:val="18"/>
          <w:szCs w:val="18"/>
        </w:rPr>
        <w:t xml:space="preserve">}</w:t>
      </w:r>
    </w:p>
    <w:p>
      <w:pPr>
        <w:spacing w:after="140"/>
      </w:pPr>
      <w:r>
        <w:t xml:space="preserve">Take $old rather than appending to $env:Path, which would copy every system entry into your user PATH as well. Open a new shell afterwards. Until then, start VMD from the Start Menu and load the scene from the Tk Console:</w:t>
      </w:r>
    </w:p>
    <w:p>
      <w:pPr>
        <w:spacing w:after="0" w:before="40"/>
        <w:ind w:left="360"/>
      </w:pPr>
      <w:r>
        <w:rPr>
          <w:rFonts w:ascii="Consolas" w:cs="Consolas" w:eastAsia="Consolas" w:hAnsi="Consolas"/>
          <w:sz w:val="18"/>
          <w:szCs w:val="18"/>
        </w:rPr>
        <w:t xml:space="preserve">cd {C:/Users/felix/.../sandbox/brombenzol}</w:t>
      </w:r>
    </w:p>
    <w:p>
      <w:pPr>
        <w:spacing w:after="160" w:before="0"/>
        <w:ind w:left="360"/>
      </w:pPr>
      <w:r>
        <w:rPr>
          <w:rFonts w:ascii="Consolas" w:cs="Consolas" w:eastAsia="Consolas" w:hAnsi="Consolas"/>
          <w:sz w:val="18"/>
          <w:szCs w:val="18"/>
        </w:rPr>
        <w:t xml:space="preserve">source esp.tcl</w:t>
      </w:r>
    </w:p>
    <w:p>
      <w:pPr>
        <w:spacing w:after="140"/>
      </w:pPr>
      <w:r>
        <w:t xml:space="preserve">Forward slashes and braces, not backslashes — Tcl reads \ as an escape character.</w:t>
      </w:r>
    </w:p>
    <w:p>
      <w:pPr>
        <w:pStyle w:val="Heading1"/>
        <w:spacing w:after="160" w:before="320"/>
      </w:pPr>
      <w:r>
        <w:t xml:space="preserve">5. Renderer behaviour worth knowing</w:t>
      </w:r>
    </w:p>
    <w:p>
      <w:pPr>
        <w:spacing w:after="140"/>
      </w:pPr>
      <w:r>
        <w:t xml:space="preserve">Each of the following cost time to diagnose. They are not bugs in the pipeline — the scripts handle all of them — but they explain why the scene is built the way it is, and they are the first things to check when a scene assembled by hand in the GUI looks wrong.</w:t>
      </w:r>
    </w:p>
    <w:p>
      <w:pPr>
        <w:pStyle w:val="Heading2"/>
        <w:spacing w:after="120" w:before="260"/>
      </w:pPr>
      <w:r>
        <w:t xml:space="preserve">Representation order decides whether the skeleton is visible</w:t>
      </w:r>
    </w:p>
    <w:p>
      <w:pPr>
        <w:spacing w:after="140"/>
      </w:pPr>
      <w:r>
        <w:rPr>
          <w:b/>
          <w:bCs/>
        </w:rPr>
        <w:t xml:space="preserve">VMD draws representations in index order and writes depth for transparent surfaces too.</w:t>
      </w:r>
      <w:r>
        <w:t xml:space="preserve"> With the isosurface on rep 0 it is drawn first, and the skeleton drawn afterwards fails the depth test everywhere the surface lies in front of it — which is everywhere. You get a visibly translucent surface with nothing behind it, and lowering the opacity does not help, because the geometry was discarded before blending. The tell-tale symptom: the skeleton appears only where the near clipping plane cuts the surface open when you zoom in.</w:t>
      </w:r>
    </w:p>
    <w:p>
      <w:pPr>
        <w:spacing w:after="140"/>
      </w:pPr>
      <w:r>
        <w:t xml:space="preserve">The fix is the order. esp.tcl adds the opaque Licorice rep first (rep 0) and the transparent isosurface second (rep 1), which is why the procs address the surface as $REP_SURF. If you build a scene by hand in the GUI, the same rule applies: transparent reps last.</w:t>
      </w:r>
    </w:p>
    <w:p>
      <w:pPr>
        <w:pStyle w:val="Heading2"/>
        <w:spacing w:after="120" w:before="260"/>
      </w:pPr>
      <w:r>
        <w:t xml:space="preserve">Opacity does not translate between the two programs</w:t>
      </w:r>
    </w:p>
    <w:p>
      <w:pPr>
        <w:spacing w:after="140"/>
      </w:pPr>
      <w:r>
        <w:rPr>
          <w:i/>
          <w:iCs/>
        </w:rPr>
        <w:t xml:space="preserve">You look through two layers. </w:t>
      </w:r>
      <w:r>
        <w:t xml:space="preserve">The isosurface is closed: the line of sight enters at the front and leaves at the back. At opacity a only (1−a)² of what lies behind survives — at a = 0.6 that is 16 %, and the skeleton disappears although the number sounds like "half transparent".</w:t>
      </w:r>
    </w:p>
    <w:p>
      <w:pPr>
        <w:spacing w:after="140"/>
      </w:pPr>
      <w:r>
        <w:t xml:space="preserve">PyMOL's transparency 0.15 is nominally a = 0.85, yet its images show the sticks; the two programs weight transparency differently. </w:t>
      </w:r>
      <w:r>
        <w:rPr>
          <w:b/>
          <w:bCs/>
        </w:rPr>
        <w:t xml:space="preserve">Identical parameters do not give identical images</w:t>
      </w:r>
      <w:r>
        <w:t xml:space="preserve">, which is exactly the kind of renderer detail this project exists to document. Around 0.3 in VMD gives the impression PyMOL gives at 0.15; the pipeline defaults to 0.50 for the rendered set.</w:t>
      </w:r>
    </w:p>
    <w:p>
      <w:pPr>
        <w:spacing w:after="140"/>
      </w:pPr>
      <w:r>
        <w:rPr>
          <w:i/>
          <w:iCs/>
        </w:rPr>
        <w:t xml:space="preserve">A strong specular highlight fills the gap back in. </w:t>
      </w:r>
      <w:r>
        <w:t xml:space="preserve">A milky sheen sits on top of whatever the opacity lets through, so esp.tcl keeps specular low (0.10).</w:t>
      </w:r>
    </w:p>
    <w:p>
      <w:pPr>
        <w:pStyle w:val="Heading2"/>
        <w:spacing w:after="120" w:before="260"/>
      </w:pPr>
      <w:r>
        <w:t xml:space="preserve">Tachyon aborts on stacked transparency</w:t>
      </w:r>
    </w:p>
    <w:p>
      <w:pPr>
        <w:spacing w:after="140"/>
      </w:pPr>
      <w:r>
        <w:t xml:space="preserve">In the axial view every line of sight crosses many transparent layers. TachyonInternal frequently dies there — on Windows with exit code 0xC0000374, heap corruption — and a VMD crash leaves no error text, only an absent file. On the nine-molecule set this affects roughly a third of the views, and it is not restricted to the axial one.</w:t>
      </w:r>
    </w:p>
    <w:p>
      <w:pPr>
        <w:spacing w:after="140"/>
      </w:pPr>
      <w:r>
        <w:t xml:space="preserve">render_espVMD.py therefore renders in passes and keeps whatever each pass produced: full quality first, then the missing views as an OpenGL window capture — no recursion, transparency preserved, slightly less fine — and only then as an opaque surface. Which pass produced which view is recorded per view in *_settings.txt and in the views column of summary.csv, because a figure made a different way must not look like the others in the record. The window capture copies the OpenGL buffer, so the VMD window has to be on screen and uncovered while it runs.</w:t>
      </w:r>
    </w:p>
    <w:p>
      <w:pPr>
        <w:spacing w:after="140"/>
      </w:pPr>
      <w:r>
        <w:t xml:space="preserve">For the comparison this is a finding in its own right: PyMOL's ray tracer renders the same molecules, at the same isovalue and transparency, without a single failure.</w:t>
      </w:r>
    </w:p>
    <w:p>
      <w:pPr>
        <w:pStyle w:val="Heading2"/>
        <w:spacing w:after="120" w:before="260"/>
      </w:pPr>
      <w:r>
        <w:t xml:space="preserve">Smaller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DEDED" w:val="clear"/>
            <w:tcMar>
              <w:top w:type="dxa" w:w="60"/>
              <w:left w:type="dxa" w:w="90"/>
              <w:bottom w:type="dxa" w:w="60"/>
              <w:right w:type="dxa" w:w="90"/>
            </w:tcMar>
          </w:tcPr>
          <w:p>
            <w:pPr>
              <w:spacing w:after="0"/>
            </w:pPr>
            <w:r>
              <w:rPr>
                <w:b/>
                <w:bCs/>
                <w:sz w:val="19"/>
                <w:szCs w:val="19"/>
              </w:rPr>
              <w:t xml:space="preserve">Symptom</w:t>
            </w:r>
          </w:p>
        </w:tc>
        <w:tc>
          <w:tcPr>
            <w:tcW w:type="dxa" w:w="6260"/>
            <w:shd w:fill="EDEDED" w:val="clear"/>
            <w:tcMar>
              <w:top w:type="dxa" w:w="60"/>
              <w:left w:type="dxa" w:w="90"/>
              <w:bottom w:type="dxa" w:w="60"/>
              <w:right w:type="dxa" w:w="90"/>
            </w:tcMar>
          </w:tcPr>
          <w:p>
            <w:pPr>
              <w:spacing w:after="0"/>
            </w:pPr>
            <w:r>
              <w:rPr>
                <w:b/>
                <w:bCs/>
                <w:sz w:val="19"/>
                <w:szCs w:val="19"/>
              </w:rPr>
              <w:t xml:space="preserve">Cause and handling</w:t>
            </w:r>
          </w:p>
        </w:tc>
      </w:tr>
      <w:tr>
        <w:tc>
          <w:tcPr>
            <w:tcW w:type="dxa" w:w="3100"/>
            <w:tcMar>
              <w:top w:type="dxa" w:w="60"/>
              <w:left w:type="dxa" w:w="90"/>
              <w:bottom w:type="dxa" w:w="60"/>
              <w:right w:type="dxa" w:w="90"/>
            </w:tcMar>
          </w:tcPr>
          <w:p>
            <w:pPr>
              <w:spacing w:after="0"/>
            </w:pPr>
            <w:r>
              <w:rPr>
                <w:b w:val="false"/>
                <w:bCs w:val="false"/>
                <w:sz w:val="19"/>
                <w:szCs w:val="19"/>
              </w:rPr>
              <w:t xml:space="preserve">"Unable to load molecule" when opening an .xyz</w:t>
            </w:r>
          </w:p>
        </w:tc>
        <w:tc>
          <w:tcPr>
            <w:tcW w:type="dxa" w:w="6260"/>
            <w:tcMar>
              <w:top w:type="dxa" w:w="60"/>
              <w:left w:type="dxa" w:w="90"/>
              <w:bottom w:type="dxa" w:w="60"/>
              <w:right w:type="dxa" w:w="90"/>
            </w:tcMar>
          </w:tcPr>
          <w:p>
            <w:pPr>
              <w:spacing w:after="0"/>
            </w:pPr>
            <w:r>
              <w:rPr>
                <w:b w:val="false"/>
                <w:bCs w:val="false"/>
                <w:sz w:val="19"/>
                <w:szCs w:val="19"/>
              </w:rPr>
              <w:t xml:space="preserve">The Turbomole-derived structure files have no XYZ header — no atom count, no comment line. PyMOL guesses; VMD's reader aborts. Load the cube instead: it carries the atom block.</w:t>
            </w:r>
          </w:p>
        </w:tc>
      </w:tr>
      <w:tr>
        <w:tc>
          <w:tcPr>
            <w:tcW w:type="dxa" w:w="3100"/>
            <w:tcMar>
              <w:top w:type="dxa" w:w="60"/>
              <w:left w:type="dxa" w:w="90"/>
              <w:bottom w:type="dxa" w:w="60"/>
              <w:right w:type="dxa" w:w="90"/>
            </w:tcMar>
          </w:tcPr>
          <w:p>
            <w:pPr>
              <w:spacing w:after="0"/>
            </w:pPr>
            <w:r>
              <w:rPr>
                <w:b w:val="false"/>
                <w:bCs w:val="false"/>
                <w:sz w:val="19"/>
                <w:szCs w:val="19"/>
              </w:rPr>
              <w:t xml:space="preserve">The molecule sits small and off-centre</w:t>
            </w:r>
          </w:p>
        </w:tc>
        <w:tc>
          <w:tcPr>
            <w:tcW w:type="dxa" w:w="6260"/>
            <w:tcMar>
              <w:top w:type="dxa" w:w="60"/>
              <w:left w:type="dxa" w:w="90"/>
              <w:bottom w:type="dxa" w:w="60"/>
              <w:right w:type="dxa" w:w="90"/>
            </w:tcMar>
          </w:tcPr>
          <w:p>
            <w:pPr>
              <w:spacing w:after="0"/>
            </w:pPr>
            <w:r>
              <w:rPr>
                <w:b w:val="false"/>
                <w:bCs w:val="false"/>
                <w:sz w:val="19"/>
                <w:szCs w:val="19"/>
              </w:rPr>
              <w:t xml:space="preserve">display resetview fits the view to everything drawn, and the isosurface carries the extent of the whole 30 × 30 × 30 Bohr grid box. esp_center centres on the atoms instead. If you lose the view, call esp_view pi.</w:t>
            </w:r>
          </w:p>
        </w:tc>
      </w:tr>
      <w:tr>
        <w:tc>
          <w:tcPr>
            <w:tcW w:type="dxa" w:w="3100"/>
            <w:tcMar>
              <w:top w:type="dxa" w:w="60"/>
              <w:left w:type="dxa" w:w="90"/>
              <w:bottom w:type="dxa" w:w="60"/>
              <w:right w:type="dxa" w:w="90"/>
            </w:tcMar>
          </w:tcPr>
          <w:p>
            <w:pPr>
              <w:spacing w:after="0"/>
            </w:pPr>
            <w:r>
              <w:rPr>
                <w:b w:val="false"/>
                <w:bCs w:val="false"/>
                <w:sz w:val="19"/>
                <w:szCs w:val="19"/>
              </w:rPr>
              <w:t xml:space="preserve">Zooming in cuts a hole in the surface</w:t>
            </w:r>
          </w:p>
        </w:tc>
        <w:tc>
          <w:tcPr>
            <w:tcW w:type="dxa" w:w="6260"/>
            <w:tcMar>
              <w:top w:type="dxa" w:w="60"/>
              <w:left w:type="dxa" w:w="90"/>
              <w:bottom w:type="dxa" w:w="60"/>
              <w:right w:type="dxa" w:w="90"/>
            </w:tcMar>
          </w:tcPr>
          <w:p>
            <w:pPr>
              <w:spacing w:after="0"/>
            </w:pPr>
            <w:r>
              <w:rPr>
                <w:b w:val="false"/>
                <w:bCs w:val="false"/>
                <w:sz w:val="19"/>
                <w:szCs w:val="19"/>
              </w:rPr>
              <w:t xml:space="preserve">The near clipping plane, not transparency. VMD's default (0.5) slices a disc out of the surface as you approach. esp.tcl sets display nearclip set 0.01.</w:t>
            </w:r>
          </w:p>
        </w:tc>
      </w:tr>
      <w:tr>
        <w:tc>
          <w:tcPr>
            <w:tcW w:type="dxa" w:w="3100"/>
            <w:tcMar>
              <w:top w:type="dxa" w:w="60"/>
              <w:left w:type="dxa" w:w="90"/>
              <w:bottom w:type="dxa" w:w="60"/>
              <w:right w:type="dxa" w:w="90"/>
            </w:tcMar>
          </w:tcPr>
          <w:p>
            <w:pPr>
              <w:spacing w:after="0"/>
            </w:pPr>
            <w:r>
              <w:rPr>
                <w:b w:val="false"/>
                <w:bCs w:val="false"/>
                <w:sz w:val="19"/>
                <w:szCs w:val="19"/>
              </w:rPr>
              <w:t xml:space="preserve">The surface looks grainy, like a bad print</w:t>
            </w:r>
          </w:p>
        </w:tc>
        <w:tc>
          <w:tcPr>
            <w:tcW w:type="dxa" w:w="6260"/>
            <w:tcMar>
              <w:top w:type="dxa" w:w="60"/>
              <w:left w:type="dxa" w:w="90"/>
              <w:bottom w:type="dxa" w:w="60"/>
              <w:right w:type="dxa" w:w="90"/>
            </w:tcMar>
          </w:tcPr>
          <w:p>
            <w:pPr>
              <w:spacing w:after="0"/>
            </w:pPr>
            <w:r>
              <w:rPr>
                <w:b w:val="false"/>
                <w:bCs w:val="false"/>
                <w:sz w:val="19"/>
                <w:szCs w:val="19"/>
              </w:rPr>
              <w:t xml:space="preserve">VMD's default render mode fakes transparency by dropping pixels ("screen door"). esp.tcl requests display rendermode GLSL for real alpha blending; if the driver cannot, the request fails silently and the dotted look stays on screen. Rendered images are unaffected — Tachyon does proper transparency regardless.</w:t>
            </w:r>
          </w:p>
        </w:tc>
      </w:tr>
      <w:tr>
        <w:tc>
          <w:tcPr>
            <w:tcW w:type="dxa" w:w="3100"/>
            <w:tcMar>
              <w:top w:type="dxa" w:w="60"/>
              <w:left w:type="dxa" w:w="90"/>
              <w:bottom w:type="dxa" w:w="60"/>
              <w:right w:type="dxa" w:w="90"/>
            </w:tcMar>
          </w:tcPr>
          <w:p>
            <w:pPr>
              <w:spacing w:after="0"/>
            </w:pPr>
            <w:r>
              <w:rPr>
                <w:b w:val="false"/>
                <w:bCs w:val="false"/>
                <w:sz w:val="19"/>
                <w:szCs w:val="19"/>
              </w:rPr>
              <w:t xml:space="preserve">VMD shows two frames after loading</w:t>
            </w:r>
          </w:p>
        </w:tc>
        <w:tc>
          <w:tcPr>
            <w:tcW w:type="dxa" w:w="6260"/>
            <w:tcMar>
              <w:top w:type="dxa" w:w="60"/>
              <w:left w:type="dxa" w:w="90"/>
              <w:bottom w:type="dxa" w:w="60"/>
              <w:right w:type="dxa" w:w="90"/>
            </w:tcMar>
          </w:tcPr>
          <w:p>
            <w:pPr>
              <w:spacing w:after="0"/>
            </w:pPr>
            <w:r>
              <w:rPr>
                <w:b w:val="false"/>
                <w:bCs w:val="false"/>
                <w:sz w:val="19"/>
                <w:szCs w:val="19"/>
              </w:rPr>
              <w:t xml:space="preserve">The second cube brings its own copy of the coordinates, which VMD appends as an extra frame. esp.tcl deletes it.</w:t>
            </w:r>
          </w:p>
        </w:tc>
      </w:tr>
      <w:tr>
        <w:tc>
          <w:tcPr>
            <w:tcW w:type="dxa" w:w="3100"/>
            <w:tcMar>
              <w:top w:type="dxa" w:w="60"/>
              <w:left w:type="dxa" w:w="90"/>
              <w:bottom w:type="dxa" w:w="60"/>
              <w:right w:type="dxa" w:w="90"/>
            </w:tcMar>
          </w:tcPr>
          <w:p>
            <w:pPr>
              <w:spacing w:after="0"/>
            </w:pPr>
            <w:r>
              <w:rPr>
                <w:b w:val="false"/>
                <w:bCs w:val="false"/>
                <w:sz w:val="19"/>
                <w:szCs w:val="19"/>
              </w:rPr>
              <w:t xml:space="preserve">The blue σ-hole looks pale</w:t>
            </w:r>
          </w:p>
        </w:tc>
        <w:tc>
          <w:tcPr>
            <w:tcW w:type="dxa" w:w="6260"/>
            <w:tcMar>
              <w:top w:type="dxa" w:w="60"/>
              <w:left w:type="dxa" w:w="90"/>
              <w:bottom w:type="dxa" w:w="60"/>
              <w:right w:type="dxa" w:w="90"/>
            </w:tcMar>
          </w:tcPr>
          <w:p>
            <w:pPr>
              <w:spacing w:after="0"/>
            </w:pPr>
            <w:r>
              <w:rPr>
                <w:b w:val="false"/>
                <w:bCs w:val="false"/>
                <w:sz w:val="19"/>
                <w:szCs w:val="19"/>
              </w:rPr>
              <w:t xml:space="preserve">It should. On a ±0.035 a.u. scale a σ-hole of +0.016 a.u. reaches under half saturation. Rescaling to make it vivid would break comparability with the PyMOL images — that is what esp_range is for when you want to look, and why the delivered images keep the fixed scale.</w:t>
            </w:r>
          </w:p>
        </w:tc>
      </w:tr>
      <w:tr>
        <w:tc>
          <w:tcPr>
            <w:tcW w:type="dxa" w:w="3100"/>
            <w:tcMar>
              <w:top w:type="dxa" w:w="60"/>
              <w:left w:type="dxa" w:w="90"/>
              <w:bottom w:type="dxa" w:w="60"/>
              <w:right w:type="dxa" w:w="90"/>
            </w:tcMar>
          </w:tcPr>
          <w:p>
            <w:pPr>
              <w:spacing w:after="0"/>
            </w:pPr>
            <w:r>
              <w:rPr>
                <w:b w:val="false"/>
                <w:bCs w:val="false"/>
                <w:sz w:val="19"/>
                <w:szCs w:val="19"/>
              </w:rPr>
              <w:t xml:space="preserve">The image is shorter than requested</w:t>
            </w:r>
          </w:p>
        </w:tc>
        <w:tc>
          <w:tcPr>
            <w:tcW w:type="dxa" w:w="6260"/>
            <w:tcMar>
              <w:top w:type="dxa" w:w="60"/>
              <w:left w:type="dxa" w:w="90"/>
              <w:bottom w:type="dxa" w:w="60"/>
              <w:right w:type="dxa" w:w="90"/>
            </w:tcMar>
          </w:tcPr>
          <w:p>
            <w:pPr>
              <w:spacing w:after="0"/>
            </w:pPr>
            <w:r>
              <w:rPr>
                <w:b w:val="false"/>
                <w:bCs w:val="false"/>
                <w:sz w:val="19"/>
                <w:szCs w:val="19"/>
              </w:rPr>
              <w:t xml:space="preserve">TachyonInternal renders at window size, and Windows clamps the window to the screen. On a 1061-pixel-tall screen a request for 1280 yields 1061 — the images are then shorter than --res asked for.</w:t>
            </w:r>
          </w:p>
        </w:tc>
      </w:tr>
    </w:tbl>
    <w:p>
      <w:pPr>
        <w:pStyle w:val="Heading1"/>
        <w:spacing w:after="160" w:before="320"/>
      </w:pPr>
      <w:r>
        <w:t xml:space="preserve">6. Design decisions in the code</w:t>
      </w:r>
    </w:p>
    <w:p>
      <w:pPr>
        <w:pStyle w:val="Heading2"/>
        <w:spacing w:after="120" w:before="260"/>
      </w:pPr>
      <w:r>
        <w:t xml:space="preserve">The scene lives in its own file</w:t>
      </w:r>
    </w:p>
    <w:p>
      <w:pPr>
        <w:spacing w:after="140"/>
      </w:pPr>
      <w:r>
        <w:t xml:space="preserve">esp_template.tcl is real Tcl with @@placeholder@@ markers that the Python script fills in. Keeping 240 lines of Tcl inside a Python string cost syntax highlighting, made the converter twice as long as the job warrants, and hid mistakes in the escaping. Placeholders rather than str.format or string.Template, because Tcl uses braces and dollar signs as syntax and both mechanisms would choke on them.</w:t>
      </w:r>
    </w:p>
    <w:p>
      <w:pPr>
        <w:pStyle w:val="Heading2"/>
        <w:spacing w:after="120" w:before="260"/>
      </w:pPr>
      <w:r>
        <w:t xml:space="preserve">The views are computed, not assumed</w:t>
      </w:r>
    </w:p>
    <w:p>
      <w:pPr>
        <w:spacing w:after="140"/>
      </w:pPr>
      <w:r>
        <w:t xml:space="preserve">The first version rotated a fixed amount from a canonical starting view: π, then rotate x by −90 for the axial view. That presumes a planar molecule in the xy-plane with the C–X axis along −y, which is how the Turbomole optimisation happens to leave the halobenzenes. It was wrong by 30 to 35 degrees for every substituted pyridine in the set, and almost invisible: in any direction there is a round coloured cap to look at, and the far side of the molecule reads as a σ-hole.</w:t>
      </w:r>
    </w:p>
    <w:p>
      <w:pPr>
        <w:spacing w:after="140"/>
      </w:pPr>
      <w:r>
        <w:t xml:space="preserve">The orientation now comes from the geometry — the ring normal from the principal axes of the heavy atoms, and the true, unprojected C–halogen axis for the axial view — and the three rotation matrices are baked into the generated esp.tcl. The calculation is ported from the PyMOL project so that both image sets show the same thing. Molecules without a halogen fall back to the longest principal axis, and the axis actually used is printed when the scene loads.</w:t>
      </w:r>
    </w:p>
    <w:p>
      <w:pPr>
        <w:pStyle w:val="Heading2"/>
        <w:spacing w:after="120" w:before="260"/>
      </w:pPr>
      <w:r>
        <w:t xml:space="preserve">Cubes are written atomically</w:t>
      </w:r>
    </w:p>
    <w:p>
      <w:pPr>
        <w:spacing w:after="140"/>
      </w:pPr>
      <w:r>
        <w:t xml:space="preserve">A full cube is 200 MB and takes minutes. Written directly, an interrupted run leaves a half file with a valid header, which the next run accepts as complete, skips converting, and renders as an isosurface with its back half missing — without a warning. The converter writes &lt;name&gt;.cube.part and renames it at the end, so the file exists under its real name only when it is whole.</w:t>
      </w:r>
    </w:p>
    <w:p>
      <w:pPr>
        <w:pStyle w:val="Heading2"/>
        <w:spacing w:after="120" w:before="260"/>
      </w:pPr>
      <w:r>
        <w:t xml:space="preserve">No two-pass rendering</w:t>
      </w:r>
    </w:p>
    <w:p>
      <w:pPr>
        <w:spacing w:after="140"/>
      </w:pPr>
      <w:r>
        <w:t xml:space="preserve">The PyMOL pipeline renders once with per-molecule scales, takes the largest, and renders everything again. In VMD an image costs a minute or two, so the discarded first set would dominate the runtime. Instead every run ends with the smallest scale that covers all molecules and the command line to use it. The choice stays with the user: the smallest scale that clips nothing is not always the most informative one, since a single molecule with a very negative oxygen flattens the contrast of every other molecule in the set.</w:t>
      </w:r>
    </w:p>
    <w:p>
      <w:pPr>
        <w:pStyle w:val="Heading1"/>
        <w:spacing w:after="160" w:before="320"/>
      </w:pPr>
      <w:r>
        <w:t xml:space="preserve">7.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DEDED" w:val="clear"/>
            <w:tcMar>
              <w:top w:type="dxa" w:w="60"/>
              <w:left w:type="dxa" w:w="90"/>
              <w:bottom w:type="dxa" w:w="60"/>
              <w:right w:type="dxa" w:w="90"/>
            </w:tcMar>
          </w:tcPr>
          <w:p>
            <w:pPr>
              <w:spacing w:after="0"/>
            </w:pPr>
            <w:r>
              <w:rPr>
                <w:b/>
                <w:bCs/>
                <w:sz w:val="19"/>
                <w:szCs w:val="19"/>
              </w:rPr>
              <w:t xml:space="preserve">Step</w:t>
            </w:r>
          </w:p>
        </w:tc>
        <w:tc>
          <w:tcPr>
            <w:tcW w:type="dxa" w:w="6260"/>
            <w:shd w:fill="EDEDED" w:val="clear"/>
            <w:tcMar>
              <w:top w:type="dxa" w:w="60"/>
              <w:left w:type="dxa" w:w="90"/>
              <w:bottom w:type="dxa" w:w="60"/>
              <w:right w:type="dxa" w:w="90"/>
            </w:tcMar>
          </w:tcPr>
          <w:p>
            <w:pPr>
              <w:spacing w:after="0"/>
            </w:pPr>
            <w:r>
              <w:rPr>
                <w:b/>
                <w:bCs/>
                <w:sz w:val="19"/>
                <w:szCs w:val="19"/>
              </w:rPr>
              <w:t xml:space="preserve">State</w:t>
            </w:r>
          </w:p>
        </w:tc>
      </w:tr>
      <w:tr>
        <w:tc>
          <w:tcPr>
            <w:tcW w:type="dxa" w:w="3100"/>
            <w:tcMar>
              <w:top w:type="dxa" w:w="60"/>
              <w:left w:type="dxa" w:w="90"/>
              <w:bottom w:type="dxa" w:w="60"/>
              <w:right w:type="dxa" w:w="90"/>
            </w:tcMar>
          </w:tcPr>
          <w:p>
            <w:pPr>
              <w:spacing w:after="0"/>
            </w:pPr>
            <w:r>
              <w:rPr>
                <w:b w:val="false"/>
                <w:bCs w:val="false"/>
                <w:sz w:val="19"/>
                <w:szCs w:val="19"/>
              </w:rPr>
              <w:t xml:space="preserve">Install VMD 1.9.4, Tk Console available</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Cube pair loaded by hand, ESP-coloured isosurface on screen</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mol addfile + colour-by-Volume confirmed as the right mechanic</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xyzToCubeToVMDVis.py — pointval → cube → esp.tcl</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Colour scale from V_S,min / V_S,max, cross-checked against PyMOL</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render_espVMD.py / render_esp.tcl — standard image set</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run_allVMD.py — batch driver, analyse-then-render</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Views computed from the geometry, verified on all nine molecules</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reference/ filled with a known-good example rendered in VMD</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Halobenzenes and pyridines converted, all three views checked</w:t>
            </w:r>
          </w:p>
        </w:tc>
        <w:tc>
          <w:tcPr>
            <w:tcW w:type="dxa" w:w="6260"/>
            <w:tcMar>
              <w:top w:type="dxa" w:w="60"/>
              <w:left w:type="dxa" w:w="90"/>
              <w:bottom w:type="dxa" w:w="60"/>
              <w:right w:type="dxa" w:w="90"/>
            </w:tcMar>
          </w:tcPr>
          <w:p>
            <w:pPr>
              <w:spacing w:after="0"/>
            </w:pPr>
            <w:r>
              <w:rPr>
                <w:b w:val="false"/>
                <w:bCs w:val="false"/>
                <w:sz w:val="19"/>
                <w:szCs w:val="19"/>
              </w:rPr>
              <w:t xml:space="preserve">done</w:t>
            </w:r>
          </w:p>
        </w:tc>
      </w:tr>
      <w:tr>
        <w:tc>
          <w:tcPr>
            <w:tcW w:type="dxa" w:w="3100"/>
            <w:tcMar>
              <w:top w:type="dxa" w:w="60"/>
              <w:left w:type="dxa" w:w="90"/>
              <w:bottom w:type="dxa" w:w="60"/>
              <w:right w:type="dxa" w:w="90"/>
            </w:tcMar>
          </w:tcPr>
          <w:p>
            <w:pPr>
              <w:spacing w:after="0"/>
            </w:pPr>
            <w:r>
              <w:rPr>
                <w:b w:val="false"/>
                <w:bCs w:val="false"/>
                <w:sz w:val="19"/>
                <w:szCs w:val="19"/>
              </w:rPr>
              <w:t xml:space="preserve">Cross-check PyMOL vs. VMD on identical cubes at an identical scale</w:t>
            </w:r>
          </w:p>
        </w:tc>
        <w:tc>
          <w:tcPr>
            <w:tcW w:type="dxa" w:w="6260"/>
            <w:tcMar>
              <w:top w:type="dxa" w:w="60"/>
              <w:left w:type="dxa" w:w="90"/>
              <w:bottom w:type="dxa" w:w="60"/>
              <w:right w:type="dxa" w:w="90"/>
            </w:tcMar>
          </w:tcPr>
          <w:p>
            <w:pPr>
              <w:spacing w:after="0"/>
            </w:pPr>
            <w:r>
              <w:rPr>
                <w:b w:val="false"/>
                <w:bCs w:val="false"/>
                <w:sz w:val="19"/>
                <w:szCs w:val="19"/>
              </w:rPr>
              <w:t xml:space="preserve">open</w:t>
            </w:r>
          </w:p>
        </w:tc>
      </w:tr>
    </w:tbl>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2026-08-26T21:20:12.935Z</dcterms:created>
  <dcterms:modified xsi:type="dcterms:W3CDTF">2026-08-26T21:20:12.949Z</dcterms:modified>
</cp:coreProperties>
</file>

<file path=docProps/custom.xml><?xml version="1.0" encoding="utf-8"?>
<Properties xmlns="http://schemas.openxmlformats.org/officeDocument/2006/custom-properties" xmlns:vt="http://schemas.openxmlformats.org/officeDocument/2006/docPropsVTypes"/>
</file>