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A5E9" w14:textId="150CCEF0" w:rsidR="00D4037C" w:rsidRPr="00214EAC" w:rsidRDefault="00214EAC" w:rsidP="00214EAC">
      <w:pPr>
        <w:tabs>
          <w:tab w:val="center" w:pos="5153"/>
        </w:tabs>
        <w:spacing w:after="0"/>
        <w:ind w:left="-253"/>
        <w:jc w:val="center"/>
        <w:rPr>
          <w:rFonts w:ascii="Tahoma" w:eastAsia="Tahoma" w:hAnsi="Tahoma" w:cs="Tahoma"/>
          <w:b/>
          <w:sz w:val="32"/>
        </w:rPr>
      </w:pPr>
      <w:r w:rsidRPr="00214EAC">
        <w:rPr>
          <w:rFonts w:ascii="Tahoma" w:eastAsia="Tahoma" w:hAnsi="Tahoma" w:cs="Tahoma"/>
          <w:b/>
          <w:sz w:val="32"/>
        </w:rPr>
        <w:t xml:space="preserve">Fiche de poste – </w:t>
      </w:r>
      <w:r w:rsidRPr="00214EAC">
        <w:rPr>
          <w:rFonts w:ascii="Tahoma" w:eastAsia="Tahoma" w:hAnsi="Tahoma" w:cs="Tahoma"/>
          <w:b/>
          <w:bCs/>
          <w:sz w:val="32"/>
        </w:rPr>
        <w:t>PDG (Président Directeur Général) — François MERCER</w:t>
      </w:r>
      <w:r w:rsidR="008B78A5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9F868E" wp14:editId="2BF9C7A2">
                <wp:simplePos x="0" y="0"/>
                <wp:positionH relativeFrom="page">
                  <wp:posOffset>880872</wp:posOffset>
                </wp:positionH>
                <wp:positionV relativeFrom="page">
                  <wp:posOffset>9900666</wp:posOffset>
                </wp:positionV>
                <wp:extent cx="5798821" cy="56388"/>
                <wp:effectExtent l="0" t="0" r="0" b="0"/>
                <wp:wrapTopAndBottom/>
                <wp:docPr id="1018" name="Group 1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56388"/>
                          <a:chOff x="0" y="0"/>
                          <a:chExt cx="5798821" cy="56388"/>
                        </a:xfrm>
                      </wpg:grpSpPr>
                      <wps:wsp>
                        <wps:cNvPr id="1159" name="Shape 1159"/>
                        <wps:cNvSpPr/>
                        <wps:spPr>
                          <a:xfrm>
                            <a:off x="0" y="0"/>
                            <a:ext cx="579882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38100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0" y="47244"/>
                            <a:ext cx="57988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9144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8" style="width:456.6pt;height:4.44pt;position:absolute;mso-position-horizontal-relative:page;mso-position-horizontal:absolute;margin-left:69.36pt;mso-position-vertical-relative:page;margin-top:779.58pt;" coordsize="57988,563">
                <v:shape id="Shape 1161" style="position:absolute;width:57988;height:381;left:0;top:0;" coordsize="5798821,38100" path="m0,0l5798821,0l5798821,38100l0,38100l0,0">
                  <v:stroke weight="0pt" endcap="flat" joinstyle="miter" miterlimit="10" on="false" color="#000000" opacity="0"/>
                  <v:fill on="true" color="#612422"/>
                </v:shape>
                <v:shape id="Shape 1162" style="position:absolute;width:57988;height:91;left:0;top:472;" coordsize="5798821,9144" path="m0,0l5798821,0l5798821,9144l0,9144l0,0">
                  <v:stroke weight="0pt" endcap="flat" joinstyle="miter" miterlimit="10" on="false" color="#000000" opacity="0"/>
                  <v:fill on="true" color="#612422"/>
                </v:shape>
                <w10:wrap type="topAndBottom"/>
              </v:group>
            </w:pict>
          </mc:Fallback>
        </mc:AlternateContent>
      </w:r>
    </w:p>
    <w:p w14:paraId="49D3E7E6" w14:textId="77777777" w:rsidR="00214EAC" w:rsidRDefault="00214EAC" w:rsidP="00214EAC">
      <w:pPr>
        <w:tabs>
          <w:tab w:val="center" w:pos="5153"/>
        </w:tabs>
        <w:spacing w:after="0"/>
        <w:ind w:left="-253"/>
      </w:pPr>
    </w:p>
    <w:tbl>
      <w:tblPr>
        <w:tblStyle w:val="TableGrid"/>
        <w:tblW w:w="9212" w:type="dxa"/>
        <w:tblInd w:w="-108" w:type="dxa"/>
        <w:tblCellMar>
          <w:top w:w="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12"/>
      </w:tblGrid>
      <w:tr w:rsidR="00D4037C" w14:paraId="275B249E" w14:textId="77777777">
        <w:trPr>
          <w:trHeight w:val="251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749" w14:textId="1A148200" w:rsidR="00D4037C" w:rsidRPr="00214EA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Intitulé du poste : </w:t>
            </w:r>
            <w:r w:rsidR="00214EAC" w:rsidRPr="00214EAC">
              <w:rPr>
                <w:rFonts w:ascii="Tahoma" w:eastAsia="Tahoma" w:hAnsi="Tahoma" w:cs="Tahoma"/>
                <w:sz w:val="20"/>
              </w:rPr>
              <w:t>Président Directeur Général (PDG)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</w:tr>
      <w:tr w:rsidR="00D4037C" w14:paraId="26F6E20B" w14:textId="77777777" w:rsidTr="00214EAC">
        <w:trPr>
          <w:trHeight w:val="1428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849B" w14:textId="7F32D47C" w:rsidR="00D4037C" w:rsidRPr="00214EA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Qualification du poste : </w:t>
            </w:r>
            <w:r w:rsidR="00214EAC" w:rsidRPr="00214EAC">
              <w:rPr>
                <w:rFonts w:ascii="Tahoma" w:eastAsia="Tahoma" w:hAnsi="Tahoma" w:cs="Tahoma"/>
                <w:sz w:val="20"/>
              </w:rPr>
              <w:t>Cadre dirigeant – Direction générale</w:t>
            </w:r>
          </w:p>
          <w:p w14:paraId="6C242BE3" w14:textId="39B743BB" w:rsidR="00D4037C" w:rsidRPr="00214EA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Statut/service :</w:t>
            </w:r>
            <w:r w:rsidR="00214EAC">
              <w:rPr>
                <w:rFonts w:ascii="Tahoma" w:eastAsia="Tahoma" w:hAnsi="Tahoma" w:cs="Tahoma"/>
                <w:sz w:val="20"/>
              </w:rPr>
              <w:t xml:space="preserve"> </w:t>
            </w:r>
            <w:r w:rsidR="00214EAC" w:rsidRPr="00214EAC">
              <w:rPr>
                <w:rFonts w:ascii="Tahoma" w:eastAsia="Tahoma" w:hAnsi="Tahoma" w:cs="Tahoma"/>
                <w:sz w:val="20"/>
              </w:rPr>
              <w:t>Direction / Siège</w:t>
            </w:r>
          </w:p>
          <w:p w14:paraId="23B04EA2" w14:textId="37D83013" w:rsidR="00D4037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Niveau / échelon :</w:t>
            </w:r>
            <w:r w:rsidR="00214EAC">
              <w:rPr>
                <w:rFonts w:ascii="Tahoma" w:eastAsia="Tahoma" w:hAnsi="Tahoma" w:cs="Tahoma"/>
                <w:sz w:val="20"/>
              </w:rPr>
              <w:t xml:space="preserve"> </w:t>
            </w:r>
            <w:r w:rsidR="00214EAC" w:rsidRPr="00214EAC">
              <w:rPr>
                <w:rFonts w:ascii="Tahoma" w:eastAsia="Tahoma" w:hAnsi="Tahoma" w:cs="Tahoma"/>
                <w:sz w:val="20"/>
              </w:rPr>
              <w:t>Cadre dirigeant</w:t>
            </w:r>
          </w:p>
          <w:p w14:paraId="7C183377" w14:textId="77777777" w:rsidR="008B78A5" w:rsidRPr="00214EA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</w:p>
          <w:p w14:paraId="58BDF49F" w14:textId="072653D5" w:rsidR="00D4037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Rattachement hiérarchique :</w:t>
            </w:r>
            <w:r w:rsidR="00214EAC">
              <w:rPr>
                <w:rFonts w:ascii="Tahoma" w:eastAsia="Tahoma" w:hAnsi="Tahoma" w:cs="Tahoma"/>
                <w:sz w:val="20"/>
              </w:rPr>
              <w:t xml:space="preserve"> </w:t>
            </w:r>
            <w:r w:rsidR="00214EAC" w:rsidRPr="00214EAC">
              <w:rPr>
                <w:rFonts w:ascii="Tahoma" w:eastAsia="Tahoma" w:hAnsi="Tahoma" w:cs="Tahoma"/>
                <w:sz w:val="20"/>
              </w:rPr>
              <w:t>Conseil d’administration / Assemblée des actionnaires</w:t>
            </w:r>
          </w:p>
          <w:p w14:paraId="61738D35" w14:textId="77777777" w:rsidR="008B78A5" w:rsidRPr="00214EA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</w:p>
          <w:p w14:paraId="0EBAF113" w14:textId="77777777" w:rsidR="00214EA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Lieu d’exercice de la fonction : </w:t>
            </w:r>
            <w:r w:rsidR="00214EAC" w:rsidRPr="00214EAC">
              <w:rPr>
                <w:rFonts w:ascii="Tahoma" w:eastAsia="Tahoma" w:hAnsi="Tahoma" w:cs="Tahoma"/>
                <w:sz w:val="20"/>
              </w:rPr>
              <w:t>Siège social ; déplacements fréquents (clients, partenaires, filiales)</w:t>
            </w:r>
          </w:p>
          <w:p w14:paraId="250409C0" w14:textId="65D88643" w:rsidR="008B78A5" w:rsidRPr="00214EA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</w:p>
        </w:tc>
      </w:tr>
      <w:tr w:rsidR="00D4037C" w14:paraId="3F268F68" w14:textId="77777777">
        <w:trPr>
          <w:trHeight w:val="1410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B4D6" w14:textId="0B7E8292" w:rsidR="00214EAC" w:rsidRDefault="008B78A5" w:rsidP="00214EAC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>Missions et activités principales :</w:t>
            </w:r>
          </w:p>
          <w:p w14:paraId="379FB5B4" w14:textId="1D841D8F" w:rsidR="00214EAC" w:rsidRPr="00214EAC" w:rsidRDefault="00214EAC" w:rsidP="00214EAC">
            <w:pPr>
              <w:ind w:left="13"/>
            </w:pPr>
            <w:r>
              <w:t>-</w:t>
            </w:r>
            <w:r w:rsidRPr="00214EAC">
              <w:t xml:space="preserve"> </w:t>
            </w:r>
            <w:r w:rsidRPr="00214EAC">
              <w:rPr>
                <w:b/>
                <w:bCs/>
              </w:rPr>
              <w:t>Définition et pilotage de la stratégie</w:t>
            </w:r>
            <w:r w:rsidRPr="00214EAC">
              <w:t xml:space="preserve"> (vision, objectifs pluriannuels, allocation des ressources). </w:t>
            </w:r>
          </w:p>
          <w:p w14:paraId="050A81CD" w14:textId="5EBFA430" w:rsidR="00214EAC" w:rsidRPr="00214EAC" w:rsidRDefault="00214EAC" w:rsidP="00214EAC">
            <w:pPr>
              <w:ind w:left="13"/>
            </w:pPr>
            <w:r>
              <w:t>-</w:t>
            </w:r>
            <w:r w:rsidRPr="00214EAC">
              <w:t xml:space="preserve"> </w:t>
            </w:r>
            <w:r w:rsidRPr="00214EAC">
              <w:rPr>
                <w:b/>
                <w:bCs/>
              </w:rPr>
              <w:t>Gouvernance et conformité</w:t>
            </w:r>
            <w:r w:rsidRPr="00214EAC">
              <w:t xml:space="preserve"> : animation du COMEX, gestion des risques, conformité légale et éthique. </w:t>
            </w:r>
          </w:p>
          <w:p w14:paraId="7F224CEB" w14:textId="3E231C6A" w:rsidR="00214EAC" w:rsidRPr="00214EAC" w:rsidRDefault="00214EAC" w:rsidP="00214EAC">
            <w:pPr>
              <w:ind w:left="13"/>
            </w:pPr>
            <w:r>
              <w:t>-</w:t>
            </w:r>
            <w:r w:rsidRPr="00214EAC">
              <w:t xml:space="preserve"> </w:t>
            </w:r>
            <w:r w:rsidRPr="00214EAC">
              <w:rPr>
                <w:b/>
                <w:bCs/>
              </w:rPr>
              <w:t>Performance économique</w:t>
            </w:r>
            <w:r w:rsidRPr="00214EAC">
              <w:t xml:space="preserve"> : P&amp;L global, arbitrages budgétaires, supervision du plan d’investissement et de la trésorerie. </w:t>
            </w:r>
          </w:p>
          <w:p w14:paraId="61EDBD18" w14:textId="055136B3" w:rsidR="00214EAC" w:rsidRPr="00214EAC" w:rsidRDefault="00214EAC" w:rsidP="00214EAC">
            <w:pPr>
              <w:ind w:left="13"/>
            </w:pPr>
            <w:r>
              <w:t>-</w:t>
            </w:r>
            <w:r w:rsidRPr="00214EAC">
              <w:t xml:space="preserve"> </w:t>
            </w:r>
            <w:r w:rsidRPr="00214EAC">
              <w:rPr>
                <w:b/>
                <w:bCs/>
              </w:rPr>
              <w:t>Développement</w:t>
            </w:r>
            <w:r w:rsidRPr="00214EAC">
              <w:t xml:space="preserve"> : croissance organique et externe (M&amp;A), alliances stratégiques, expansion internationale. </w:t>
            </w:r>
          </w:p>
          <w:p w14:paraId="787C26F2" w14:textId="714430CD" w:rsidR="00214EAC" w:rsidRPr="00214EAC" w:rsidRDefault="00214EAC" w:rsidP="00214EAC">
            <w:pPr>
              <w:ind w:left="13"/>
            </w:pPr>
            <w:r>
              <w:t>-</w:t>
            </w:r>
            <w:r w:rsidRPr="00214EAC">
              <w:t xml:space="preserve"> </w:t>
            </w:r>
            <w:r w:rsidRPr="00214EAC">
              <w:rPr>
                <w:b/>
                <w:bCs/>
              </w:rPr>
              <w:t>Représentation de l’entreprise</w:t>
            </w:r>
            <w:r w:rsidRPr="00214EAC">
              <w:t xml:space="preserve"> : relations investisseurs, médias, institutions, clients grands comptes. </w:t>
            </w:r>
          </w:p>
          <w:p w14:paraId="57D995FA" w14:textId="2795D814" w:rsidR="00D4037C" w:rsidRDefault="00214EAC" w:rsidP="00214EAC">
            <w:pPr>
              <w:ind w:left="13"/>
            </w:pPr>
            <w:r>
              <w:t>-</w:t>
            </w:r>
            <w:r w:rsidRPr="00214EAC">
              <w:t xml:space="preserve"> </w:t>
            </w:r>
            <w:r w:rsidRPr="00214EAC">
              <w:rPr>
                <w:b/>
                <w:bCs/>
              </w:rPr>
              <w:t>Management des dirigeants</w:t>
            </w:r>
            <w:r w:rsidRPr="00214EAC">
              <w:t xml:space="preserve"> : fixation d’objectifs, revue de performance, succession planning, culture &amp; transformation.</w:t>
            </w:r>
          </w:p>
          <w:p w14:paraId="515B85BD" w14:textId="5EEAA6A8" w:rsidR="00D4037C" w:rsidRDefault="00D4037C">
            <w:pPr>
              <w:ind w:left="13"/>
            </w:pPr>
          </w:p>
        </w:tc>
      </w:tr>
      <w:tr w:rsidR="00D4037C" w14:paraId="67DE6D29" w14:textId="77777777" w:rsidTr="00214EAC">
        <w:trPr>
          <w:trHeight w:val="1615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7B03" w14:textId="0F63C993" w:rsidR="00D4037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Compétences requises :</w:t>
            </w:r>
          </w:p>
          <w:p w14:paraId="21CD54F5" w14:textId="77777777" w:rsidR="008B78A5" w:rsidRDefault="008B78A5" w:rsidP="00214EAC">
            <w:pPr>
              <w:ind w:left="13"/>
            </w:pPr>
          </w:p>
          <w:p w14:paraId="7659E0F2" w14:textId="5B6CE6A7" w:rsidR="00214EAC" w:rsidRDefault="00214EAC" w:rsidP="00214EAC">
            <w:pPr>
              <w:ind w:left="13"/>
            </w:pPr>
            <w:r>
              <w:t>-</w:t>
            </w:r>
            <w:r w:rsidRPr="00214EAC">
              <w:t xml:space="preserve"> </w:t>
            </w:r>
            <w:r w:rsidRPr="00214EAC">
              <w:rPr>
                <w:b/>
                <w:bCs/>
              </w:rPr>
              <w:t>Techniques :</w:t>
            </w:r>
            <w:r w:rsidRPr="00214EAC">
              <w:t xml:space="preserve"> stratégie d’entreprise, finance (lecture P&amp;L, cash-flow), M&amp;A, gouvernance,</w:t>
            </w:r>
            <w:r>
              <w:t xml:space="preserve"> </w:t>
            </w:r>
            <w:r w:rsidRPr="00214EAC">
              <w:t xml:space="preserve">droit des sociétés, pilotage de portefeuille projets. </w:t>
            </w:r>
          </w:p>
          <w:p w14:paraId="200F4A97" w14:textId="77777777" w:rsidR="008B78A5" w:rsidRPr="00214EAC" w:rsidRDefault="008B78A5" w:rsidP="00214EAC">
            <w:pPr>
              <w:ind w:left="13"/>
            </w:pPr>
          </w:p>
          <w:p w14:paraId="62437E74" w14:textId="77777777" w:rsidR="00D4037C" w:rsidRDefault="00214EAC" w:rsidP="00214EAC">
            <w:pPr>
              <w:ind w:left="13"/>
            </w:pPr>
            <w:r>
              <w:t>-</w:t>
            </w:r>
            <w:r w:rsidRPr="00214EAC">
              <w:t xml:space="preserve"> </w:t>
            </w:r>
            <w:r w:rsidRPr="00214EAC">
              <w:rPr>
                <w:b/>
                <w:bCs/>
              </w:rPr>
              <w:t>Douces / personnelles :</w:t>
            </w:r>
            <w:r w:rsidRPr="00214EAC">
              <w:t xml:space="preserve"> leadership, vision, influence, communication exécutive, prise de décision en incertitude, éthique, résilience, sens politique.</w:t>
            </w:r>
          </w:p>
          <w:p w14:paraId="13CE2E99" w14:textId="0238B82A" w:rsidR="008B78A5" w:rsidRDefault="008B78A5" w:rsidP="00214EAC">
            <w:pPr>
              <w:ind w:left="13"/>
            </w:pPr>
          </w:p>
        </w:tc>
      </w:tr>
      <w:tr w:rsidR="00D4037C" w14:paraId="7AFA2646" w14:textId="77777777">
        <w:trPr>
          <w:trHeight w:val="1169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687B0" w14:textId="6E507109" w:rsidR="00214EAC" w:rsidRPr="00214EA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Conditions de travail :</w:t>
            </w:r>
          </w:p>
          <w:p w14:paraId="0466829B" w14:textId="49C1EF16" w:rsidR="00214EAC" w:rsidRPr="00214EAC" w:rsidRDefault="00214EAC" w:rsidP="00214EAC">
            <w:pPr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19"/>
              </w:rPr>
              <w:t>-</w:t>
            </w:r>
            <w:r w:rsidRPr="00214EAC">
              <w:rPr>
                <w:rFonts w:ascii="Tahoma" w:eastAsia="Tahoma" w:hAnsi="Tahoma" w:cs="Tahoma"/>
                <w:sz w:val="19"/>
              </w:rPr>
              <w:t xml:space="preserve"> Horaires étendus, forte disponibilité ; </w:t>
            </w:r>
            <w:r w:rsidRPr="00214EAC">
              <w:rPr>
                <w:rFonts w:ascii="Tahoma" w:eastAsia="Tahoma" w:hAnsi="Tahoma" w:cs="Tahoma"/>
                <w:b/>
                <w:bCs/>
                <w:sz w:val="19"/>
              </w:rPr>
              <w:t>déplacements fréquents</w:t>
            </w:r>
            <w:r w:rsidRPr="00214EAC">
              <w:rPr>
                <w:rFonts w:ascii="Tahoma" w:eastAsia="Tahoma" w:hAnsi="Tahoma" w:cs="Tahoma"/>
                <w:sz w:val="19"/>
              </w:rPr>
              <w:t xml:space="preserve"> en France/étranger ; forte exposition médiatique et à haute pression décisionnelle. </w:t>
            </w:r>
          </w:p>
          <w:p w14:paraId="569898CC" w14:textId="3C39CF3C" w:rsidR="00D4037C" w:rsidRPr="00214EAC" w:rsidRDefault="00214EAC" w:rsidP="00214EAC">
            <w:pPr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19"/>
              </w:rPr>
              <w:t>-</w:t>
            </w:r>
            <w:r w:rsidRPr="00214EAC">
              <w:rPr>
                <w:rFonts w:ascii="Tahoma" w:eastAsia="Tahoma" w:hAnsi="Tahoma" w:cs="Tahoma"/>
                <w:sz w:val="19"/>
              </w:rPr>
              <w:t xml:space="preserve"> </w:t>
            </w:r>
            <w:r w:rsidRPr="00214EAC">
              <w:rPr>
                <w:rFonts w:ascii="Tahoma" w:eastAsia="Tahoma" w:hAnsi="Tahoma" w:cs="Tahoma"/>
                <w:b/>
                <w:bCs/>
                <w:sz w:val="19"/>
              </w:rPr>
              <w:t>Contre</w:t>
            </w:r>
            <w:r w:rsidRPr="00214EAC">
              <w:rPr>
                <w:rFonts w:ascii="Tahoma" w:eastAsia="Tahoma" w:hAnsi="Tahoma" w:cs="Tahoma"/>
                <w:b/>
                <w:bCs/>
                <w:sz w:val="19"/>
              </w:rPr>
              <w:noBreakHyphen/>
              <w:t>indications éventuelles :</w:t>
            </w:r>
            <w:r w:rsidRPr="00214EAC">
              <w:rPr>
                <w:rFonts w:ascii="Tahoma" w:eastAsia="Tahoma" w:hAnsi="Tahoma" w:cs="Tahoma"/>
                <w:sz w:val="19"/>
              </w:rPr>
              <w:t xml:space="preserve"> incompatibilité avec des restrictions majeures de déplacements prolongés.</w:t>
            </w:r>
          </w:p>
          <w:p w14:paraId="372AAB4B" w14:textId="454D828D" w:rsidR="00D4037C" w:rsidRDefault="00D4037C" w:rsidP="00214EAC"/>
        </w:tc>
      </w:tr>
      <w:tr w:rsidR="00D4037C" w14:paraId="339B1F78" w14:textId="77777777">
        <w:trPr>
          <w:trHeight w:val="1193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8426" w14:textId="1F0D6B0B" w:rsidR="00214EAC" w:rsidRPr="00214EAC" w:rsidRDefault="008B78A5" w:rsidP="00214EAC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Conditions d’exercice :</w:t>
            </w:r>
          </w:p>
          <w:p w14:paraId="053A66A7" w14:textId="2F5E1189" w:rsidR="00214EAC" w:rsidRPr="00214EAC" w:rsidRDefault="00214EAC" w:rsidP="00214EAC">
            <w:pPr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19"/>
              </w:rPr>
              <w:t>-</w:t>
            </w:r>
            <w:r w:rsidRPr="00214EAC">
              <w:rPr>
                <w:rFonts w:ascii="Tahoma" w:eastAsia="Tahoma" w:hAnsi="Tahoma" w:cs="Tahoma"/>
                <w:sz w:val="19"/>
              </w:rPr>
              <w:t xml:space="preserve"> </w:t>
            </w:r>
            <w:r w:rsidRPr="00214EAC">
              <w:rPr>
                <w:rFonts w:ascii="Tahoma" w:eastAsia="Tahoma" w:hAnsi="Tahoma" w:cs="Tahoma"/>
                <w:b/>
                <w:bCs/>
                <w:sz w:val="19"/>
              </w:rPr>
              <w:t>Délégation de signature</w:t>
            </w:r>
            <w:r w:rsidRPr="00214EAC">
              <w:rPr>
                <w:rFonts w:ascii="Tahoma" w:eastAsia="Tahoma" w:hAnsi="Tahoma" w:cs="Tahoma"/>
                <w:sz w:val="19"/>
              </w:rPr>
              <w:t xml:space="preserve"> : oui (contrats majeurs, bancaires, juridiques). </w:t>
            </w:r>
          </w:p>
          <w:p w14:paraId="2C80CB4B" w14:textId="362C738D" w:rsidR="00214EAC" w:rsidRPr="00214EAC" w:rsidRDefault="00214EAC" w:rsidP="00214EAC">
            <w:pPr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19"/>
              </w:rPr>
              <w:t>-</w:t>
            </w:r>
            <w:r w:rsidRPr="00214EAC">
              <w:rPr>
                <w:rFonts w:ascii="Tahoma" w:eastAsia="Tahoma" w:hAnsi="Tahoma" w:cs="Tahoma"/>
                <w:sz w:val="19"/>
              </w:rPr>
              <w:t xml:space="preserve"> </w:t>
            </w:r>
            <w:r w:rsidRPr="00214EAC">
              <w:rPr>
                <w:rFonts w:ascii="Tahoma" w:eastAsia="Tahoma" w:hAnsi="Tahoma" w:cs="Tahoma"/>
                <w:b/>
                <w:bCs/>
                <w:sz w:val="19"/>
              </w:rPr>
              <w:t>Habilitations</w:t>
            </w:r>
            <w:r w:rsidRPr="00214EAC">
              <w:rPr>
                <w:rFonts w:ascii="Tahoma" w:eastAsia="Tahoma" w:hAnsi="Tahoma" w:cs="Tahoma"/>
                <w:sz w:val="19"/>
              </w:rPr>
              <w:t xml:space="preserve"> : accès à l’information sensible/stratégique ; clauses de confidentialité renforcées. </w:t>
            </w:r>
          </w:p>
          <w:p w14:paraId="07D237B3" w14:textId="7F18AAB4" w:rsidR="00D4037C" w:rsidRPr="00214EAC" w:rsidRDefault="00214EAC" w:rsidP="00214EAC">
            <w:pPr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19"/>
              </w:rPr>
              <w:t>-</w:t>
            </w:r>
            <w:r w:rsidRPr="00214EAC">
              <w:rPr>
                <w:rFonts w:ascii="Tahoma" w:eastAsia="Tahoma" w:hAnsi="Tahoma" w:cs="Tahoma"/>
                <w:sz w:val="19"/>
              </w:rPr>
              <w:t xml:space="preserve"> </w:t>
            </w:r>
            <w:r w:rsidRPr="00214EAC">
              <w:rPr>
                <w:rFonts w:ascii="Tahoma" w:eastAsia="Tahoma" w:hAnsi="Tahoma" w:cs="Tahoma"/>
                <w:b/>
                <w:bCs/>
                <w:sz w:val="19"/>
              </w:rPr>
              <w:t>Formations obligatoires</w:t>
            </w:r>
            <w:r w:rsidRPr="00214EAC">
              <w:rPr>
                <w:rFonts w:ascii="Tahoma" w:eastAsia="Tahoma" w:hAnsi="Tahoma" w:cs="Tahoma"/>
                <w:sz w:val="19"/>
              </w:rPr>
              <w:t xml:space="preserve"> : conformité, anticorruption, RGPD</w:t>
            </w:r>
            <w:r w:rsidR="00512FEF">
              <w:rPr>
                <w:rFonts w:ascii="Tahoma" w:eastAsia="Tahoma" w:hAnsi="Tahoma" w:cs="Tahoma"/>
                <w:sz w:val="19"/>
              </w:rPr>
              <w:t xml:space="preserve">, </w:t>
            </w:r>
            <w:r w:rsidRPr="00214EAC">
              <w:rPr>
                <w:rFonts w:ascii="Tahoma" w:eastAsia="Tahoma" w:hAnsi="Tahoma" w:cs="Tahoma"/>
                <w:sz w:val="19"/>
              </w:rPr>
              <w:t>sécurité économique.</w:t>
            </w:r>
          </w:p>
          <w:p w14:paraId="26AF7152" w14:textId="3B4DAA16" w:rsidR="00D4037C" w:rsidRDefault="00D4037C" w:rsidP="00214EAC"/>
        </w:tc>
      </w:tr>
      <w:tr w:rsidR="00D4037C" w14:paraId="6F8BA1F9" w14:textId="77777777">
        <w:trPr>
          <w:trHeight w:val="1894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9261" w14:textId="77777777" w:rsidR="008B78A5" w:rsidRDefault="008B78A5">
            <w:pPr>
              <w:spacing w:line="237" w:lineRule="auto"/>
              <w:ind w:left="13" w:right="7758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Mobilité :</w:t>
            </w:r>
          </w:p>
          <w:p w14:paraId="61131FC6" w14:textId="10C6A062" w:rsidR="00D4037C" w:rsidRDefault="008B78A5" w:rsidP="008B78A5">
            <w:pPr>
              <w:spacing w:line="237" w:lineRule="auto"/>
              <w:ind w:left="13" w:right="7758"/>
            </w:pPr>
            <w:r w:rsidRPr="008B78A5">
              <w:rPr>
                <w:rFonts w:ascii="Tahoma" w:eastAsia="Tahoma" w:hAnsi="Tahoma" w:cs="Tahoma"/>
                <w:sz w:val="20"/>
              </w:rPr>
              <w:t>-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r w:rsidRPr="008B78A5">
              <w:rPr>
                <w:rFonts w:ascii="Tahoma" w:eastAsia="Tahoma" w:hAnsi="Tahoma" w:cs="Tahoma"/>
                <w:sz w:val="20"/>
              </w:rPr>
              <w:t>Passerelles :</w:t>
            </w:r>
          </w:p>
          <w:p w14:paraId="43A23850" w14:textId="615299C2" w:rsidR="00D4037C" w:rsidRDefault="008B78A5" w:rsidP="008B78A5">
            <w:pPr>
              <w:rPr>
                <w:rFonts w:ascii="Tahoma" w:eastAsia="Tahoma" w:hAnsi="Tahoma" w:cs="Tahoma"/>
                <w:sz w:val="19"/>
              </w:rPr>
            </w:pPr>
            <w:r w:rsidRPr="008B78A5">
              <w:rPr>
                <w:rFonts w:ascii="Tahoma" w:eastAsia="Tahoma" w:hAnsi="Tahoma" w:cs="Tahoma"/>
                <w:sz w:val="19"/>
              </w:rPr>
              <w:t>Ex</w:t>
            </w:r>
            <w:r w:rsidRPr="008B78A5">
              <w:rPr>
                <w:rFonts w:ascii="Tahoma" w:eastAsia="Tahoma" w:hAnsi="Tahoma" w:cs="Tahoma"/>
                <w:sz w:val="19"/>
              </w:rPr>
              <w:noBreakHyphen/>
              <w:t>DG de BU, ex</w:t>
            </w:r>
            <w:r w:rsidRPr="008B78A5">
              <w:rPr>
                <w:rFonts w:ascii="Tahoma" w:eastAsia="Tahoma" w:hAnsi="Tahoma" w:cs="Tahoma"/>
                <w:sz w:val="19"/>
              </w:rPr>
              <w:noBreakHyphen/>
              <w:t>DAF, ex</w:t>
            </w:r>
            <w:r w:rsidRPr="008B78A5">
              <w:rPr>
                <w:rFonts w:ascii="Tahoma" w:eastAsia="Tahoma" w:hAnsi="Tahoma" w:cs="Tahoma"/>
                <w:sz w:val="19"/>
              </w:rPr>
              <w:noBreakHyphen/>
              <w:t>Directeur Stratégie/Transformation.</w:t>
            </w:r>
          </w:p>
          <w:p w14:paraId="41442E67" w14:textId="77777777" w:rsidR="008B78A5" w:rsidRPr="008B78A5" w:rsidRDefault="008B78A5" w:rsidP="008B78A5">
            <w:pPr>
              <w:rPr>
                <w:rFonts w:ascii="Tahoma" w:eastAsia="Tahoma" w:hAnsi="Tahoma" w:cs="Tahoma"/>
                <w:sz w:val="19"/>
              </w:rPr>
            </w:pPr>
          </w:p>
          <w:p w14:paraId="415721A4" w14:textId="77777777" w:rsidR="00D4037C" w:rsidRDefault="008B78A5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- Perspectives d’évolution : </w:t>
            </w:r>
          </w:p>
          <w:p w14:paraId="4392B499" w14:textId="2F0398E2" w:rsidR="00D4037C" w:rsidRPr="008B78A5" w:rsidRDefault="008B78A5" w:rsidP="008B78A5">
            <w:pPr>
              <w:rPr>
                <w:rFonts w:ascii="Tahoma" w:eastAsia="Tahoma" w:hAnsi="Tahoma" w:cs="Tahoma"/>
                <w:sz w:val="19"/>
              </w:rPr>
            </w:pPr>
            <w:r w:rsidRPr="008B78A5">
              <w:rPr>
                <w:rFonts w:ascii="Tahoma" w:eastAsia="Tahoma" w:hAnsi="Tahoma" w:cs="Tahoma"/>
                <w:sz w:val="19"/>
              </w:rPr>
              <w:t>Présidence du Conseil, mandats externes (administrateur indépendant).</w:t>
            </w:r>
          </w:p>
          <w:p w14:paraId="6E272A38" w14:textId="6FB50C4B" w:rsidR="00D4037C" w:rsidRDefault="00D4037C" w:rsidP="008B78A5"/>
        </w:tc>
      </w:tr>
    </w:tbl>
    <w:p w14:paraId="5AD1C292" w14:textId="77777777" w:rsidR="00D4037C" w:rsidRDefault="008B78A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1FF9FAD" w14:textId="2BFDB4C9" w:rsidR="00D4037C" w:rsidRPr="008B78A5" w:rsidRDefault="008B78A5" w:rsidP="008B78A5">
      <w:pPr>
        <w:spacing w:after="0"/>
        <w:ind w:left="25"/>
        <w:jc w:val="center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Date de mise à jour : </w:t>
      </w:r>
      <w:r w:rsidRPr="008B78A5">
        <w:rPr>
          <w:rFonts w:ascii="Tahoma" w:eastAsia="Tahoma" w:hAnsi="Tahoma" w:cs="Tahoma"/>
          <w:sz w:val="20"/>
        </w:rPr>
        <w:t>14/01/2026</w:t>
      </w:r>
    </w:p>
    <w:sectPr w:rsidR="00D4037C" w:rsidRPr="008B78A5">
      <w:pgSz w:w="11904" w:h="16840"/>
      <w:pgMar w:top="498" w:right="1440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1A04"/>
    <w:multiLevelType w:val="hybridMultilevel"/>
    <w:tmpl w:val="A50AEB04"/>
    <w:lvl w:ilvl="0" w:tplc="89947E7C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7CFD9E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6E8D9FE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554CE9A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E3CEECC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EE202F6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95AC73E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41EF696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3F25854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FF726A"/>
    <w:multiLevelType w:val="hybridMultilevel"/>
    <w:tmpl w:val="2E1E8114"/>
    <w:lvl w:ilvl="0" w:tplc="5680C29E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2D656AC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E320AA4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D24E710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9DC9356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5083C66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7F24070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620D058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AE0A4BA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F4407F"/>
    <w:multiLevelType w:val="hybridMultilevel"/>
    <w:tmpl w:val="BA3AE616"/>
    <w:lvl w:ilvl="0" w:tplc="469095F0">
      <w:numFmt w:val="bullet"/>
      <w:lvlText w:val="-"/>
      <w:lvlJc w:val="left"/>
      <w:pPr>
        <w:ind w:left="373" w:hanging="360"/>
      </w:pPr>
      <w:rPr>
        <w:rFonts w:ascii="Tahoma" w:eastAsia="Tahoma" w:hAnsi="Tahoma" w:cs="Tahom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num w:numId="1" w16cid:durableId="1319264759">
    <w:abstractNumId w:val="0"/>
  </w:num>
  <w:num w:numId="2" w16cid:durableId="1880700730">
    <w:abstractNumId w:val="1"/>
  </w:num>
  <w:num w:numId="3" w16cid:durableId="1129973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37C"/>
    <w:rsid w:val="00214EAC"/>
    <w:rsid w:val="00512FEF"/>
    <w:rsid w:val="008B78A5"/>
    <w:rsid w:val="009062C8"/>
    <w:rsid w:val="00D1678D"/>
    <w:rsid w:val="00D4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40350"/>
  <w15:docId w15:val="{DF8AC812-F942-40DA-A171-2B52FF3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8B78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Modèle 1 fiche poste.doc</vt:lpstr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Modèle 1 fiche poste.doc</dc:title>
  <dc:subject/>
  <dc:creator>D.LEPESTIPON</dc:creator>
  <cp:keywords/>
  <cp:lastModifiedBy>Nathanaël VILLARD</cp:lastModifiedBy>
  <cp:revision>3</cp:revision>
  <dcterms:created xsi:type="dcterms:W3CDTF">2026-01-14T10:06:00Z</dcterms:created>
  <dcterms:modified xsi:type="dcterms:W3CDTF">2026-01-14T10:43:00Z</dcterms:modified>
</cp:coreProperties>
</file>