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1C5266"/>
          <w:sz w:val="64"/>
          <w:szCs w:val="64"/>
        </w:rPr>
        <w:t xml:space="preserve">Fly GACA</w:t>
      </w:r>
    </w:p>
    <w:p>
      <w:pPr>
        <w:bidi/>
        <w:spacing w:after="60"/>
        <w:jc w:val="center"/>
      </w:pPr>
      <w:r>
        <w:rPr>
          <w:rFonts w:ascii="Arial" w:cs="Arial" w:eastAsia="Arial" w:hAnsi="Arial"/>
          <w:color w:val="44515C"/>
          <w:sz w:val="24"/>
          <w:szCs w:val="24"/>
          <w:rtl/>
        </w:rPr>
        <w:t xml:space="preserve">مكتبة الطيران المدني السعودي التنظيمية · ومساعد كابتن عادل الذكي</w:t>
      </w:r>
    </w:p>
    <w:p>
      <w:pPr>
        <w:bidi/>
        <w:spacing w:after="40" w:before="480"/>
        <w:jc w:val="center"/>
      </w:pPr>
      <w:r>
        <w:rPr>
          <w:rFonts w:ascii="Arial" w:cs="Arial" w:eastAsia="Arial" w:hAnsi="Arial"/>
          <w:b/>
          <w:bCs/>
          <w:color w:val="16212C"/>
          <w:sz w:val="40"/>
          <w:szCs w:val="40"/>
          <w:rtl/>
        </w:rPr>
        <w:t xml:space="preserve">دراسة جدوى وتوقعات دخل</w:t>
      </w:r>
    </w:p>
    <w:p>
      <w:pPr>
        <w:bidi/>
        <w:spacing w:after="40"/>
        <w:jc w:val="center"/>
      </w:pPr>
      <w:r>
        <w:rPr>
          <w:rFonts w:ascii="Arial" w:cs="Arial" w:eastAsia="Arial" w:hAnsi="Arial"/>
          <w:color w:val="44515C"/>
          <w:sz w:val="22"/>
          <w:szCs w:val="22"/>
          <w:rtl/>
        </w:rPr>
        <w:t xml:space="preserve">نبذة تعريفية · شرح الفكرة · تحليل السوق · النموذج المالي</w:t>
      </w:r>
    </w:p>
    <w:p>
      <w:pPr>
        <w:bidi/>
        <w:spacing w:after="30" w:before="520"/>
        <w:jc w:val="center"/>
      </w:pPr>
      <w:r>
        <w:rPr>
          <w:rFonts w:ascii="Arial" w:cs="Arial" w:eastAsia="Arial" w:hAnsi="Arial"/>
          <w:b/>
          <w:bCs/>
          <w:color w:val="9A7623"/>
          <w:sz w:val="22"/>
          <w:szCs w:val="22"/>
          <w:rtl/>
        </w:rPr>
        <w:t xml:space="preserve">وثيقة عرض على مستثمر محتمل — جولة بذرة (Seed)</w:t>
      </w:r>
    </w:p>
    <w:p>
      <w:pPr>
        <w:bidi/>
        <w:spacing w:after="30"/>
        <w:jc w:val="center"/>
      </w:pPr>
      <w:r>
        <w:rPr>
          <w:rFonts w:ascii="Arial" w:cs="Arial" w:eastAsia="Arial" w:hAnsi="Arial"/>
          <w:color w:val="44515C"/>
          <w:sz w:val="20"/>
          <w:szCs w:val="20"/>
          <w:rtl/>
        </w:rPr>
        <w:t xml:space="preserve">يوليو 2026 · سرّي</w:t>
      </w:r>
    </w:p>
    <w:p>
      <w:pPr>
        <w:bidi/>
        <w:spacing w:before="900"/>
        <w:jc w:val="center"/>
      </w:pPr>
      <w:r>
        <w:rPr>
          <w:rFonts w:ascii="Arial" w:cs="Arial" w:eastAsia="Arial" w:hAnsi="Arial"/>
          <w:i/>
          <w:iCs/>
          <w:color w:val="44515C"/>
          <w:sz w:val="18"/>
          <w:szCs w:val="18"/>
          <w:rtl/>
        </w:rPr>
        <w:t xml:space="preserve">Fly GACA منصّة تعليمية مستقلة وغير تابعة للهيئة العامة للطيران المدني (GACA).</w:t>
      </w:r>
    </w:p>
    <w:p>
      <w:r>
        <w:br w:type="page"/>
      </w:r>
    </w:p>
    <w:p>
      <w:pPr>
        <w:pStyle w:val="Heading1"/>
        <w:pBdr>
          <w:bottom w:val="single" w:color="2D6E8A" w:sz="8"/>
        </w:pBdr>
        <w:bidi/>
        <w:spacing w:after="140" w:before="320"/>
        <w:jc w:val="right"/>
      </w:pPr>
      <w:r>
        <w:rPr>
          <w:rFonts w:ascii="Arial" w:cs="Arial" w:eastAsia="Arial" w:hAnsi="Arial"/>
          <w:b/>
          <w:bCs/>
          <w:color w:val="1C5266"/>
          <w:sz w:val="30"/>
          <w:szCs w:val="30"/>
          <w:rtl/>
        </w:rPr>
        <w:t xml:space="preserve">١. الملخص التنفيذي</w:t>
      </w:r>
    </w:p>
    <w:p>
      <w:pPr>
        <w:bidi/>
        <w:spacing w:after="120" w:before="0" w:line="276"/>
        <w:jc w:val="right"/>
      </w:pPr>
      <w:r>
        <w:rPr>
          <w:rFonts w:ascii="Arial" w:cs="Arial" w:eastAsia="Arial" w:hAnsi="Arial"/>
          <w:b/>
          <w:bCs/>
          <w:i w:val="false"/>
          <w:iCs w:val="false"/>
          <w:color w:val="16212C"/>
          <w:sz w:val="22"/>
          <w:szCs w:val="22"/>
          <w:rtl/>
        </w:rPr>
        <w:t xml:space="preserve">Fly GACA </w:t>
      </w:r>
      <w:r>
        <w:rPr>
          <w:rFonts w:ascii="Arial" w:cs="Arial" w:eastAsia="Arial" w:hAnsi="Arial"/>
          <w:b w:val="false"/>
          <w:bCs w:val="false"/>
          <w:i w:val="false"/>
          <w:iCs w:val="false"/>
          <w:color w:val="16212C"/>
          <w:sz w:val="22"/>
          <w:szCs w:val="22"/>
          <w:rtl/>
        </w:rPr>
        <w:t xml:space="preserve">منصّة تعليمية سعودية مستقلة ومكتبة تنظيمية مفتوحة للطيران المدني — تجمع كل نظام GACAR ووثائق الطيران في مرجع واحد قابل للبحث، بالعربية والإنجليزية، مع مساعد ذكي («كابتن عادل») يجيب ويستشهد بالمادة والفقرة الدقيقة. المنتج مبنيّ بالكامل ومطلق في الإنتاج.</w:t>
      </w:r>
    </w:p>
    <w:p>
      <w:pPr>
        <w:bidi/>
        <w:spacing w:after="120" w:before="0" w:line="276"/>
        <w:jc w:val="right"/>
      </w:pPr>
      <w:r>
        <w:rPr>
          <w:rFonts w:ascii="Arial" w:cs="Arial" w:eastAsia="Arial" w:hAnsi="Arial"/>
          <w:b w:val="false"/>
          <w:bCs w:val="false"/>
          <w:i w:val="false"/>
          <w:iCs w:val="false"/>
          <w:color w:val="16212C"/>
          <w:sz w:val="22"/>
          <w:szCs w:val="22"/>
          <w:rtl/>
        </w:rPr>
        <w:t xml:space="preserve">نحن اليوم في مرحلة ما قبل الإيراد عمداً: الجدران المدفوعة مفتوحة لبناء قاعدة مستخدمين وثقة السوق، بينما البنية التجارية (اشتراكات Stripe، مقاعد المؤسسات، حزم التحضير) مبنية وموصولة وجاهزة للتفعيل. نبحث عن شريك بذرة لتحويل هذه القاعدة إلى محرّك إيراد مستدام عبر الأفراد ومدارس الطيران.</w:t>
      </w:r>
    </w:p>
    <w:p>
      <w:pPr>
        <w:pStyle w:val="Heading2"/>
        <w:bidi/>
        <w:spacing w:after="100" w:before="220"/>
        <w:jc w:val="right"/>
      </w:pPr>
      <w:r>
        <w:rPr>
          <w:rFonts w:ascii="Arial" w:cs="Arial" w:eastAsia="Arial" w:hAnsi="Arial"/>
          <w:b/>
          <w:bCs/>
          <w:color w:val="2D6E8A"/>
          <w:sz w:val="24"/>
          <w:szCs w:val="24"/>
          <w:rtl/>
        </w:rPr>
        <w:t xml:space="preserve">أبرز النقاط</w:t>
      </w:r>
    </w:p>
    <w:p>
      <w:pPr>
        <w:pStyle w:val="ListParagraph"/>
        <w:numPr>
          <w:ilvl w:val="0"/>
          <w:numId w:val="2"/>
        </w:numPr>
        <w:bidi/>
        <w:spacing w:after="70" w:line="270"/>
        <w:jc w:val="right"/>
      </w:pPr>
      <w:r>
        <w:rPr>
          <w:rFonts w:ascii="Arial" w:cs="Arial" w:eastAsia="Arial" w:hAnsi="Arial"/>
          <w:b/>
          <w:bCs/>
          <w:i w:val="false"/>
          <w:iCs w:val="false"/>
          <w:color w:val="16212C"/>
          <w:sz w:val="22"/>
          <w:szCs w:val="22"/>
          <w:rtl/>
        </w:rPr>
        <w:t xml:space="preserve">منتج مكتمل: </w:t>
      </w:r>
      <w:r>
        <w:rPr>
          <w:rFonts w:ascii="Arial" w:cs="Arial" w:eastAsia="Arial" w:hAnsi="Arial"/>
          <w:b w:val="false"/>
          <w:bCs w:val="false"/>
          <w:i w:val="false"/>
          <w:iCs w:val="false"/>
          <w:color w:val="16212C"/>
          <w:sz w:val="22"/>
          <w:szCs w:val="22"/>
          <w:rtl/>
        </w:rPr>
        <w:t xml:space="preserve">مكتبة بـ 74 نظام GACAR و205 وثيقة مرجعية عالمية و46,369 مدخل بحث، و55 أداة طيران حيّة، ومساعد RAG، ومركز دراسة كامل.</w:t>
      </w:r>
    </w:p>
    <w:p>
      <w:pPr>
        <w:pStyle w:val="ListParagraph"/>
        <w:numPr>
          <w:ilvl w:val="0"/>
          <w:numId w:val="2"/>
        </w:numPr>
        <w:bidi/>
        <w:spacing w:after="70" w:line="270"/>
        <w:jc w:val="right"/>
      </w:pPr>
      <w:r>
        <w:rPr>
          <w:rFonts w:ascii="Arial" w:cs="Arial" w:eastAsia="Arial" w:hAnsi="Arial"/>
          <w:b/>
          <w:bCs/>
          <w:i w:val="false"/>
          <w:iCs w:val="false"/>
          <w:color w:val="16212C"/>
          <w:sz w:val="22"/>
          <w:szCs w:val="22"/>
          <w:rtl/>
        </w:rPr>
        <w:t xml:space="preserve">سوق يتوسّع: </w:t>
      </w:r>
      <w:r>
        <w:rPr>
          <w:rFonts w:ascii="Arial" w:cs="Arial" w:eastAsia="Arial" w:hAnsi="Arial"/>
          <w:b w:val="false"/>
          <w:bCs w:val="false"/>
          <w:i w:val="false"/>
          <w:iCs w:val="false"/>
          <w:color w:val="16212C"/>
          <w:sz w:val="22"/>
          <w:szCs w:val="22"/>
          <w:rtl/>
        </w:rPr>
        <w:t xml:space="preserve">قطاع الطيران السعودي في نموّ متسارع ضمن رؤية 2030 — طلب متصاعد على الطيّارين والتدريب.</w:t>
      </w:r>
    </w:p>
    <w:p>
      <w:pPr>
        <w:pStyle w:val="ListParagraph"/>
        <w:numPr>
          <w:ilvl w:val="0"/>
          <w:numId w:val="2"/>
        </w:numPr>
        <w:bidi/>
        <w:spacing w:after="70" w:line="270"/>
        <w:jc w:val="right"/>
      </w:pPr>
      <w:r>
        <w:rPr>
          <w:rFonts w:ascii="Arial" w:cs="Arial" w:eastAsia="Arial" w:hAnsi="Arial"/>
          <w:b/>
          <w:bCs/>
          <w:i w:val="false"/>
          <w:iCs w:val="false"/>
          <w:color w:val="16212C"/>
          <w:sz w:val="22"/>
          <w:szCs w:val="22"/>
          <w:rtl/>
        </w:rPr>
        <w:t xml:space="preserve">حاجز تنافسي: </w:t>
      </w:r>
      <w:r>
        <w:rPr>
          <w:rFonts w:ascii="Arial" w:cs="Arial" w:eastAsia="Arial" w:hAnsi="Arial"/>
          <w:b w:val="false"/>
          <w:bCs w:val="false"/>
          <w:i w:val="false"/>
          <w:iCs w:val="false"/>
          <w:color w:val="16212C"/>
          <w:sz w:val="22"/>
          <w:szCs w:val="22"/>
          <w:rtl/>
        </w:rPr>
        <w:t xml:space="preserve">الكوربوس السعودي المنظّم ثنائي اللغة + الاستشهاد بالمصدر — لا يملكه منافس اليوم.</w:t>
      </w:r>
    </w:p>
    <w:p>
      <w:pPr>
        <w:pStyle w:val="ListParagraph"/>
        <w:numPr>
          <w:ilvl w:val="0"/>
          <w:numId w:val="2"/>
        </w:numPr>
        <w:bidi/>
        <w:spacing w:after="70" w:line="270"/>
        <w:jc w:val="right"/>
      </w:pPr>
      <w:r>
        <w:rPr>
          <w:rFonts w:ascii="Arial" w:cs="Arial" w:eastAsia="Arial" w:hAnsi="Arial"/>
          <w:b/>
          <w:bCs/>
          <w:i w:val="false"/>
          <w:iCs w:val="false"/>
          <w:color w:val="16212C"/>
          <w:sz w:val="22"/>
          <w:szCs w:val="22"/>
          <w:rtl/>
        </w:rPr>
        <w:t xml:space="preserve">اقتصاديّات جذّابة: </w:t>
      </w:r>
      <w:r>
        <w:rPr>
          <w:rFonts w:ascii="Arial" w:cs="Arial" w:eastAsia="Arial" w:hAnsi="Arial"/>
          <w:b w:val="false"/>
          <w:bCs w:val="false"/>
          <w:i w:val="false"/>
          <w:iCs w:val="false"/>
          <w:color w:val="16212C"/>
          <w:sz w:val="22"/>
          <w:szCs w:val="22"/>
          <w:rtl/>
        </w:rPr>
        <w:t xml:space="preserve">هامش إجمالي تقديري 85–90٪، وتكلفة اكتساب منخفضة، وإيراد متكرّر.</w:t>
      </w:r>
    </w:p>
    <w:p>
      <w:pPr>
        <w:pStyle w:val="ListParagraph"/>
        <w:numPr>
          <w:ilvl w:val="0"/>
          <w:numId w:val="2"/>
        </w:numPr>
        <w:bidi/>
        <w:spacing w:after="70" w:line="270"/>
        <w:jc w:val="right"/>
      </w:pPr>
      <w:r>
        <w:rPr>
          <w:rFonts w:ascii="Arial" w:cs="Arial" w:eastAsia="Arial" w:hAnsi="Arial"/>
          <w:b/>
          <w:bCs/>
          <w:i w:val="false"/>
          <w:iCs w:val="false"/>
          <w:color w:val="16212C"/>
          <w:sz w:val="22"/>
          <w:szCs w:val="22"/>
          <w:rtl/>
        </w:rPr>
        <w:t xml:space="preserve">الطلب: </w:t>
      </w:r>
      <w:r>
        <w:rPr>
          <w:rFonts w:ascii="Arial" w:cs="Arial" w:eastAsia="Arial" w:hAnsi="Arial"/>
          <w:b w:val="false"/>
          <w:bCs w:val="false"/>
          <w:i w:val="false"/>
          <w:iCs w:val="false"/>
          <w:color w:val="16212C"/>
          <w:sz w:val="22"/>
          <w:szCs w:val="22"/>
          <w:rtl/>
        </w:rPr>
        <w:t xml:space="preserve">جولة بذرة بقيمة 2,000,000 ﷼ لتفعيل النمو، إطلاق التطبيق الأصلي، وبناء خط مبيعات B2B.</w:t>
      </w:r>
    </w:p>
    <w:p>
      <w:pPr>
        <w:bidi/>
        <w:spacing w:after="60" w:before="0" w:line="276"/>
        <w:jc w:val="right"/>
      </w:pPr>
      <w:r>
        <w:rPr>
          <w:rFonts w:ascii="Arial" w:cs="Arial" w:eastAsia="Arial" w:hAnsi="Arial"/>
          <w:b/>
          <w:bCs/>
          <w:i w:val="false"/>
          <w:iCs w:val="false"/>
          <w:color w:val="B1442B"/>
          <w:sz w:val="22"/>
          <w:szCs w:val="22"/>
          <w:rtl/>
        </w:rPr>
        <w:t xml:space="preserve">ملاحظة: </w:t>
      </w:r>
      <w:r>
        <w:rPr>
          <w:rFonts w:ascii="Arial" w:cs="Arial" w:eastAsia="Arial" w:hAnsi="Arial"/>
          <w:b w:val="false"/>
          <w:bCs w:val="false"/>
          <w:i w:val="false"/>
          <w:iCs w:val="false"/>
          <w:color w:val="16212C"/>
          <w:sz w:val="22"/>
          <w:szCs w:val="22"/>
          <w:rtl/>
        </w:rPr>
        <w:t xml:space="preserve">جميع الأرقام المالية المستقبلية في هذه الوثيقة نموذج قائم على افتراضات معلنة لأغراض التقييم، وليست إيراداً محقّقاً؛ بينما الأسعار الحالية فعليّة من المنتج.</w:t>
      </w:r>
    </w:p>
    <w:p>
      <w:pPr>
        <w:pStyle w:val="Heading1"/>
        <w:pBdr>
          <w:bottom w:val="single" w:color="2D6E8A" w:sz="8"/>
        </w:pBdr>
        <w:bidi/>
        <w:spacing w:after="140" w:before="320"/>
        <w:jc w:val="right"/>
      </w:pPr>
      <w:r>
        <w:rPr>
          <w:rFonts w:ascii="Arial" w:cs="Arial" w:eastAsia="Arial" w:hAnsi="Arial"/>
          <w:b/>
          <w:bCs/>
          <w:color w:val="1C5266"/>
          <w:sz w:val="30"/>
          <w:szCs w:val="30"/>
          <w:rtl/>
        </w:rPr>
        <w:t xml:space="preserve">٢. نبذة عن المنتج</w:t>
      </w:r>
    </w:p>
    <w:p>
      <w:pPr>
        <w:bidi/>
        <w:spacing w:after="120" w:before="0" w:line="276"/>
        <w:jc w:val="right"/>
      </w:pPr>
      <w:r>
        <w:rPr>
          <w:rFonts w:ascii="Arial" w:cs="Arial" w:eastAsia="Arial" w:hAnsi="Arial"/>
          <w:b/>
          <w:bCs/>
          <w:i w:val="false"/>
          <w:iCs w:val="false"/>
          <w:color w:val="16212C"/>
          <w:sz w:val="22"/>
          <w:szCs w:val="22"/>
          <w:rtl/>
        </w:rPr>
        <w:t xml:space="preserve">الرسالة: </w:t>
      </w:r>
      <w:r>
        <w:rPr>
          <w:rFonts w:ascii="Arial" w:cs="Arial" w:eastAsia="Arial" w:hAnsi="Arial"/>
          <w:b w:val="false"/>
          <w:bCs w:val="false"/>
          <w:i w:val="false"/>
          <w:iCs w:val="false"/>
          <w:color w:val="16212C"/>
          <w:sz w:val="22"/>
          <w:szCs w:val="22"/>
          <w:rtl/>
        </w:rPr>
        <w:t xml:space="preserve">أن نكون «قمرة القيادة الرقمية» للطيران المدني السعودي — مكان واحد يجد فيه الطيّار والطالب والمدرّب النظام، يفهمه، ويطبّقه بلغته.</w:t>
      </w:r>
    </w:p>
    <w:p>
      <w:pPr>
        <w:bidi/>
        <w:spacing w:after="120" w:before="0" w:line="276"/>
        <w:jc w:val="right"/>
      </w:pPr>
      <w:r>
        <w:rPr>
          <w:rFonts w:ascii="Arial" w:cs="Arial" w:eastAsia="Arial" w:hAnsi="Arial"/>
          <w:b/>
          <w:bCs/>
          <w:i w:val="false"/>
          <w:iCs w:val="false"/>
          <w:color w:val="16212C"/>
          <w:sz w:val="22"/>
          <w:szCs w:val="22"/>
          <w:rtl/>
        </w:rPr>
        <w:t xml:space="preserve">الوضع الحالي: </w:t>
      </w:r>
      <w:r>
        <w:rPr>
          <w:rFonts w:ascii="Arial" w:cs="Arial" w:eastAsia="Arial" w:hAnsi="Arial"/>
          <w:b w:val="false"/>
          <w:bCs w:val="false"/>
          <w:i w:val="false"/>
          <w:iCs w:val="false"/>
          <w:color w:val="16212C"/>
          <w:sz w:val="22"/>
          <w:szCs w:val="22"/>
          <w:rtl/>
        </w:rPr>
        <w:t xml:space="preserve">إعادة البناء الكاملة (React/TypeScript/Vite) اكتملت وتُنشر تلقائياً على الإنتاج. المكتبة والبحث، كابتن عادل، 55 أداة، مركز الدراسة، والحسابات والتجارة — كلها حيّة. الخلفية على Firebase Cloud Functions في منطقة me-central1 (الرياض/الخليج)، ما يمنح ميزة سيادة بيانات وقرباً من العملاء المؤسسيين.</w:t>
      </w:r>
    </w:p>
    <w:p>
      <w:pPr>
        <w:bidi/>
        <w:spacing w:after="120" w:before="0" w:line="276"/>
        <w:jc w:val="right"/>
      </w:pPr>
      <w:r>
        <w:rPr>
          <w:rFonts w:ascii="Arial" w:cs="Arial" w:eastAsia="Arial" w:hAnsi="Arial"/>
          <w:b/>
          <w:bCs/>
          <w:i w:val="false"/>
          <w:iCs w:val="false"/>
          <w:color w:val="16212C"/>
          <w:sz w:val="22"/>
          <w:szCs w:val="22"/>
          <w:rtl/>
        </w:rPr>
        <w:t xml:space="preserve">الوصول: </w:t>
      </w:r>
      <w:r>
        <w:rPr>
          <w:rFonts w:ascii="Arial" w:cs="Arial" w:eastAsia="Arial" w:hAnsi="Arial"/>
          <w:b w:val="false"/>
          <w:bCs w:val="false"/>
          <w:i w:val="false"/>
          <w:iCs w:val="false"/>
          <w:color w:val="16212C"/>
          <w:sz w:val="22"/>
          <w:szCs w:val="22"/>
          <w:rtl/>
        </w:rPr>
        <w:t xml:space="preserve">تطبيق ويب تقدّمي (PWA) يعمل دون اتصال، وتطبيق أصلي iOS/Android عبر Capacitor.</w:t>
      </w:r>
    </w:p>
    <w:p>
      <w:pPr>
        <w:pStyle w:val="Heading1"/>
        <w:pBdr>
          <w:bottom w:val="single" w:color="2D6E8A" w:sz="8"/>
        </w:pBdr>
        <w:bidi/>
        <w:spacing w:after="140" w:before="320"/>
        <w:jc w:val="right"/>
      </w:pPr>
      <w:r>
        <w:rPr>
          <w:rFonts w:ascii="Arial" w:cs="Arial" w:eastAsia="Arial" w:hAnsi="Arial"/>
          <w:b/>
          <w:bCs/>
          <w:color w:val="1C5266"/>
          <w:sz w:val="30"/>
          <w:szCs w:val="30"/>
          <w:rtl/>
        </w:rPr>
        <w:t xml:space="preserve">٣. المشكلة والفرصة</w:t>
      </w:r>
    </w:p>
    <w:p>
      <w:pPr>
        <w:bidi/>
        <w:spacing w:after="120" w:before="0" w:line="276"/>
        <w:jc w:val="right"/>
      </w:pPr>
      <w:r>
        <w:rPr>
          <w:rFonts w:ascii="Arial" w:cs="Arial" w:eastAsia="Arial" w:hAnsi="Arial"/>
          <w:b w:val="false"/>
          <w:bCs w:val="false"/>
          <w:i w:val="false"/>
          <w:iCs w:val="false"/>
          <w:color w:val="16212C"/>
          <w:sz w:val="22"/>
          <w:szCs w:val="22"/>
          <w:rtl/>
        </w:rPr>
        <w:t xml:space="preserve">أنظمة الطيران المدني السعودي موجودة رسمياً، لكنها غير قابلة للاستعمال عملياً: مبعثرة في ملفات PDF ضخمة، بالإنجليزية غالباً، بلا بحث موحّد ولا مسار دراسي واضح. ومع تسارع القطاع ضمن رؤية 2030، يزداد عدد من يحتاج إتقانها بينما تتخلّف أدوات التعلّم.</w:t>
      </w:r>
    </w:p>
    <w:p>
      <w:pPr>
        <w:pStyle w:val="ListParagraph"/>
        <w:numPr>
          <w:ilvl w:val="0"/>
          <w:numId w:val="2"/>
        </w:numPr>
        <w:bidi/>
        <w:spacing w:after="70" w:line="270"/>
        <w:jc w:val="right"/>
      </w:pPr>
      <w:r>
        <w:rPr>
          <w:rFonts w:ascii="Arial" w:cs="Arial" w:eastAsia="Arial" w:hAnsi="Arial"/>
          <w:b w:val="false"/>
          <w:bCs w:val="false"/>
          <w:i w:val="false"/>
          <w:iCs w:val="false"/>
          <w:color w:val="16212C"/>
          <w:sz w:val="22"/>
          <w:szCs w:val="22"/>
          <w:rtl/>
        </w:rPr>
        <w:t xml:space="preserve">مبعثرة وبالإنجليزية فقط — لا نسخة عربية أصيلة تناسب أغلب الطلاب والطواقم.</w:t>
      </w:r>
    </w:p>
    <w:p>
      <w:pPr>
        <w:pStyle w:val="ListParagraph"/>
        <w:numPr>
          <w:ilvl w:val="0"/>
          <w:numId w:val="2"/>
        </w:numPr>
        <w:bidi/>
        <w:spacing w:after="70" w:line="270"/>
        <w:jc w:val="right"/>
      </w:pPr>
      <w:r>
        <w:rPr>
          <w:rFonts w:ascii="Arial" w:cs="Arial" w:eastAsia="Arial" w:hAnsi="Arial"/>
          <w:b w:val="false"/>
          <w:bCs w:val="false"/>
          <w:i w:val="false"/>
          <w:iCs w:val="false"/>
          <w:color w:val="16212C"/>
          <w:sz w:val="22"/>
          <w:szCs w:val="22"/>
          <w:rtl/>
        </w:rPr>
        <w:t xml:space="preserve">صعبة على المبتدئ — لا ربط بين النظام والأداة العملية، ولا تحقّق سريع من فقرة محددة.</w:t>
      </w:r>
    </w:p>
    <w:p>
      <w:pPr>
        <w:pStyle w:val="ListParagraph"/>
        <w:numPr>
          <w:ilvl w:val="0"/>
          <w:numId w:val="2"/>
        </w:numPr>
        <w:bidi/>
        <w:spacing w:after="70" w:line="270"/>
        <w:jc w:val="right"/>
      </w:pPr>
      <w:r>
        <w:rPr>
          <w:rFonts w:ascii="Arial" w:cs="Arial" w:eastAsia="Arial" w:hAnsi="Arial"/>
          <w:b w:val="false"/>
          <w:bCs w:val="false"/>
          <w:i w:val="false"/>
          <w:iCs w:val="false"/>
          <w:color w:val="16212C"/>
          <w:sz w:val="22"/>
          <w:szCs w:val="22"/>
          <w:rtl/>
        </w:rPr>
        <w:t xml:space="preserve">لا قياس للجاهزية — المدارس تدرّب من PDF يدوياً، بلا لوحة تتابع من هو «جاهز للاختبار».</w:t>
      </w:r>
    </w:p>
    <w:p>
      <w:pPr>
        <w:pStyle w:val="ListParagraph"/>
        <w:numPr>
          <w:ilvl w:val="0"/>
          <w:numId w:val="2"/>
        </w:numPr>
        <w:bidi/>
        <w:spacing w:after="70" w:line="270"/>
        <w:jc w:val="right"/>
      </w:pPr>
      <w:r>
        <w:rPr>
          <w:rFonts w:ascii="Arial" w:cs="Arial" w:eastAsia="Arial" w:hAnsi="Arial"/>
          <w:b w:val="false"/>
          <w:bCs w:val="false"/>
          <w:i w:val="false"/>
          <w:iCs w:val="false"/>
          <w:color w:val="16212C"/>
          <w:sz w:val="22"/>
          <w:szCs w:val="22"/>
          <w:rtl/>
        </w:rPr>
        <w:t xml:space="preserve">الذكاء الاصطناعي العام غير موثوق — يخترع إجابات بلا استشهاد بالمصدر، وهو خطر في مجال منظّم.</w:t>
      </w:r>
    </w:p>
    <w:p>
      <w:pPr>
        <w:pStyle w:val="Heading1"/>
        <w:pBdr>
          <w:bottom w:val="single" w:color="2D6E8A" w:sz="8"/>
        </w:pBdr>
        <w:bidi/>
        <w:spacing w:after="140" w:before="320"/>
        <w:jc w:val="right"/>
      </w:pPr>
      <w:r>
        <w:rPr>
          <w:rFonts w:ascii="Arial" w:cs="Arial" w:eastAsia="Arial" w:hAnsi="Arial"/>
          <w:b/>
          <w:bCs/>
          <w:color w:val="1C5266"/>
          <w:sz w:val="30"/>
          <w:szCs w:val="30"/>
          <w:rtl/>
        </w:rPr>
        <w:t xml:space="preserve">٤. الحل / وصف المنتج</w:t>
      </w:r>
    </w:p>
    <w:p>
      <w:pPr>
        <w:bidi/>
        <w:spacing w:after="120" w:before="0" w:line="276"/>
        <w:jc w:val="right"/>
      </w:pPr>
      <w:r>
        <w:rPr>
          <w:rFonts w:ascii="Arial" w:cs="Arial" w:eastAsia="Arial" w:hAnsi="Arial"/>
          <w:b w:val="false"/>
          <w:bCs w:val="false"/>
          <w:i w:val="false"/>
          <w:iCs w:val="false"/>
          <w:color w:val="16212C"/>
          <w:sz w:val="22"/>
          <w:szCs w:val="22"/>
          <w:rtl/>
        </w:rPr>
        <w:t xml:space="preserve">حوّلنا الأنظمة الرسمية إلى بيانات منظّمة نظيفة (JSON) — أصل هندسي حقيقي، لا كشط صفحات — وبنينا فوقه ثلاث طبقات تجعل الطيران المدني السعودي قابلاً للتعلّم فعلاً:</w:t>
      </w:r>
    </w:p>
    <w:p>
      <w:pPr>
        <w:bidi/>
        <w:spacing w:after="120" w:before="0" w:line="276"/>
        <w:jc w:val="right"/>
      </w:pPr>
      <w:r>
        <w:rPr>
          <w:rFonts w:ascii="Arial" w:cs="Arial" w:eastAsia="Arial" w:hAnsi="Arial"/>
          <w:b/>
          <w:bCs/>
          <w:i w:val="false"/>
          <w:iCs w:val="false"/>
          <w:color w:val="2D6E8A"/>
          <w:sz w:val="22"/>
          <w:szCs w:val="22"/>
          <w:rtl/>
        </w:rPr>
        <w:t xml:space="preserve">١) اعثر عليه — المكتبة التنظيمية: </w:t>
      </w:r>
      <w:r>
        <w:rPr>
          <w:rFonts w:ascii="Arial" w:cs="Arial" w:eastAsia="Arial" w:hAnsi="Arial"/>
          <w:b w:val="false"/>
          <w:bCs w:val="false"/>
          <w:i w:val="false"/>
          <w:iCs w:val="false"/>
          <w:color w:val="16212C"/>
          <w:sz w:val="22"/>
          <w:szCs w:val="22"/>
          <w:rtl/>
        </w:rPr>
        <w:t xml:space="preserve">كل نظام GACAR مرقّم + 205 وثيقة عالمية (ICAO/FAA/EASA) + 21 دليلاً، قابلة للبحث فوريّاً، ومجانية للأبد كقمّة لقِمع النمو.</w:t>
      </w:r>
    </w:p>
    <w:p>
      <w:pPr>
        <w:bidi/>
        <w:spacing w:after="120" w:before="0" w:line="276"/>
        <w:jc w:val="right"/>
      </w:pPr>
      <w:r>
        <w:rPr>
          <w:rFonts w:ascii="Arial" w:cs="Arial" w:eastAsia="Arial" w:hAnsi="Arial"/>
          <w:b/>
          <w:bCs/>
          <w:i w:val="false"/>
          <w:iCs w:val="false"/>
          <w:color w:val="2D6E8A"/>
          <w:sz w:val="22"/>
          <w:szCs w:val="22"/>
          <w:rtl/>
        </w:rPr>
        <w:t xml:space="preserve">٢) طبّقه — 55 أداة طيران: </w:t>
      </w:r>
      <w:r>
        <w:rPr>
          <w:rFonts w:ascii="Arial" w:cs="Arial" w:eastAsia="Arial" w:hAnsi="Arial"/>
          <w:b w:val="false"/>
          <w:bCs w:val="false"/>
          <w:i w:val="false"/>
          <w:iCs w:val="false"/>
          <w:color w:val="16212C"/>
          <w:sz w:val="22"/>
          <w:szCs w:val="22"/>
          <w:rtl/>
        </w:rPr>
        <w:t xml:space="preserve">من الرياح الجانبية إلى تخطيط المسار وحسابات الوقود والغلاف الجوي، برياضيّات دقيقة وروابط قابلة للمشاركة.</w:t>
      </w:r>
    </w:p>
    <w:p>
      <w:pPr>
        <w:bidi/>
        <w:spacing w:after="120" w:before="0" w:line="276"/>
        <w:jc w:val="right"/>
      </w:pPr>
      <w:r>
        <w:rPr>
          <w:rFonts w:ascii="Arial" w:cs="Arial" w:eastAsia="Arial" w:hAnsi="Arial"/>
          <w:b/>
          <w:bCs/>
          <w:i w:val="false"/>
          <w:iCs w:val="false"/>
          <w:color w:val="2D6E8A"/>
          <w:sz w:val="22"/>
          <w:szCs w:val="22"/>
          <w:rtl/>
        </w:rPr>
        <w:t xml:space="preserve">٣) افهمه — كابتن عادل (RAG): </w:t>
      </w:r>
      <w:r>
        <w:rPr>
          <w:rFonts w:ascii="Arial" w:cs="Arial" w:eastAsia="Arial" w:hAnsi="Arial"/>
          <w:b w:val="false"/>
          <w:bCs w:val="false"/>
          <w:i w:val="false"/>
          <w:iCs w:val="false"/>
          <w:color w:val="16212C"/>
          <w:sz w:val="22"/>
          <w:szCs w:val="22"/>
          <w:rtl/>
        </w:rPr>
        <w:t xml:space="preserve">مساعد ذكي (Genkit + Gemini) يجيب «أين ينصّ النظام على…» ويستشهد بالمادة والفقرة الدقيقة، بالعربية أو الإنجليزية.</w:t>
      </w:r>
    </w:p>
    <w:p>
      <w:pPr>
        <w:bidi/>
        <w:spacing w:after="120" w:before="0" w:line="276"/>
        <w:jc w:val="right"/>
      </w:pPr>
      <w:r>
        <w:rPr>
          <w:rFonts w:ascii="Arial" w:cs="Arial" w:eastAsia="Arial" w:hAnsi="Arial"/>
          <w:b/>
          <w:bCs/>
          <w:i w:val="false"/>
          <w:iCs w:val="false"/>
          <w:color w:val="16212C"/>
          <w:sz w:val="22"/>
          <w:szCs w:val="22"/>
          <w:rtl/>
        </w:rPr>
        <w:t xml:space="preserve">يكمّلها مركز دراسة كامل: </w:t>
      </w:r>
      <w:r>
        <w:rPr>
          <w:rFonts w:ascii="Arial" w:cs="Arial" w:eastAsia="Arial" w:hAnsi="Arial"/>
          <w:b w:val="false"/>
          <w:bCs w:val="false"/>
          <w:i w:val="false"/>
          <w:iCs w:val="false"/>
          <w:color w:val="16212C"/>
          <w:sz w:val="22"/>
          <w:szCs w:val="22"/>
          <w:rtl/>
        </w:rPr>
        <w:t xml:space="preserve">بنك أسئلة بـ 13 موضوعاً، 9 وحدات Ground School، 7 مسارات دراسية، اختبار محاكاة، وبطاقات مراجعة، مع حزم تحضير اختبارات لكل رخصة.</w:t>
      </w:r>
    </w:p>
    <w:p>
      <w:r>
        <w:br w:type="page"/>
      </w:r>
    </w:p>
    <w:p>
      <w:pPr>
        <w:pStyle w:val="Heading1"/>
        <w:pBdr>
          <w:bottom w:val="single" w:color="2D6E8A" w:sz="8"/>
        </w:pBdr>
        <w:bidi/>
        <w:spacing w:after="140" w:before="320"/>
        <w:jc w:val="right"/>
      </w:pPr>
      <w:r>
        <w:rPr>
          <w:rFonts w:ascii="Arial" w:cs="Arial" w:eastAsia="Arial" w:hAnsi="Arial"/>
          <w:b/>
          <w:bCs/>
          <w:color w:val="1C5266"/>
          <w:sz w:val="30"/>
          <w:szCs w:val="30"/>
          <w:rtl/>
        </w:rPr>
        <w:t xml:space="preserve">٥. تحليل السوق</w:t>
      </w:r>
    </w:p>
    <w:p>
      <w:pPr>
        <w:bidi/>
        <w:spacing w:after="120" w:before="0" w:line="276"/>
        <w:jc w:val="right"/>
      </w:pPr>
      <w:r>
        <w:rPr>
          <w:rFonts w:ascii="Arial" w:cs="Arial" w:eastAsia="Arial" w:hAnsi="Arial"/>
          <w:b w:val="false"/>
          <w:bCs w:val="false"/>
          <w:i w:val="false"/>
          <w:iCs w:val="false"/>
          <w:color w:val="16212C"/>
          <w:sz w:val="22"/>
          <w:szCs w:val="22"/>
          <w:rtl/>
        </w:rPr>
        <w:t xml:space="preserve">تستهدف السعودية أن تكون مركزاً عالمياً للطيران (Riyadh Air، توسّع السعودية، مطارات جديدة، وهدف تجاوز 100 مليون مسافر) — ما يعني موجة من الطيّارين الجدد، وتحويل تراخيص الطواقم الوافدة، وتوسّع مدارس الطيران والأكاديميات وشركات التشغيل. جميع هؤلاء عملاؤنا عبر شريحتي الأفراد (B2C) والمؤسسات (B2B).</w:t>
      </w:r>
    </w:p>
    <w:p>
      <w:pPr>
        <w:pStyle w:val="Heading2"/>
        <w:bidi/>
        <w:spacing w:after="100" w:before="220"/>
        <w:jc w:val="right"/>
      </w:pPr>
      <w:r>
        <w:rPr>
          <w:rFonts w:ascii="Arial" w:cs="Arial" w:eastAsia="Arial" w:hAnsi="Arial"/>
          <w:b/>
          <w:bCs/>
          <w:color w:val="2D6E8A"/>
          <w:sz w:val="24"/>
          <w:szCs w:val="24"/>
          <w:rtl/>
        </w:rPr>
        <w:t xml:space="preserve">تحجيم السوق (TAM / SAM / SOM)</w:t>
      </w:r>
    </w:p>
    <w:tbl>
      <w:tblPr>
        <w:bidiVisual/>
        <w:tblW w:type="dxa" w:w="9200"/>
        <w:tblBorders>
          <w:top w:val="single" w:color="D4DDE2" w:sz="4"/>
          <w:left w:val="single" w:color="D4DDE2" w:sz="4"/>
          <w:bottom w:val="single" w:color="D4DDE2" w:sz="4"/>
          <w:right w:val="single" w:color="D4DDE2" w:sz="4"/>
          <w:insideH w:val="single" w:color="D4DDE2" w:sz="4"/>
          <w:insideV w:val="single" w:color="D4DDE2" w:sz="4"/>
        </w:tblBorders>
      </w:tblPr>
      <w:tblGrid>
        <w:gridCol w:w="3200"/>
        <w:gridCol w:w="2400"/>
        <w:gridCol w:w="3600"/>
      </w:tblGrid>
      <w:tr>
        <w:trPr>
          <w:tblHeader/>
        </w:trPr>
        <w:tc>
          <w:tcPr>
            <w:tcW w:type="dxa" w:w="3200"/>
            <w:shd w:fill="2D6E8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FFFFFF"/>
                <w:sz w:val="20"/>
                <w:szCs w:val="20"/>
                <w:rtl/>
              </w:rPr>
              <w:t xml:space="preserve">الوصف</w:t>
            </w:r>
          </w:p>
        </w:tc>
        <w:tc>
          <w:tcPr>
            <w:tcW w:type="dxa" w:w="2400"/>
            <w:shd w:fill="2D6E8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FFFFFF"/>
                <w:sz w:val="20"/>
                <w:szCs w:val="20"/>
                <w:rtl/>
              </w:rPr>
              <w:t xml:space="preserve">القيمة التقديرية</w:t>
            </w:r>
          </w:p>
        </w:tc>
        <w:tc>
          <w:tcPr>
            <w:tcW w:type="dxa" w:w="3600"/>
            <w:shd w:fill="2D6E8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FFFFFF"/>
                <w:sz w:val="20"/>
                <w:szCs w:val="20"/>
                <w:rtl/>
              </w:rPr>
              <w:t xml:space="preserve">الطبقة</w:t>
            </w:r>
          </w:p>
        </w:tc>
      </w:tr>
      <w:tr>
        <w:tc>
          <w:tcPr>
            <w:tcW w:type="dxa" w:w="32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تعليم وتحضير الطيران الرقمي في السعودية والخليج</w:t>
            </w:r>
          </w:p>
        </w:tc>
        <w:tc>
          <w:tcPr>
            <w:tcW w:type="dxa" w:w="24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~600 مليون ﷼/سنة</w:t>
            </w:r>
          </w:p>
        </w:tc>
        <w:tc>
          <w:tcPr>
            <w:tcW w:type="dxa" w:w="36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TAM — السوق الكلي</w:t>
            </w:r>
          </w:p>
        </w:tc>
      </w:tr>
      <w:tr>
        <w:tc>
          <w:tcPr>
            <w:tcW w:type="dxa" w:w="32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مجتمع الطيران السعودي القابل للوصول رقمياً + مدارس الطيران</w:t>
            </w:r>
          </w:p>
        </w:tc>
        <w:tc>
          <w:tcPr>
            <w:tcW w:type="dxa" w:w="24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~180 مليون ﷼/سنة</w:t>
            </w:r>
          </w:p>
        </w:tc>
        <w:tc>
          <w:tcPr>
            <w:tcW w:type="dxa" w:w="36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SAM — القابل للخدمة</w:t>
            </w:r>
          </w:p>
        </w:tc>
      </w:tr>
      <w:tr>
        <w:tc>
          <w:tcPr>
            <w:tcW w:type="dxa" w:w="32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حصّتنا الواقعية في أول 3 سنوات (أفراد + مؤسسات)</w:t>
            </w:r>
          </w:p>
        </w:tc>
        <w:tc>
          <w:tcPr>
            <w:tcW w:type="dxa" w:w="24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~3 مليون ﷼ (سنة 3)</w:t>
            </w:r>
          </w:p>
        </w:tc>
        <w:tc>
          <w:tcPr>
            <w:tcW w:type="dxa" w:w="36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SOM — المستهدف</w:t>
            </w:r>
          </w:p>
        </w:tc>
      </w:tr>
    </w:tbl>
    <w:p>
      <w:pPr>
        <w:bidi/>
        <w:spacing w:after="100" w:before="0" w:line="276"/>
        <w:jc w:val="right"/>
      </w:pPr>
      <w:r>
        <w:rPr>
          <w:rFonts w:ascii="Arial" w:cs="Arial" w:eastAsia="Arial" w:hAnsi="Arial"/>
          <w:b/>
          <w:bCs/>
          <w:i w:val="false"/>
          <w:iCs w:val="false"/>
          <w:color w:val="16212C"/>
          <w:sz w:val="22"/>
          <w:szCs w:val="22"/>
          <w:rtl/>
        </w:rPr>
        <w:t xml:space="preserve">* </w:t>
      </w:r>
      <w:r>
        <w:rPr>
          <w:rFonts w:ascii="Arial" w:cs="Arial" w:eastAsia="Arial" w:hAnsi="Arial"/>
          <w:b w:val="false"/>
          <w:bCs w:val="false"/>
          <w:i/>
          <w:iCs/>
          <w:color w:val="44515C"/>
          <w:sz w:val="18"/>
          <w:szCs w:val="18"/>
          <w:rtl/>
        </w:rPr>
        <w:t xml:space="preserve">أرقام السوق أعلاه تقديرية من أعلى لأسفل لأغراض التوضيح، وتحتاج تحقّقاً ميدانياً.</w:t>
      </w:r>
    </w:p>
    <w:p>
      <w:pPr>
        <w:pStyle w:val="Heading2"/>
        <w:bidi/>
        <w:spacing w:after="100" w:before="220"/>
        <w:jc w:val="right"/>
      </w:pPr>
      <w:r>
        <w:rPr>
          <w:rFonts w:ascii="Arial" w:cs="Arial" w:eastAsia="Arial" w:hAnsi="Arial"/>
          <w:b/>
          <w:bCs/>
          <w:color w:val="2D6E8A"/>
          <w:sz w:val="24"/>
          <w:szCs w:val="24"/>
          <w:rtl/>
        </w:rPr>
        <w:t xml:space="preserve">المنافسة والتموضع</w:t>
      </w:r>
    </w:p>
    <w:p>
      <w:pPr>
        <w:bidi/>
        <w:spacing w:after="120" w:before="0" w:line="276"/>
        <w:jc w:val="right"/>
      </w:pPr>
      <w:r>
        <w:rPr>
          <w:rFonts w:ascii="Arial" w:cs="Arial" w:eastAsia="Arial" w:hAnsi="Arial"/>
          <w:b w:val="false"/>
          <w:bCs w:val="false"/>
          <w:i w:val="false"/>
          <w:iCs w:val="false"/>
          <w:color w:val="16212C"/>
          <w:sz w:val="22"/>
          <w:szCs w:val="22"/>
          <w:rtl/>
        </w:rPr>
        <w:t xml:space="preserve">لا يوجد اليوم منافس سعودي مخصّص يجمع الكوربوس التنظيمي + المساعد الذكي المستشهد بالمصدر + ثنائية اللغة (عربي/إنجليزي RTL). البدائل الحالية إما مواد PDF رسمية غير قابلة للاستعمال، أو دورات دولية عامة بالإنجليزية لا تغطّي الخصوصية السعودية. تموضعنا: الأول والأكثر تخصّصاً محلياً.</w:t>
      </w:r>
    </w:p>
    <w:p>
      <w:pPr>
        <w:pStyle w:val="Heading1"/>
        <w:pBdr>
          <w:bottom w:val="single" w:color="2D6E8A" w:sz="8"/>
        </w:pBdr>
        <w:bidi/>
        <w:spacing w:after="140" w:before="320"/>
        <w:jc w:val="right"/>
      </w:pPr>
      <w:r>
        <w:rPr>
          <w:rFonts w:ascii="Arial" w:cs="Arial" w:eastAsia="Arial" w:hAnsi="Arial"/>
          <w:b/>
          <w:bCs/>
          <w:color w:val="1C5266"/>
          <w:sz w:val="30"/>
          <w:szCs w:val="30"/>
          <w:rtl/>
        </w:rPr>
        <w:t xml:space="preserve">٦. نموذج العمل والإيرادات</w:t>
      </w:r>
    </w:p>
    <w:p>
      <w:pPr>
        <w:bidi/>
        <w:spacing w:after="120" w:before="0" w:line="276"/>
        <w:jc w:val="right"/>
      </w:pPr>
      <w:r>
        <w:rPr>
          <w:rFonts w:ascii="Arial" w:cs="Arial" w:eastAsia="Arial" w:hAnsi="Arial"/>
          <w:b w:val="false"/>
          <w:bCs w:val="false"/>
          <w:i w:val="false"/>
          <w:iCs w:val="false"/>
          <w:color w:val="16212C"/>
          <w:sz w:val="22"/>
          <w:szCs w:val="22"/>
          <w:rtl/>
        </w:rPr>
        <w:t xml:space="preserve">المكتبة مجانية للأبد (قمّة القِمع تبني الوصول والثقة والظهور في البحث)، ثم نحوّل القيمة إلى إيراد بثلاث دعائم مبنية وموصولة بالفعل في المنتج:</w:t>
      </w:r>
    </w:p>
    <w:p>
      <w:pPr>
        <w:pStyle w:val="ListParagraph"/>
        <w:numPr>
          <w:ilvl w:val="0"/>
          <w:numId w:val="2"/>
        </w:numPr>
        <w:bidi/>
        <w:spacing w:after="70" w:line="270"/>
        <w:jc w:val="right"/>
      </w:pPr>
      <w:r>
        <w:rPr>
          <w:rFonts w:ascii="Arial" w:cs="Arial" w:eastAsia="Arial" w:hAnsi="Arial"/>
          <w:b/>
          <w:bCs/>
          <w:i w:val="false"/>
          <w:iCs w:val="false"/>
          <w:color w:val="16212C"/>
          <w:sz w:val="22"/>
          <w:szCs w:val="22"/>
          <w:rtl/>
        </w:rPr>
        <w:t xml:space="preserve">اشتراكات الأفراد: </w:t>
      </w:r>
      <w:r>
        <w:rPr>
          <w:rFonts w:ascii="Arial" w:cs="Arial" w:eastAsia="Arial" w:hAnsi="Arial"/>
          <w:b w:val="false"/>
          <w:bCs w:val="false"/>
          <w:i w:val="false"/>
          <w:iCs w:val="false"/>
          <w:color w:val="16212C"/>
          <w:sz w:val="22"/>
          <w:szCs w:val="22"/>
          <w:rtl/>
        </w:rPr>
        <w:t xml:space="preserve">إيراد متكرّر عالي الهامش (Pro / الطالب).</w:t>
      </w:r>
    </w:p>
    <w:p>
      <w:pPr>
        <w:pStyle w:val="ListParagraph"/>
        <w:numPr>
          <w:ilvl w:val="0"/>
          <w:numId w:val="2"/>
        </w:numPr>
        <w:bidi/>
        <w:spacing w:after="70" w:line="270"/>
        <w:jc w:val="right"/>
      </w:pPr>
      <w:r>
        <w:rPr>
          <w:rFonts w:ascii="Arial" w:cs="Arial" w:eastAsia="Arial" w:hAnsi="Arial"/>
          <w:b/>
          <w:bCs/>
          <w:i w:val="false"/>
          <w:iCs w:val="false"/>
          <w:color w:val="16212C"/>
          <w:sz w:val="22"/>
          <w:szCs w:val="22"/>
          <w:rtl/>
        </w:rPr>
        <w:t xml:space="preserve">مشتريات لمرة واحدة: </w:t>
      </w:r>
      <w:r>
        <w:rPr>
          <w:rFonts w:ascii="Arial" w:cs="Arial" w:eastAsia="Arial" w:hAnsi="Arial"/>
          <w:b w:val="false"/>
          <w:bCs w:val="false"/>
          <w:i w:val="false"/>
          <w:iCs w:val="false"/>
          <w:color w:val="16212C"/>
          <w:sz w:val="22"/>
          <w:szCs w:val="22"/>
          <w:rtl/>
        </w:rPr>
        <w:t xml:space="preserve">تصريح الموسم وحزم التحضير — تحويل مرتفع قرب مواعيد الاختبارات.</w:t>
      </w:r>
    </w:p>
    <w:p>
      <w:pPr>
        <w:pStyle w:val="ListParagraph"/>
        <w:numPr>
          <w:ilvl w:val="0"/>
          <w:numId w:val="2"/>
        </w:numPr>
        <w:bidi/>
        <w:spacing w:after="70" w:line="270"/>
        <w:jc w:val="right"/>
      </w:pPr>
      <w:r>
        <w:rPr>
          <w:rFonts w:ascii="Arial" w:cs="Arial" w:eastAsia="Arial" w:hAnsi="Arial"/>
          <w:b/>
          <w:bCs/>
          <w:i w:val="false"/>
          <w:iCs w:val="false"/>
          <w:color w:val="16212C"/>
          <w:sz w:val="22"/>
          <w:szCs w:val="22"/>
          <w:rtl/>
        </w:rPr>
        <w:t xml:space="preserve">مقاعد المؤسسات (B2B): </w:t>
      </w:r>
      <w:r>
        <w:rPr>
          <w:rFonts w:ascii="Arial" w:cs="Arial" w:eastAsia="Arial" w:hAnsi="Arial"/>
          <w:b w:val="false"/>
          <w:bCs w:val="false"/>
          <w:i w:val="false"/>
          <w:iCs w:val="false"/>
          <w:color w:val="16212C"/>
          <w:sz w:val="22"/>
          <w:szCs w:val="22"/>
          <w:rtl/>
        </w:rPr>
        <w:t xml:space="preserve">عقود سنوية بفواتير مع لوحة إدارة وتقارير جاهزية — احتفاظ مرتفع.</w:t>
      </w:r>
    </w:p>
    <w:p>
      <w:pPr>
        <w:pStyle w:val="Heading2"/>
        <w:bidi/>
        <w:spacing w:after="100" w:before="220"/>
        <w:jc w:val="right"/>
      </w:pPr>
      <w:r>
        <w:rPr>
          <w:rFonts w:ascii="Arial" w:cs="Arial" w:eastAsia="Arial" w:hAnsi="Arial"/>
          <w:b/>
          <w:bCs/>
          <w:color w:val="2D6E8A"/>
          <w:sz w:val="24"/>
          <w:szCs w:val="24"/>
          <w:rtl/>
        </w:rPr>
        <w:t xml:space="preserve">لوحة الأسعار الحالية (فعليّة من المنتج)</w:t>
      </w:r>
    </w:p>
    <w:tbl>
      <w:tblPr>
        <w:bidiVisual/>
        <w:tblW w:type="dxa" w:w="9200"/>
        <w:tblBorders>
          <w:top w:val="single" w:color="D4DDE2" w:sz="4"/>
          <w:left w:val="single" w:color="D4DDE2" w:sz="4"/>
          <w:bottom w:val="single" w:color="D4DDE2" w:sz="4"/>
          <w:right w:val="single" w:color="D4DDE2" w:sz="4"/>
          <w:insideH w:val="single" w:color="D4DDE2" w:sz="4"/>
          <w:insideV w:val="single" w:color="D4DDE2" w:sz="4"/>
        </w:tblBorders>
      </w:tblPr>
      <w:tblGrid>
        <w:gridCol w:w="4200"/>
        <w:gridCol w:w="2600"/>
        <w:gridCol w:w="2400"/>
      </w:tblGrid>
      <w:tr>
        <w:trPr>
          <w:tblHeader/>
        </w:trPr>
        <w:tc>
          <w:tcPr>
            <w:tcW w:type="dxa" w:w="4200"/>
            <w:shd w:fill="2D6E8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FFFFFF"/>
                <w:sz w:val="20"/>
                <w:szCs w:val="20"/>
                <w:rtl/>
              </w:rPr>
              <w:t xml:space="preserve">ما تفتحه</w:t>
            </w:r>
          </w:p>
        </w:tc>
        <w:tc>
          <w:tcPr>
            <w:tcW w:type="dxa" w:w="2600"/>
            <w:shd w:fill="2D6E8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FFFFFF"/>
                <w:sz w:val="20"/>
                <w:szCs w:val="20"/>
                <w:rtl/>
              </w:rPr>
              <w:t xml:space="preserve">السعر</w:t>
            </w:r>
          </w:p>
        </w:tc>
        <w:tc>
          <w:tcPr>
            <w:tcW w:type="dxa" w:w="2400"/>
            <w:shd w:fill="2D6E8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FFFFFF"/>
                <w:sz w:val="20"/>
                <w:szCs w:val="20"/>
                <w:rtl/>
              </w:rPr>
              <w:t xml:space="preserve">الباقة</w:t>
            </w:r>
          </w:p>
        </w:tc>
      </w:tr>
      <w:tr>
        <w:tc>
          <w:tcPr>
            <w:tcW w:type="dxa" w:w="42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المكتبة الكاملة + 55 أداة + 5 أسئلة/يوم</w:t>
            </w:r>
          </w:p>
        </w:tc>
        <w:tc>
          <w:tcPr>
            <w:tcW w:type="dxa" w:w="26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0 ﷼</w:t>
            </w:r>
          </w:p>
        </w:tc>
        <w:tc>
          <w:tcPr>
            <w:tcW w:type="dxa" w:w="24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مجاني</w:t>
            </w:r>
          </w:p>
        </w:tc>
      </w:tr>
      <w:tr>
        <w:tc>
          <w:tcPr>
            <w:tcW w:type="dxa" w:w="42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كابتن عادل بلا حدود، الاختبارات، التصدير، دون اتصال</w:t>
            </w:r>
          </w:p>
        </w:tc>
        <w:tc>
          <w:tcPr>
            <w:tcW w:type="dxa" w:w="26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59 / 449 ﷼ (شهري/سنوي)</w:t>
            </w:r>
          </w:p>
        </w:tc>
        <w:tc>
          <w:tcPr>
            <w:tcW w:type="dxa" w:w="24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Pro</w:t>
            </w:r>
          </w:p>
        </w:tc>
      </w:tr>
      <w:tr>
        <w:tc>
          <w:tcPr>
            <w:tcW w:type="dxa" w:w="42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كل مزايا Pro ببريد أكاديمي موثّق</w:t>
            </w:r>
          </w:p>
        </w:tc>
        <w:tc>
          <w:tcPr>
            <w:tcW w:type="dxa" w:w="26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39 / 299 ﷼</w:t>
            </w:r>
          </w:p>
        </w:tc>
        <w:tc>
          <w:tcPr>
            <w:tcW w:type="dxa" w:w="24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الطالب</w:t>
            </w:r>
          </w:p>
        </w:tc>
      </w:tr>
      <w:tr>
        <w:tc>
          <w:tcPr>
            <w:tcW w:type="dxa" w:w="42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وصول Pro كامل بلا اشتراك</w:t>
            </w:r>
          </w:p>
        </w:tc>
        <w:tc>
          <w:tcPr>
            <w:tcW w:type="dxa" w:w="26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149 ﷼ / 90 يوماً</w:t>
            </w:r>
          </w:p>
        </w:tc>
        <w:tc>
          <w:tcPr>
            <w:tcW w:type="dxa" w:w="24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تصريح الموسم</w:t>
            </w:r>
          </w:p>
        </w:tc>
      </w:tr>
      <w:tr>
        <w:tc>
          <w:tcPr>
            <w:tcW w:type="dxa" w:w="42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حزمة اختبار لرخصة محدّدة (PPL، ELP…)</w:t>
            </w:r>
          </w:p>
        </w:tc>
        <w:tc>
          <w:tcPr>
            <w:tcW w:type="dxa" w:w="26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39 ﷼ لمرة واحدة</w:t>
            </w:r>
          </w:p>
        </w:tc>
        <w:tc>
          <w:tcPr>
            <w:tcW w:type="dxa" w:w="24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حزمة تحضير</w:t>
            </w:r>
          </w:p>
        </w:tc>
      </w:tr>
      <w:tr>
        <w:tc>
          <w:tcPr>
            <w:tcW w:type="dxa" w:w="42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لوحة إدارة + تقارير جاهزية + تهيئة جماعية</w:t>
            </w:r>
          </w:p>
        </w:tc>
        <w:tc>
          <w:tcPr>
            <w:tcW w:type="dxa" w:w="26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من 250 ﷼/مقعد/سنة</w:t>
            </w:r>
          </w:p>
        </w:tc>
        <w:tc>
          <w:tcPr>
            <w:tcW w:type="dxa" w:w="24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المدارس (B2B)</w:t>
            </w:r>
          </w:p>
        </w:tc>
      </w:tr>
    </w:tbl>
    <w:p>
      <w:pPr>
        <w:bidi/>
        <w:spacing w:after="60" w:before="0" w:line="276"/>
        <w:jc w:val="right"/>
      </w:pPr>
      <w:r>
        <w:rPr>
          <w:rFonts w:ascii="Arial" w:cs="Arial" w:eastAsia="Arial" w:hAnsi="Arial"/>
          <w:b/>
          <w:bCs/>
          <w:i w:val="false"/>
          <w:iCs w:val="false"/>
          <w:color w:val="16212C"/>
          <w:sz w:val="22"/>
          <w:szCs w:val="22"/>
          <w:rtl/>
        </w:rPr>
        <w:t xml:space="preserve">أسعار المؤسسات الإرشادية: </w:t>
      </w:r>
      <w:r>
        <w:rPr>
          <w:rFonts w:ascii="Arial" w:cs="Arial" w:eastAsia="Arial" w:hAnsi="Arial"/>
          <w:b w:val="false"/>
          <w:bCs w:val="false"/>
          <w:i w:val="false"/>
          <w:iCs w:val="false"/>
          <w:color w:val="16212C"/>
          <w:sz w:val="22"/>
          <w:szCs w:val="22"/>
          <w:rtl/>
        </w:rPr>
        <w:t xml:space="preserve">Cohort ‏6,000 ﷼/دفعة (حتى 25 مقعداً) · Academy ‏22,000 ﷼/سنة (حتى 100) · Institution من ‏40,000 ﷼. الأسعار شاملة 15٪ ضريبة للأفراد، وتُثبّت أسعار B2B مع الشركاء المؤسسين.</w:t>
      </w:r>
    </w:p>
    <w:p>
      <w:r>
        <w:br w:type="page"/>
      </w:r>
    </w:p>
    <w:p>
      <w:pPr>
        <w:pStyle w:val="Heading1"/>
        <w:pBdr>
          <w:bottom w:val="single" w:color="2D6E8A" w:sz="8"/>
        </w:pBdr>
        <w:bidi/>
        <w:spacing w:after="140" w:before="320"/>
        <w:jc w:val="right"/>
      </w:pPr>
      <w:r>
        <w:rPr>
          <w:rFonts w:ascii="Arial" w:cs="Arial" w:eastAsia="Arial" w:hAnsi="Arial"/>
          <w:b/>
          <w:bCs/>
          <w:color w:val="1C5266"/>
          <w:sz w:val="30"/>
          <w:szCs w:val="30"/>
          <w:rtl/>
        </w:rPr>
        <w:t xml:space="preserve">٧. دراسة الجدوى المالية</w:t>
      </w:r>
    </w:p>
    <w:p>
      <w:pPr>
        <w:pStyle w:val="Heading2"/>
        <w:bidi/>
        <w:spacing w:after="100" w:before="220"/>
        <w:jc w:val="right"/>
      </w:pPr>
      <w:r>
        <w:rPr>
          <w:rFonts w:ascii="Arial" w:cs="Arial" w:eastAsia="Arial" w:hAnsi="Arial"/>
          <w:b/>
          <w:bCs/>
          <w:color w:val="2D6E8A"/>
          <w:sz w:val="24"/>
          <w:szCs w:val="24"/>
          <w:rtl/>
        </w:rPr>
        <w:t xml:space="preserve">هيكل التكاليف</w:t>
      </w:r>
    </w:p>
    <w:p>
      <w:pPr>
        <w:bidi/>
        <w:spacing w:after="120" w:before="0" w:line="276"/>
        <w:jc w:val="right"/>
      </w:pPr>
      <w:r>
        <w:rPr>
          <w:rFonts w:ascii="Arial" w:cs="Arial" w:eastAsia="Arial" w:hAnsi="Arial"/>
          <w:b w:val="false"/>
          <w:bCs w:val="false"/>
          <w:i w:val="false"/>
          <w:iCs w:val="false"/>
          <w:color w:val="16212C"/>
          <w:sz w:val="22"/>
          <w:szCs w:val="22"/>
          <w:rtl/>
        </w:rPr>
        <w:t xml:space="preserve">التكلفة الكبرى (بناء الكوربوس التنظيمي والمنتج كاملاً) أُنجزت بالفعل. ما تبقّى تكاليف تشغيل خفيفة تتوسّع خطياً بعيداً عن الإيراد:</w:t>
      </w:r>
    </w:p>
    <w:tbl>
      <w:tblPr>
        <w:bidiVisual/>
        <w:tblW w:type="dxa" w:w="9200"/>
        <w:tblBorders>
          <w:top w:val="single" w:color="D4DDE2" w:sz="4"/>
          <w:left w:val="single" w:color="D4DDE2" w:sz="4"/>
          <w:bottom w:val="single" w:color="D4DDE2" w:sz="4"/>
          <w:right w:val="single" w:color="D4DDE2" w:sz="4"/>
          <w:insideH w:val="single" w:color="D4DDE2" w:sz="4"/>
          <w:insideV w:val="single" w:color="D4DDE2" w:sz="4"/>
        </w:tblBorders>
      </w:tblPr>
      <w:tblGrid>
        <w:gridCol w:w="5200"/>
        <w:gridCol w:w="4000"/>
      </w:tblGrid>
      <w:tr>
        <w:trPr>
          <w:tblHeader/>
        </w:trPr>
        <w:tc>
          <w:tcPr>
            <w:tcW w:type="dxa" w:w="5200"/>
            <w:shd w:fill="2D6E8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FFFFFF"/>
                <w:sz w:val="20"/>
                <w:szCs w:val="20"/>
                <w:rtl/>
              </w:rPr>
              <w:t xml:space="preserve">الطبيعة</w:t>
            </w:r>
          </w:p>
        </w:tc>
        <w:tc>
          <w:tcPr>
            <w:tcW w:type="dxa" w:w="4000"/>
            <w:shd w:fill="2D6E8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FFFFFF"/>
                <w:sz w:val="20"/>
                <w:szCs w:val="20"/>
                <w:rtl/>
              </w:rPr>
              <w:t xml:space="preserve">بند التكلفة</w:t>
            </w:r>
          </w:p>
        </w:tc>
      </w:tr>
      <w:tr>
        <w:tc>
          <w:tcPr>
            <w:tcW w:type="dxa" w:w="52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منخفضة ومتغيّرة مع الاستخدام</w:t>
            </w:r>
          </w:p>
        </w:tc>
        <w:tc>
          <w:tcPr>
            <w:tcW w:type="dxa" w:w="40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استضافة وبنية (Firebase / Vercel)</w:t>
            </w:r>
          </w:p>
        </w:tc>
      </w:tr>
      <w:tr>
        <w:tc>
          <w:tcPr>
            <w:tcW w:type="dxa" w:w="52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متغيّرة مع حجم الاستخدام</w:t>
            </w:r>
          </w:p>
        </w:tc>
        <w:tc>
          <w:tcPr>
            <w:tcW w:type="dxa" w:w="40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نماذج الذكاء الاصطناعي (Gemini) لكابتن عادل</w:t>
            </w:r>
          </w:p>
        </w:tc>
      </w:tr>
      <w:tr>
        <w:tc>
          <w:tcPr>
            <w:tcW w:type="dxa" w:w="52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نسبة صغيرة من الإيراد</w:t>
            </w:r>
          </w:p>
        </w:tc>
        <w:tc>
          <w:tcPr>
            <w:tcW w:type="dxa" w:w="40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رسوم الدفع (Stripe / متاجر التطبيقات)</w:t>
            </w:r>
          </w:p>
        </w:tc>
      </w:tr>
      <w:tr>
        <w:tc>
          <w:tcPr>
            <w:tcW w:type="dxa" w:w="52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البند الأكبر بعد التمويل</w:t>
            </w:r>
          </w:p>
        </w:tc>
        <w:tc>
          <w:tcPr>
            <w:tcW w:type="dxa" w:w="40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الرواتب (أول توظيفين) والتسويق</w:t>
            </w:r>
          </w:p>
        </w:tc>
      </w:tr>
      <w:tr>
        <w:tc>
          <w:tcPr>
            <w:tcW w:type="dxa" w:w="52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دورية ومحدودة</w:t>
            </w:r>
          </w:p>
        </w:tc>
        <w:tc>
          <w:tcPr>
            <w:tcW w:type="dxa" w:w="40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صيانة المحتوى ومزامنة الأنظمة (AIRAC)</w:t>
            </w:r>
          </w:p>
        </w:tc>
      </w:tr>
    </w:tbl>
    <w:p>
      <w:pPr>
        <w:bidi/>
        <w:spacing w:after="120" w:before="0" w:line="276"/>
        <w:jc w:val="right"/>
      </w:pPr>
      <w:r>
        <w:rPr>
          <w:rFonts w:ascii="Arial" w:cs="Arial" w:eastAsia="Arial" w:hAnsi="Arial"/>
          <w:b/>
          <w:bCs/>
          <w:i w:val="false"/>
          <w:iCs w:val="false"/>
          <w:color w:val="16212C"/>
          <w:sz w:val="22"/>
          <w:szCs w:val="22"/>
          <w:rtl/>
        </w:rPr>
        <w:t xml:space="preserve">الأثر: </w:t>
      </w:r>
      <w:r>
        <w:rPr>
          <w:rFonts w:ascii="Arial" w:cs="Arial" w:eastAsia="Arial" w:hAnsi="Arial"/>
          <w:b w:val="false"/>
          <w:bCs w:val="false"/>
          <w:i w:val="false"/>
          <w:iCs w:val="false"/>
          <w:color w:val="16212C"/>
          <w:sz w:val="22"/>
          <w:szCs w:val="22"/>
          <w:rtl/>
        </w:rPr>
        <w:t xml:space="preserve">هامش إجمالي تقديري 85–90٪ يتحسّن مع كل عميل جديد — اقتصاديّات برمجيات لا اقتصاديّات محتوى.</w:t>
      </w:r>
    </w:p>
    <w:p>
      <w:pPr>
        <w:pStyle w:val="Heading2"/>
        <w:bidi/>
        <w:spacing w:after="100" w:before="220"/>
        <w:jc w:val="right"/>
      </w:pPr>
      <w:r>
        <w:rPr>
          <w:rFonts w:ascii="Arial" w:cs="Arial" w:eastAsia="Arial" w:hAnsi="Arial"/>
          <w:b/>
          <w:bCs/>
          <w:color w:val="2D6E8A"/>
          <w:sz w:val="24"/>
          <w:szCs w:val="24"/>
          <w:rtl/>
        </w:rPr>
        <w:t xml:space="preserve">افتراضات النموذج</w:t>
      </w:r>
    </w:p>
    <w:p>
      <w:pPr>
        <w:pStyle w:val="ListParagraph"/>
        <w:numPr>
          <w:ilvl w:val="0"/>
          <w:numId w:val="2"/>
        </w:numPr>
        <w:bidi/>
        <w:spacing w:after="70" w:line="270"/>
        <w:jc w:val="right"/>
      </w:pPr>
      <w:r>
        <w:rPr>
          <w:rFonts w:ascii="Arial" w:cs="Arial" w:eastAsia="Arial" w:hAnsi="Arial"/>
          <w:b w:val="false"/>
          <w:bCs w:val="false"/>
          <w:i w:val="false"/>
          <w:iCs w:val="false"/>
          <w:color w:val="16212C"/>
          <w:sz w:val="22"/>
          <w:szCs w:val="22"/>
          <w:rtl/>
        </w:rPr>
        <w:t xml:space="preserve">تحويل المستخدم المجاني إلى مدفوع: 2–4٪ (محافظ؛ معيار الصناعة غالباً أعلى).</w:t>
      </w:r>
    </w:p>
    <w:p>
      <w:pPr>
        <w:pStyle w:val="ListParagraph"/>
        <w:numPr>
          <w:ilvl w:val="0"/>
          <w:numId w:val="2"/>
        </w:numPr>
        <w:bidi/>
        <w:spacing w:after="70" w:line="270"/>
        <w:jc w:val="right"/>
      </w:pPr>
      <w:r>
        <w:rPr>
          <w:rFonts w:ascii="Arial" w:cs="Arial" w:eastAsia="Arial" w:hAnsi="Arial"/>
          <w:b w:val="false"/>
          <w:bCs w:val="false"/>
          <w:i w:val="false"/>
          <w:iCs w:val="false"/>
          <w:color w:val="16212C"/>
          <w:sz w:val="22"/>
          <w:szCs w:val="22"/>
          <w:rtl/>
        </w:rPr>
        <w:t xml:space="preserve">متوسط الإيراد السنوي لكل مشترك مدفوع: ~350 ﷼ (مزيج شهري/سنوي).</w:t>
      </w:r>
    </w:p>
    <w:p>
      <w:pPr>
        <w:pStyle w:val="ListParagraph"/>
        <w:numPr>
          <w:ilvl w:val="0"/>
          <w:numId w:val="2"/>
        </w:numPr>
        <w:bidi/>
        <w:spacing w:after="70" w:line="270"/>
        <w:jc w:val="right"/>
      </w:pPr>
      <w:r>
        <w:rPr>
          <w:rFonts w:ascii="Arial" w:cs="Arial" w:eastAsia="Arial" w:hAnsi="Arial"/>
          <w:b w:val="false"/>
          <w:bCs w:val="false"/>
          <w:i w:val="false"/>
          <w:iCs w:val="false"/>
          <w:color w:val="16212C"/>
          <w:sz w:val="22"/>
          <w:szCs w:val="22"/>
          <w:rtl/>
        </w:rPr>
        <w:t xml:space="preserve">عدد المدارس/الجهات المتعاقدة: من 4 في السنة الأولى إلى ~40 في السنة الثالثة.</w:t>
      </w:r>
    </w:p>
    <w:p>
      <w:pPr>
        <w:pStyle w:val="ListParagraph"/>
        <w:numPr>
          <w:ilvl w:val="0"/>
          <w:numId w:val="2"/>
        </w:numPr>
        <w:bidi/>
        <w:spacing w:after="70" w:line="270"/>
        <w:jc w:val="right"/>
      </w:pPr>
      <w:r>
        <w:rPr>
          <w:rFonts w:ascii="Arial" w:cs="Arial" w:eastAsia="Arial" w:hAnsi="Arial"/>
          <w:b w:val="false"/>
          <w:bCs w:val="false"/>
          <w:i w:val="false"/>
          <w:iCs w:val="false"/>
          <w:color w:val="16212C"/>
          <w:sz w:val="22"/>
          <w:szCs w:val="22"/>
          <w:rtl/>
        </w:rPr>
        <w:t xml:space="preserve">الهدف التشغيلي: أول 100 ألف ﷼ ARR من B2B في النصف الأول — متّسق مع الخطة الحالية.</w:t>
      </w:r>
    </w:p>
    <w:p>
      <w:pPr>
        <w:pStyle w:val="Heading2"/>
        <w:bidi/>
        <w:spacing w:after="100" w:before="220"/>
        <w:jc w:val="right"/>
      </w:pPr>
      <w:r>
        <w:rPr>
          <w:rFonts w:ascii="Arial" w:cs="Arial" w:eastAsia="Arial" w:hAnsi="Arial"/>
          <w:b/>
          <w:bCs/>
          <w:color w:val="2D6E8A"/>
          <w:sz w:val="24"/>
          <w:szCs w:val="24"/>
          <w:rtl/>
        </w:rPr>
        <w:t xml:space="preserve">توقعات الدخل — السيناريو الأساسي (﷼)</w:t>
      </w:r>
    </w:p>
    <w:tbl>
      <w:tblPr>
        <w:bidiVisual/>
        <w:tblW w:type="dxa" w:w="9000"/>
        <w:tblBorders>
          <w:top w:val="single" w:color="D4DDE2" w:sz="4"/>
          <w:left w:val="single" w:color="D4DDE2" w:sz="4"/>
          <w:bottom w:val="single" w:color="D4DDE2" w:sz="4"/>
          <w:right w:val="single" w:color="D4DDE2" w:sz="4"/>
          <w:insideH w:val="single" w:color="D4DDE2" w:sz="4"/>
          <w:insideV w:val="single" w:color="D4DDE2" w:sz="4"/>
        </w:tblBorders>
      </w:tblPr>
      <w:tblGrid>
        <w:gridCol w:w="3000"/>
        <w:gridCol w:w="2000"/>
        <w:gridCol w:w="2000"/>
        <w:gridCol w:w="2000"/>
      </w:tblGrid>
      <w:tr>
        <w:trPr>
          <w:tblHeader/>
        </w:trPr>
        <w:tc>
          <w:tcPr>
            <w:tcW w:type="dxa" w:w="3000"/>
            <w:shd w:fill="2D6E8A"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FFFFFF"/>
                <w:sz w:val="20"/>
                <w:szCs w:val="20"/>
                <w:rtl/>
              </w:rPr>
              <w:t xml:space="preserve">المصدر</w:t>
            </w:r>
          </w:p>
        </w:tc>
        <w:tc>
          <w:tcPr>
            <w:tcW w:type="dxa" w:w="2000"/>
            <w:shd w:fill="2D6E8A"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FFFFFF"/>
                <w:sz w:val="20"/>
                <w:szCs w:val="20"/>
                <w:rtl/>
              </w:rPr>
              <w:t xml:space="preserve">السنة 1</w:t>
            </w:r>
          </w:p>
        </w:tc>
        <w:tc>
          <w:tcPr>
            <w:tcW w:type="dxa" w:w="2000"/>
            <w:shd w:fill="2D6E8A"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FFFFFF"/>
                <w:sz w:val="20"/>
                <w:szCs w:val="20"/>
                <w:rtl/>
              </w:rPr>
              <w:t xml:space="preserve">السنة 2</w:t>
            </w:r>
          </w:p>
        </w:tc>
        <w:tc>
          <w:tcPr>
            <w:tcW w:type="dxa" w:w="2000"/>
            <w:shd w:fill="2D6E8A"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FFFFFF"/>
                <w:sz w:val="20"/>
                <w:szCs w:val="20"/>
                <w:rtl/>
              </w:rPr>
              <w:t xml:space="preserve">السنة 3</w:t>
            </w:r>
          </w:p>
        </w:tc>
      </w:tr>
      <w:tr>
        <w:tc>
          <w:tcPr>
            <w:tcW w:type="dxa" w:w="30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اشتراكات الأفراد (Pro/الطالب)</w:t>
            </w:r>
          </w:p>
        </w:tc>
        <w:tc>
          <w:tcPr>
            <w:tcW w:type="dxa" w:w="20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140,000</w:t>
            </w:r>
          </w:p>
        </w:tc>
        <w:tc>
          <w:tcPr>
            <w:tcW w:type="dxa" w:w="20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540,000</w:t>
            </w:r>
          </w:p>
        </w:tc>
        <w:tc>
          <w:tcPr>
            <w:tcW w:type="dxa" w:w="20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1,520,000</w:t>
            </w:r>
          </w:p>
        </w:tc>
      </w:tr>
      <w:tr>
        <w:tc>
          <w:tcPr>
            <w:tcW w:type="dxa" w:w="30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مشتريات لمرة واحدة (تصاريح/حزم)</w:t>
            </w:r>
          </w:p>
        </w:tc>
        <w:tc>
          <w:tcPr>
            <w:tcW w:type="dxa" w:w="2000"/>
            <w:shd w:fill="F2F6F8"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30,000</w:t>
            </w:r>
          </w:p>
        </w:tc>
        <w:tc>
          <w:tcPr>
            <w:tcW w:type="dxa" w:w="2000"/>
            <w:shd w:fill="F2F6F8"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90,000</w:t>
            </w:r>
          </w:p>
        </w:tc>
        <w:tc>
          <w:tcPr>
            <w:tcW w:type="dxa" w:w="2000"/>
            <w:shd w:fill="F2F6F8"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200,000</w:t>
            </w:r>
          </w:p>
        </w:tc>
      </w:tr>
      <w:tr>
        <w:tc>
          <w:tcPr>
            <w:tcW w:type="dxa" w:w="30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مقاعد المؤسسات (B2B)</w:t>
            </w:r>
          </w:p>
        </w:tc>
        <w:tc>
          <w:tcPr>
            <w:tcW w:type="dxa" w:w="20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100,000</w:t>
            </w:r>
          </w:p>
        </w:tc>
        <w:tc>
          <w:tcPr>
            <w:tcW w:type="dxa" w:w="20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350,000</w:t>
            </w:r>
          </w:p>
        </w:tc>
        <w:tc>
          <w:tcPr>
            <w:tcW w:type="dxa" w:w="20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1,280,000</w:t>
            </w:r>
          </w:p>
        </w:tc>
      </w:tr>
      <w:tr>
        <w:tc>
          <w:tcPr>
            <w:tcW w:type="dxa" w:w="3000"/>
            <w:shd w:fill="EAF1F4"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الإجمالي</w:t>
            </w:r>
          </w:p>
        </w:tc>
        <w:tc>
          <w:tcPr>
            <w:tcW w:type="dxa" w:w="2000"/>
            <w:shd w:fill="EAF1F4"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16212C"/>
                <w:sz w:val="20"/>
                <w:szCs w:val="20"/>
                <w:rtl/>
              </w:rPr>
              <w:t xml:space="preserve">270,000</w:t>
            </w:r>
          </w:p>
        </w:tc>
        <w:tc>
          <w:tcPr>
            <w:tcW w:type="dxa" w:w="2000"/>
            <w:shd w:fill="EAF1F4"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16212C"/>
                <w:sz w:val="20"/>
                <w:szCs w:val="20"/>
                <w:rtl/>
              </w:rPr>
              <w:t xml:space="preserve">980,000</w:t>
            </w:r>
          </w:p>
        </w:tc>
        <w:tc>
          <w:tcPr>
            <w:tcW w:type="dxa" w:w="2000"/>
            <w:shd w:fill="EAF1F4"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16212C"/>
                <w:sz w:val="20"/>
                <w:szCs w:val="20"/>
                <w:rtl/>
              </w:rPr>
              <w:t xml:space="preserve">3,000,000</w:t>
            </w:r>
          </w:p>
        </w:tc>
      </w:tr>
    </w:tbl>
    <w:p>
      <w:pPr>
        <w:pStyle w:val="Heading2"/>
        <w:bidi/>
        <w:spacing w:after="100" w:before="220"/>
        <w:jc w:val="right"/>
      </w:pPr>
      <w:r>
        <w:rPr>
          <w:rFonts w:ascii="Arial" w:cs="Arial" w:eastAsia="Arial" w:hAnsi="Arial"/>
          <w:b/>
          <w:bCs/>
          <w:color w:val="2D6E8A"/>
          <w:sz w:val="24"/>
          <w:szCs w:val="24"/>
          <w:rtl/>
        </w:rPr>
        <w:t xml:space="preserve">تحليل السيناريوهات — إجمالي الإيراد (﷼)</w:t>
      </w:r>
    </w:p>
    <w:tbl>
      <w:tblPr>
        <w:bidiVisual/>
        <w:tblW w:type="dxa" w:w="9000"/>
        <w:tblBorders>
          <w:top w:val="single" w:color="D4DDE2" w:sz="4"/>
          <w:left w:val="single" w:color="D4DDE2" w:sz="4"/>
          <w:bottom w:val="single" w:color="D4DDE2" w:sz="4"/>
          <w:right w:val="single" w:color="D4DDE2" w:sz="4"/>
          <w:insideH w:val="single" w:color="D4DDE2" w:sz="4"/>
          <w:insideV w:val="single" w:color="D4DDE2" w:sz="4"/>
        </w:tblBorders>
      </w:tblPr>
      <w:tblGrid>
        <w:gridCol w:w="3000"/>
        <w:gridCol w:w="2000"/>
        <w:gridCol w:w="2000"/>
        <w:gridCol w:w="2000"/>
      </w:tblGrid>
      <w:tr>
        <w:trPr>
          <w:tblHeader/>
        </w:trPr>
        <w:tc>
          <w:tcPr>
            <w:tcW w:type="dxa" w:w="3000"/>
            <w:shd w:fill="2D6E8A"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FFFFFF"/>
                <w:sz w:val="20"/>
                <w:szCs w:val="20"/>
                <w:rtl/>
              </w:rPr>
              <w:t xml:space="preserve">السيناريو</w:t>
            </w:r>
          </w:p>
        </w:tc>
        <w:tc>
          <w:tcPr>
            <w:tcW w:type="dxa" w:w="2000"/>
            <w:shd w:fill="2D6E8A"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FFFFFF"/>
                <w:sz w:val="20"/>
                <w:szCs w:val="20"/>
                <w:rtl/>
              </w:rPr>
              <w:t xml:space="preserve">السنة 1</w:t>
            </w:r>
          </w:p>
        </w:tc>
        <w:tc>
          <w:tcPr>
            <w:tcW w:type="dxa" w:w="2000"/>
            <w:shd w:fill="2D6E8A"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FFFFFF"/>
                <w:sz w:val="20"/>
                <w:szCs w:val="20"/>
                <w:rtl/>
              </w:rPr>
              <w:t xml:space="preserve">السنة 2</w:t>
            </w:r>
          </w:p>
        </w:tc>
        <w:tc>
          <w:tcPr>
            <w:tcW w:type="dxa" w:w="2000"/>
            <w:shd w:fill="2D6E8A"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FFFFFF"/>
                <w:sz w:val="20"/>
                <w:szCs w:val="20"/>
                <w:rtl/>
              </w:rPr>
              <w:t xml:space="preserve">السنة 3</w:t>
            </w:r>
          </w:p>
        </w:tc>
      </w:tr>
      <w:tr>
        <w:tc>
          <w:tcPr>
            <w:tcW w:type="dxa" w:w="30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متحفّظ</w:t>
            </w:r>
          </w:p>
        </w:tc>
        <w:tc>
          <w:tcPr>
            <w:tcW w:type="dxa" w:w="20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180,000</w:t>
            </w:r>
          </w:p>
        </w:tc>
        <w:tc>
          <w:tcPr>
            <w:tcW w:type="dxa" w:w="20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620,000</w:t>
            </w:r>
          </w:p>
        </w:tc>
        <w:tc>
          <w:tcPr>
            <w:tcW w:type="dxa" w:w="20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1,800,000</w:t>
            </w:r>
          </w:p>
        </w:tc>
      </w:tr>
      <w:tr>
        <w:tc>
          <w:tcPr>
            <w:tcW w:type="dxa" w:w="30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أساسي</w:t>
            </w:r>
          </w:p>
        </w:tc>
        <w:tc>
          <w:tcPr>
            <w:tcW w:type="dxa" w:w="2000"/>
            <w:shd w:fill="F2F6F8"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270,000</w:t>
            </w:r>
          </w:p>
        </w:tc>
        <w:tc>
          <w:tcPr>
            <w:tcW w:type="dxa" w:w="2000"/>
            <w:shd w:fill="F2F6F8"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980,000</w:t>
            </w:r>
          </w:p>
        </w:tc>
        <w:tc>
          <w:tcPr>
            <w:tcW w:type="dxa" w:w="2000"/>
            <w:shd w:fill="F2F6F8"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3,000,000</w:t>
            </w:r>
          </w:p>
        </w:tc>
      </w:tr>
      <w:tr>
        <w:tc>
          <w:tcPr>
            <w:tcW w:type="dxa" w:w="30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متفائل</w:t>
            </w:r>
          </w:p>
        </w:tc>
        <w:tc>
          <w:tcPr>
            <w:tcW w:type="dxa" w:w="20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400,000</w:t>
            </w:r>
          </w:p>
        </w:tc>
        <w:tc>
          <w:tcPr>
            <w:tcW w:type="dxa" w:w="20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1,600,000</w:t>
            </w:r>
          </w:p>
        </w:tc>
        <w:tc>
          <w:tcPr>
            <w:tcW w:type="dxa" w:w="20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5,200,000</w:t>
            </w:r>
          </w:p>
        </w:tc>
      </w:tr>
    </w:tbl>
    <w:p>
      <w:pPr>
        <w:bidi/>
        <w:spacing w:after="60" w:before="0" w:line="276"/>
        <w:jc w:val="right"/>
      </w:pPr>
      <w:r>
        <w:rPr>
          <w:rFonts w:ascii="Arial" w:cs="Arial" w:eastAsia="Arial" w:hAnsi="Arial"/>
          <w:b/>
          <w:bCs/>
          <w:i w:val="false"/>
          <w:iCs w:val="false"/>
          <w:color w:val="16212C"/>
          <w:sz w:val="22"/>
          <w:szCs w:val="22"/>
          <w:rtl/>
        </w:rPr>
        <w:t xml:space="preserve">المؤشرات: </w:t>
      </w:r>
      <w:r>
        <w:rPr>
          <w:rFonts w:ascii="Arial" w:cs="Arial" w:eastAsia="Arial" w:hAnsi="Arial"/>
          <w:b w:val="false"/>
          <w:bCs w:val="false"/>
          <w:i w:val="false"/>
          <w:iCs w:val="false"/>
          <w:color w:val="16212C"/>
          <w:sz w:val="22"/>
          <w:szCs w:val="22"/>
          <w:rtl/>
        </w:rPr>
        <w:t xml:space="preserve">هامش إجمالي 85–90٪ · تكلفة اكتساب منخفضة (SEO/بحث الذكاء الاصطناعي العضوي + مبيعات B2B بقيادة المؤسس) · قيمة عمر العميل للفرد تقديرياً ~875 ﷼ (ARPU × احتفاظ) · قيمة عقد المؤسسة 6,000–40,000 ﷼ سنوياً باحتفاظ مرتفع لارتباطه بمتطلب تدريبي.</w:t>
      </w:r>
    </w:p>
    <w:p>
      <w:r>
        <w:br w:type="page"/>
      </w:r>
    </w:p>
    <w:p>
      <w:pPr>
        <w:pStyle w:val="Heading1"/>
        <w:pBdr>
          <w:bottom w:val="single" w:color="2D6E8A" w:sz="8"/>
        </w:pBdr>
        <w:bidi/>
        <w:spacing w:after="140" w:before="320"/>
        <w:jc w:val="right"/>
      </w:pPr>
      <w:r>
        <w:rPr>
          <w:rFonts w:ascii="Arial" w:cs="Arial" w:eastAsia="Arial" w:hAnsi="Arial"/>
          <w:b/>
          <w:bCs/>
          <w:color w:val="1C5266"/>
          <w:sz w:val="30"/>
          <w:szCs w:val="30"/>
          <w:rtl/>
        </w:rPr>
        <w:t xml:space="preserve">٨. المخاطر والتخفيف</w:t>
      </w:r>
    </w:p>
    <w:tbl>
      <w:tblPr>
        <w:bidiVisual/>
        <w:tblW w:type="dxa" w:w="9200"/>
        <w:tblBorders>
          <w:top w:val="single" w:color="D4DDE2" w:sz="4"/>
          <w:left w:val="single" w:color="D4DDE2" w:sz="4"/>
          <w:bottom w:val="single" w:color="D4DDE2" w:sz="4"/>
          <w:right w:val="single" w:color="D4DDE2" w:sz="4"/>
          <w:insideH w:val="single" w:color="D4DDE2" w:sz="4"/>
          <w:insideV w:val="single" w:color="D4DDE2" w:sz="4"/>
        </w:tblBorders>
      </w:tblPr>
      <w:tblGrid>
        <w:gridCol w:w="5400"/>
        <w:gridCol w:w="3800"/>
      </w:tblGrid>
      <w:tr>
        <w:trPr>
          <w:tblHeader/>
        </w:trPr>
        <w:tc>
          <w:tcPr>
            <w:tcW w:type="dxa" w:w="5400"/>
            <w:shd w:fill="2D6E8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FFFFFF"/>
                <w:sz w:val="20"/>
                <w:szCs w:val="20"/>
                <w:rtl/>
              </w:rPr>
              <w:t xml:space="preserve">التخفيف</w:t>
            </w:r>
          </w:p>
        </w:tc>
        <w:tc>
          <w:tcPr>
            <w:tcW w:type="dxa" w:w="3800"/>
            <w:shd w:fill="2D6E8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FFFFFF"/>
                <w:sz w:val="20"/>
                <w:szCs w:val="20"/>
                <w:rtl/>
              </w:rPr>
              <w:t xml:space="preserve">المخاطرة</w:t>
            </w:r>
          </w:p>
        </w:tc>
      </w:tr>
      <w:tr>
        <w:tc>
          <w:tcPr>
            <w:tcW w:type="dxa" w:w="54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تصريح الاستقلال حرفيّ وبارز في كل صفحة؛ ونقود المبيعات بأننا تحضير مستقل يُتحقّق منه عبر GACA.</w:t>
            </w:r>
          </w:p>
        </w:tc>
        <w:tc>
          <w:tcPr>
            <w:tcW w:type="dxa" w:w="38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افتراض المشتري ارتباطنا بـ GACA</w:t>
            </w:r>
          </w:p>
        </w:tc>
      </w:tr>
      <w:tr>
        <w:tc>
          <w:tcPr>
            <w:tcW w:type="dxa" w:w="54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الكوربوس مُصدَّر ومُزامَن دورياً؛ وإضافة ملاحظة حداثة AIRAC لكل دفعة.</w:t>
            </w:r>
          </w:p>
        </w:tc>
        <w:tc>
          <w:tcPr>
            <w:tcW w:type="dxa" w:w="38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تغيّر الأنظمة (دورات AIRAC)</w:t>
            </w:r>
          </w:p>
        </w:tc>
      </w:tr>
      <w:tr>
        <w:tc>
          <w:tcPr>
            <w:tcW w:type="dxa" w:w="54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نقود بثنائية اللغة + تقرير الجاهزية + استشهادات كابتن عادل — التقرير هو الإسفين الذي يكسر الاعتراض.</w:t>
            </w:r>
          </w:p>
        </w:tc>
        <w:tc>
          <w:tcPr>
            <w:tcW w:type="dxa" w:w="38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اعتراض «ندرّب من PDF أصلاً»</w:t>
            </w:r>
          </w:p>
        </w:tc>
      </w:tr>
      <w:tr>
        <w:tc>
          <w:tcPr>
            <w:tcW w:type="dxa" w:w="54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البدء بأصغر باقة (Cohort/دفعة واحدة) للدخول السريع، ثم التوسّع.</w:t>
            </w:r>
          </w:p>
        </w:tc>
        <w:tc>
          <w:tcPr>
            <w:tcW w:type="dxa" w:w="38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طول دورات الشراء المؤسسي</w:t>
            </w:r>
          </w:p>
        </w:tc>
      </w:tr>
      <w:tr>
        <w:tc>
          <w:tcPr>
            <w:tcW w:type="dxa" w:w="54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التمويل يضيف أول توظيفين ويقلّل مخاطر الاعتماد على مؤسس واحد.</w:t>
            </w:r>
          </w:p>
        </w:tc>
        <w:tc>
          <w:tcPr>
            <w:tcW w:type="dxa" w:w="38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color w:val="16212C"/>
                <w:sz w:val="20"/>
                <w:szCs w:val="20"/>
                <w:rtl/>
              </w:rPr>
              <w:t xml:space="preserve">الاعتماد على مؤسس منفرد</w:t>
            </w:r>
          </w:p>
        </w:tc>
      </w:tr>
    </w:tbl>
    <w:p>
      <w:pPr>
        <w:pStyle w:val="Heading1"/>
        <w:pBdr>
          <w:bottom w:val="single" w:color="2D6E8A" w:sz="8"/>
        </w:pBdr>
        <w:bidi/>
        <w:spacing w:after="140" w:before="320"/>
        <w:jc w:val="right"/>
      </w:pPr>
      <w:r>
        <w:rPr>
          <w:rFonts w:ascii="Arial" w:cs="Arial" w:eastAsia="Arial" w:hAnsi="Arial"/>
          <w:b/>
          <w:bCs/>
          <w:color w:val="1C5266"/>
          <w:sz w:val="30"/>
          <w:szCs w:val="30"/>
          <w:rtl/>
        </w:rPr>
        <w:t xml:space="preserve">٩. خارطة الطريق والمعالم</w:t>
      </w:r>
    </w:p>
    <w:p>
      <w:pPr>
        <w:bidi/>
        <w:spacing w:after="120" w:before="0" w:line="276"/>
        <w:jc w:val="right"/>
      </w:pPr>
      <w:r>
        <w:rPr>
          <w:rFonts w:ascii="Arial" w:cs="Arial" w:eastAsia="Arial" w:hAnsi="Arial"/>
          <w:b/>
          <w:bCs/>
          <w:i w:val="false"/>
          <w:iCs w:val="false"/>
          <w:color w:val="2D6E8A"/>
          <w:sz w:val="22"/>
          <w:szCs w:val="22"/>
          <w:rtl/>
        </w:rPr>
        <w:t xml:space="preserve">الآن: </w:t>
      </w:r>
      <w:r>
        <w:rPr>
          <w:rFonts w:ascii="Arial" w:cs="Arial" w:eastAsia="Arial" w:hAnsi="Arial"/>
          <w:b w:val="false"/>
          <w:bCs w:val="false"/>
          <w:i w:val="false"/>
          <w:iCs w:val="false"/>
          <w:color w:val="16212C"/>
          <w:sz w:val="22"/>
          <w:szCs w:val="22"/>
          <w:rtl/>
        </w:rPr>
        <w:t xml:space="preserve">المنتج حيّ ويُنشر تلقائياً؛ البنية التجارية جاهزة. نبدأ تفعيل الاشتراكات وأول شركاء B2B.</w:t>
      </w:r>
    </w:p>
    <w:p>
      <w:pPr>
        <w:bidi/>
        <w:spacing w:after="120" w:before="0" w:line="276"/>
        <w:jc w:val="right"/>
      </w:pPr>
      <w:r>
        <w:rPr>
          <w:rFonts w:ascii="Arial" w:cs="Arial" w:eastAsia="Arial" w:hAnsi="Arial"/>
          <w:b/>
          <w:bCs/>
          <w:i w:val="false"/>
          <w:iCs w:val="false"/>
          <w:color w:val="2D6E8A"/>
          <w:sz w:val="22"/>
          <w:szCs w:val="22"/>
          <w:rtl/>
        </w:rPr>
        <w:t xml:space="preserve">الربع 1–2: </w:t>
      </w:r>
      <w:r>
        <w:rPr>
          <w:rFonts w:ascii="Arial" w:cs="Arial" w:eastAsia="Arial" w:hAnsi="Arial"/>
          <w:b w:val="false"/>
          <w:bCs w:val="false"/>
          <w:i w:val="false"/>
          <w:iCs w:val="false"/>
          <w:color w:val="16212C"/>
          <w:sz w:val="22"/>
          <w:szCs w:val="22"/>
          <w:rtl/>
        </w:rPr>
        <w:t xml:space="preserve">3–5 مدارس طيران بخصم السنة الأولى، تقارير جاهزية، ودراسة حالة منشورة → أول 100 ألف ﷼ ARR.</w:t>
      </w:r>
    </w:p>
    <w:p>
      <w:pPr>
        <w:bidi/>
        <w:spacing w:after="120" w:before="0" w:line="276"/>
        <w:jc w:val="right"/>
      </w:pPr>
      <w:r>
        <w:rPr>
          <w:rFonts w:ascii="Arial" w:cs="Arial" w:eastAsia="Arial" w:hAnsi="Arial"/>
          <w:b/>
          <w:bCs/>
          <w:i w:val="false"/>
          <w:iCs w:val="false"/>
          <w:color w:val="2D6E8A"/>
          <w:sz w:val="22"/>
          <w:szCs w:val="22"/>
          <w:rtl/>
        </w:rPr>
        <w:t xml:space="preserve">الربع 2–3: </w:t>
      </w:r>
      <w:r>
        <w:rPr>
          <w:rFonts w:ascii="Arial" w:cs="Arial" w:eastAsia="Arial" w:hAnsi="Arial"/>
          <w:b w:val="false"/>
          <w:bCs w:val="false"/>
          <w:i w:val="false"/>
          <w:iCs w:val="false"/>
          <w:color w:val="16212C"/>
          <w:sz w:val="22"/>
          <w:szCs w:val="22"/>
          <w:rtl/>
        </w:rPr>
        <w:t xml:space="preserve">إطلاق التطبيق الأصلي iOS/Android مع المدفوعات (RevenueCat)، لوحة إدارة B2B، ومزامنة تقدّم الدراسة.</w:t>
      </w:r>
    </w:p>
    <w:p>
      <w:pPr>
        <w:bidi/>
        <w:spacing w:after="120" w:before="0" w:line="276"/>
        <w:jc w:val="right"/>
      </w:pPr>
      <w:r>
        <w:rPr>
          <w:rFonts w:ascii="Arial" w:cs="Arial" w:eastAsia="Arial" w:hAnsi="Arial"/>
          <w:b/>
          <w:bCs/>
          <w:i w:val="false"/>
          <w:iCs w:val="false"/>
          <w:color w:val="2D6E8A"/>
          <w:sz w:val="22"/>
          <w:szCs w:val="22"/>
          <w:rtl/>
        </w:rPr>
        <w:t xml:space="preserve">السنة 2+: </w:t>
      </w:r>
      <w:r>
        <w:rPr>
          <w:rFonts w:ascii="Arial" w:cs="Arial" w:eastAsia="Arial" w:hAnsi="Arial"/>
          <w:b w:val="false"/>
          <w:bCs w:val="false"/>
          <w:i w:val="false"/>
          <w:iCs w:val="false"/>
          <w:color w:val="16212C"/>
          <w:sz w:val="22"/>
          <w:szCs w:val="22"/>
          <w:rtl/>
        </w:rPr>
        <w:t xml:space="preserve">توسّع باقات Academy/Institution، تعميق المحتوى والأدوات، وتعزيز الظهور في البحث والذكاء الاصطناعي.</w:t>
      </w:r>
    </w:p>
    <w:p>
      <w:pPr>
        <w:pStyle w:val="Heading1"/>
        <w:pBdr>
          <w:bottom w:val="single" w:color="2D6E8A" w:sz="8"/>
        </w:pBdr>
        <w:bidi/>
        <w:spacing w:after="140" w:before="320"/>
        <w:jc w:val="right"/>
      </w:pPr>
      <w:r>
        <w:rPr>
          <w:rFonts w:ascii="Arial" w:cs="Arial" w:eastAsia="Arial" w:hAnsi="Arial"/>
          <w:b/>
          <w:bCs/>
          <w:color w:val="1C5266"/>
          <w:sz w:val="30"/>
          <w:szCs w:val="30"/>
          <w:rtl/>
        </w:rPr>
        <w:t xml:space="preserve">١٠. الطلب الاستثماري</w:t>
      </w:r>
    </w:p>
    <w:p>
      <w:pPr>
        <w:bidi/>
        <w:spacing w:after="120" w:before="0" w:line="276"/>
        <w:jc w:val="right"/>
      </w:pPr>
      <w:r>
        <w:rPr>
          <w:rFonts w:ascii="Arial" w:cs="Arial" w:eastAsia="Arial" w:hAnsi="Arial"/>
          <w:b w:val="false"/>
          <w:bCs w:val="false"/>
          <w:i w:val="false"/>
          <w:iCs w:val="false"/>
          <w:color w:val="16212C"/>
          <w:sz w:val="22"/>
          <w:szCs w:val="22"/>
          <w:rtl/>
        </w:rPr>
        <w:t xml:space="preserve">نطلب جولة بذرة (Seed) بقيمة </w:t>
      </w:r>
      <w:r>
        <w:rPr>
          <w:rFonts w:ascii="Arial" w:cs="Arial" w:eastAsia="Arial" w:hAnsi="Arial"/>
          <w:b/>
          <w:bCs/>
          <w:i w:val="false"/>
          <w:iCs w:val="false"/>
          <w:color w:val="9A7623"/>
          <w:sz w:val="26"/>
          <w:szCs w:val="26"/>
          <w:rtl/>
        </w:rPr>
        <w:t xml:space="preserve">2,000,000 ﷼</w:t>
      </w:r>
      <w:r>
        <w:rPr>
          <w:rFonts w:ascii="Arial" w:cs="Arial" w:eastAsia="Arial" w:hAnsi="Arial"/>
          <w:b w:val="false"/>
          <w:bCs w:val="false"/>
          <w:i w:val="false"/>
          <w:iCs w:val="false"/>
          <w:color w:val="16212C"/>
          <w:sz w:val="22"/>
          <w:szCs w:val="22"/>
          <w:rtl/>
        </w:rPr>
        <w:t xml:space="preserve"> — ضمن النطاق القياسي لجولات البذرة في السعودية (1.5–3 مليون ﷼)، وقابلة للتعديل — لتحويل منتج مبنيّ وقاعدة مستخدمين متنامية إلى محرّك إيراد.</w:t>
      </w:r>
    </w:p>
    <w:p>
      <w:pPr>
        <w:pStyle w:val="Heading2"/>
        <w:bidi/>
        <w:spacing w:after="100" w:before="220"/>
        <w:jc w:val="right"/>
      </w:pPr>
      <w:r>
        <w:rPr>
          <w:rFonts w:ascii="Arial" w:cs="Arial" w:eastAsia="Arial" w:hAnsi="Arial"/>
          <w:b/>
          <w:bCs/>
          <w:color w:val="2D6E8A"/>
          <w:sz w:val="24"/>
          <w:szCs w:val="24"/>
          <w:rtl/>
        </w:rPr>
        <w:t xml:space="preserve">توزيع استخدام الأموال</w:t>
      </w:r>
    </w:p>
    <w:tbl>
      <w:tblPr>
        <w:bidiVisual/>
        <w:tblW w:type="dxa" w:w="9200"/>
        <w:tblBorders>
          <w:top w:val="single" w:color="D4DDE2" w:sz="4"/>
          <w:left w:val="single" w:color="D4DDE2" w:sz="4"/>
          <w:bottom w:val="single" w:color="D4DDE2" w:sz="4"/>
          <w:right w:val="single" w:color="D4DDE2" w:sz="4"/>
          <w:insideH w:val="single" w:color="D4DDE2" w:sz="4"/>
          <w:insideV w:val="single" w:color="D4DDE2" w:sz="4"/>
        </w:tblBorders>
      </w:tblPr>
      <w:tblGrid>
        <w:gridCol w:w="4600"/>
        <w:gridCol w:w="2200"/>
        <w:gridCol w:w="2400"/>
      </w:tblGrid>
      <w:tr>
        <w:trPr>
          <w:tblHeader/>
        </w:trPr>
        <w:tc>
          <w:tcPr>
            <w:tcW w:type="dxa" w:w="4600"/>
            <w:shd w:fill="2D6E8A"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FFFFFF"/>
                <w:sz w:val="20"/>
                <w:szCs w:val="20"/>
                <w:rtl/>
              </w:rPr>
              <w:t xml:space="preserve">الغرض</w:t>
            </w:r>
          </w:p>
        </w:tc>
        <w:tc>
          <w:tcPr>
            <w:tcW w:type="dxa" w:w="2200"/>
            <w:shd w:fill="2D6E8A"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FFFFFF"/>
                <w:sz w:val="20"/>
                <w:szCs w:val="20"/>
                <w:rtl/>
              </w:rPr>
              <w:t xml:space="preserve">النسبة</w:t>
            </w:r>
          </w:p>
        </w:tc>
        <w:tc>
          <w:tcPr>
            <w:tcW w:type="dxa" w:w="2400"/>
            <w:shd w:fill="2D6E8A"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FFFFFF"/>
                <w:sz w:val="20"/>
                <w:szCs w:val="20"/>
                <w:rtl/>
              </w:rPr>
              <w:t xml:space="preserve">المبلغ (﷼)</w:t>
            </w:r>
          </w:p>
        </w:tc>
      </w:tr>
      <w:tr>
        <w:tc>
          <w:tcPr>
            <w:tcW w:type="dxa" w:w="46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منتج ومحتوى (توسيع الكوربوس والأدوات + إطلاق الأصلي)</w:t>
            </w:r>
          </w:p>
        </w:tc>
        <w:tc>
          <w:tcPr>
            <w:tcW w:type="dxa" w:w="22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35٪</w:t>
            </w:r>
          </w:p>
        </w:tc>
        <w:tc>
          <w:tcPr>
            <w:tcW w:type="dxa" w:w="24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16212C"/>
                <w:sz w:val="20"/>
                <w:szCs w:val="20"/>
                <w:rtl/>
              </w:rPr>
              <w:t xml:space="preserve">700,000</w:t>
            </w:r>
          </w:p>
        </w:tc>
      </w:tr>
      <w:tr>
        <w:tc>
          <w:tcPr>
            <w:tcW w:type="dxa" w:w="46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مبيعات B2B وشراكات المدارس</w:t>
            </w:r>
          </w:p>
        </w:tc>
        <w:tc>
          <w:tcPr>
            <w:tcW w:type="dxa" w:w="2200"/>
            <w:shd w:fill="F2F6F8"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25٪</w:t>
            </w:r>
          </w:p>
        </w:tc>
        <w:tc>
          <w:tcPr>
            <w:tcW w:type="dxa" w:w="2400"/>
            <w:shd w:fill="F2F6F8"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16212C"/>
                <w:sz w:val="20"/>
                <w:szCs w:val="20"/>
                <w:rtl/>
              </w:rPr>
              <w:t xml:space="preserve">500,000</w:t>
            </w:r>
          </w:p>
        </w:tc>
      </w:tr>
      <w:tr>
        <w:tc>
          <w:tcPr>
            <w:tcW w:type="dxa" w:w="46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تسويق ونمو (SEO / بحث الذكاء الاصطناعي + اكتساب)</w:t>
            </w:r>
          </w:p>
        </w:tc>
        <w:tc>
          <w:tcPr>
            <w:tcW w:type="dxa" w:w="22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20٪</w:t>
            </w:r>
          </w:p>
        </w:tc>
        <w:tc>
          <w:tcPr>
            <w:tcW w:type="dxa" w:w="24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16212C"/>
                <w:sz w:val="20"/>
                <w:szCs w:val="20"/>
                <w:rtl/>
              </w:rPr>
              <w:t xml:space="preserve">400,000</w:t>
            </w:r>
          </w:p>
        </w:tc>
      </w:tr>
      <w:tr>
        <w:tc>
          <w:tcPr>
            <w:tcW w:type="dxa" w:w="4600"/>
            <w:shd w:fill="F2F6F8"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توظيف (مطوّر + مسؤول محتوى/مبيعات)</w:t>
            </w:r>
          </w:p>
        </w:tc>
        <w:tc>
          <w:tcPr>
            <w:tcW w:type="dxa" w:w="2200"/>
            <w:shd w:fill="F2F6F8"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15٪</w:t>
            </w:r>
          </w:p>
        </w:tc>
        <w:tc>
          <w:tcPr>
            <w:tcW w:type="dxa" w:w="2400"/>
            <w:shd w:fill="F2F6F8"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16212C"/>
                <w:sz w:val="20"/>
                <w:szCs w:val="20"/>
                <w:rtl/>
              </w:rPr>
              <w:t xml:space="preserve">300,000</w:t>
            </w:r>
          </w:p>
        </w:tc>
      </w:tr>
      <w:tr>
        <w:tc>
          <w:tcPr>
            <w:tcW w:type="dxa" w:w="4600"/>
            <w:shd w:fill="FFFFFF"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color w:val="16212C"/>
                <w:sz w:val="20"/>
                <w:szCs w:val="20"/>
                <w:rtl/>
              </w:rPr>
              <w:t xml:space="preserve">تشغيل وبنية</w:t>
            </w:r>
          </w:p>
        </w:tc>
        <w:tc>
          <w:tcPr>
            <w:tcW w:type="dxa" w:w="22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val="false"/>
                <w:bCs w:val="false"/>
                <w:i w:val="false"/>
                <w:iCs w:val="false"/>
                <w:color w:val="16212C"/>
                <w:sz w:val="20"/>
                <w:szCs w:val="20"/>
                <w:rtl/>
              </w:rPr>
              <w:t xml:space="preserve">5٪</w:t>
            </w:r>
          </w:p>
        </w:tc>
        <w:tc>
          <w:tcPr>
            <w:tcW w:type="dxa" w:w="2400"/>
            <w:shd w:fill="FFFFFF" w:color="auto" w:val="clear"/>
            <w:tcMar>
              <w:top w:type="dxa" w:w="60"/>
              <w:left w:type="dxa" w:w="90"/>
              <w:bottom w:type="dxa" w:w="60"/>
              <w:right w:type="dxa" w:w="90"/>
            </w:tcMar>
            <w:vAlign w:val="center"/>
          </w:tcPr>
          <w:p>
            <w:pPr>
              <w:bidi/>
              <w:spacing w:after="0" w:line="260"/>
              <w:jc w:val="center"/>
            </w:pPr>
            <w:r>
              <w:rPr>
                <w:rFonts w:ascii="Arial" w:cs="Arial" w:eastAsia="Arial" w:hAnsi="Arial"/>
                <w:b/>
                <w:bCs/>
                <w:i w:val="false"/>
                <w:iCs w:val="false"/>
                <w:color w:val="16212C"/>
                <w:sz w:val="20"/>
                <w:szCs w:val="20"/>
                <w:rtl/>
              </w:rPr>
              <w:t xml:space="preserve">100,000</w:t>
            </w:r>
          </w:p>
        </w:tc>
      </w:tr>
    </w:tbl>
    <w:p>
      <w:pPr>
        <w:bidi/>
        <w:spacing w:after="120" w:before="0" w:line="276"/>
        <w:jc w:val="right"/>
      </w:pPr>
      <w:r>
        <w:rPr>
          <w:rFonts w:ascii="Arial" w:cs="Arial" w:eastAsia="Arial" w:hAnsi="Arial"/>
          <w:b/>
          <w:bCs/>
          <w:i w:val="false"/>
          <w:iCs w:val="false"/>
          <w:color w:val="16212C"/>
          <w:sz w:val="22"/>
          <w:szCs w:val="22"/>
          <w:rtl/>
        </w:rPr>
        <w:t xml:space="preserve">المعالم التي يفتحها التمويل: </w:t>
      </w:r>
      <w:r>
        <w:rPr>
          <w:rFonts w:ascii="Arial" w:cs="Arial" w:eastAsia="Arial" w:hAnsi="Arial"/>
          <w:b w:val="false"/>
          <w:bCs w:val="false"/>
          <w:i w:val="false"/>
          <w:iCs w:val="false"/>
          <w:color w:val="16212C"/>
          <w:sz w:val="22"/>
          <w:szCs w:val="22"/>
          <w:rtl/>
        </w:rPr>
        <w:t xml:space="preserve">أول 100 ألف ﷼ ARR من B2B، إطلاق التطبيق الأصلي، وتفعيل تحويل القاعدة المجانية إلى مشتركين مدفوعين.</w:t>
      </w:r>
    </w:p>
    <w:p>
      <w:pPr>
        <w:pStyle w:val="Heading1"/>
        <w:pBdr>
          <w:bottom w:val="single" w:color="2D6E8A" w:sz="8"/>
        </w:pBdr>
        <w:bidi/>
        <w:spacing w:after="140" w:before="320"/>
        <w:jc w:val="right"/>
      </w:pPr>
      <w:r>
        <w:rPr>
          <w:rFonts w:ascii="Arial" w:cs="Arial" w:eastAsia="Arial" w:hAnsi="Arial"/>
          <w:b/>
          <w:bCs/>
          <w:color w:val="1C5266"/>
          <w:sz w:val="30"/>
          <w:szCs w:val="30"/>
          <w:rtl/>
        </w:rPr>
        <w:t xml:space="preserve">١١. الفريق</w:t>
      </w:r>
    </w:p>
    <w:p>
      <w:pPr>
        <w:bidi/>
        <w:spacing w:after="120" w:before="0" w:line="276"/>
        <w:jc w:val="right"/>
      </w:pPr>
      <w:r>
        <w:rPr>
          <w:rFonts w:ascii="Arial" w:cs="Arial" w:eastAsia="Arial" w:hAnsi="Arial"/>
          <w:b/>
          <w:bCs/>
          <w:i w:val="false"/>
          <w:iCs w:val="false"/>
          <w:color w:val="16212C"/>
          <w:sz w:val="22"/>
          <w:szCs w:val="22"/>
          <w:rtl/>
        </w:rPr>
        <w:t xml:space="preserve">عادل يحي احمد مدخلي — المؤسس والمطوّر. </w:t>
      </w:r>
      <w:r>
        <w:rPr>
          <w:rFonts w:ascii="Arial" w:cs="Arial" w:eastAsia="Arial" w:hAnsi="Arial"/>
          <w:b w:val="false"/>
          <w:bCs w:val="false"/>
          <w:i w:val="false"/>
          <w:iCs w:val="false"/>
          <w:color w:val="16212C"/>
          <w:sz w:val="22"/>
          <w:szCs w:val="22"/>
          <w:rtl/>
        </w:rPr>
        <w:t xml:space="preserve">صاحب الفكرة والمطوّر الذي بنى المنصّة كاملة (الواجهة، الخلفية، والكوربوس التنظيمي) وبرمج مساعد كابتن عادل (RAG) بنفسه — والمساعد يحمل اسمه. منتج حيّ متكامل أنجزه مؤسس واحد — دليل قدرة تنفيذ ورأس مال بشري فعّال.</w:t>
      </w:r>
    </w:p>
    <w:p>
      <w:pPr>
        <w:bidi/>
        <w:spacing w:after="120" w:before="0" w:line="276"/>
        <w:jc w:val="right"/>
      </w:pPr>
      <w:r>
        <w:rPr>
          <w:rFonts w:ascii="Arial" w:cs="Arial" w:eastAsia="Arial" w:hAnsi="Arial"/>
          <w:b w:val="false"/>
          <w:bCs w:val="false"/>
          <w:i w:val="false"/>
          <w:iCs w:val="false"/>
          <w:color w:val="16212C"/>
          <w:sz w:val="22"/>
          <w:szCs w:val="22"/>
          <w:rtl/>
        </w:rPr>
        <w:t xml:space="preserve">التمويل يحوّل الفريق من مؤسس-واحد إلى نواة صغيرة: أول توظيفين مطوّر ومسؤول محتوى/مبيعات — لتسريع النمو الذي أثبت المنتج جاهزيته له.</w:t>
      </w:r>
    </w:p>
    <w:p>
      <w:pPr>
        <w:pStyle w:val="Heading1"/>
        <w:pBdr>
          <w:bottom w:val="single" w:color="2D6E8A" w:sz="8"/>
        </w:pBdr>
        <w:bidi/>
        <w:spacing w:after="140" w:before="320"/>
        <w:jc w:val="right"/>
      </w:pPr>
      <w:r>
        <w:rPr>
          <w:rFonts w:ascii="Arial" w:cs="Arial" w:eastAsia="Arial" w:hAnsi="Arial"/>
          <w:b/>
          <w:bCs/>
          <w:color w:val="1C5266"/>
          <w:sz w:val="30"/>
          <w:szCs w:val="30"/>
          <w:rtl/>
        </w:rPr>
        <w:t xml:space="preserve">١٢. الخاتمة والتواصل</w:t>
      </w:r>
    </w:p>
    <w:p>
      <w:pPr>
        <w:bidi/>
        <w:spacing w:after="120" w:before="0" w:line="276"/>
        <w:jc w:val="right"/>
      </w:pPr>
      <w:r>
        <w:rPr>
          <w:rFonts w:ascii="Arial" w:cs="Arial" w:eastAsia="Arial" w:hAnsi="Arial"/>
          <w:b w:val="false"/>
          <w:bCs w:val="false"/>
          <w:i w:val="false"/>
          <w:iCs w:val="false"/>
          <w:color w:val="16212C"/>
          <w:sz w:val="22"/>
          <w:szCs w:val="22"/>
          <w:rtl/>
        </w:rPr>
        <w:t xml:space="preserve">منتج مبنيّ، سوق يتوسّع، ومؤسس ينفّذ. تمويل البذرة هو المفتاح الذي يحوّل قاعدة مجانية متنامية إلى إيراد مستدام عبر الأفراد والمؤسسات. نرحّب بمناقشة الفرصة بالتفصيل.</w:t>
      </w:r>
    </w:p>
    <w:p>
      <w:pPr>
        <w:bidi/>
        <w:spacing w:after="120" w:before="0" w:line="276"/>
        <w:jc w:val="right"/>
      </w:pPr>
      <w:r>
        <w:rPr>
          <w:rFonts w:ascii="Arial" w:cs="Arial" w:eastAsia="Arial" w:hAnsi="Arial"/>
          <w:b/>
          <w:bCs/>
          <w:i w:val="false"/>
          <w:iCs w:val="false"/>
          <w:color w:val="16212C"/>
          <w:sz w:val="22"/>
          <w:szCs w:val="22"/>
          <w:rtl/>
        </w:rPr>
        <w:t xml:space="preserve">التواصل: </w:t>
      </w:r>
      <w:r>
        <w:rPr>
          <w:rFonts w:ascii="Arial" w:cs="Arial" w:eastAsia="Arial" w:hAnsi="Arial"/>
          <w:b w:val="false"/>
          <w:bCs w:val="false"/>
          <w:i w:val="false"/>
          <w:iCs w:val="false"/>
          <w:color w:val="16212C"/>
          <w:sz w:val="22"/>
          <w:szCs w:val="22"/>
          <w:rtl/>
        </w:rPr>
        <w:t xml:space="preserve">flygaca.com · flygaca@gmail.com</w:t>
      </w:r>
    </w:p>
    <w:p>
      <w:pPr>
        <w:spacing w:after="120"/>
      </w:pPr>
    </w:p>
    <w:p>
      <w:pPr>
        <w:bidi/>
        <w:spacing w:after="120" w:before="0" w:line="276"/>
        <w:jc w:val="right"/>
      </w:pPr>
      <w:r>
        <w:rPr>
          <w:rFonts w:ascii="Arial" w:cs="Arial" w:eastAsia="Arial" w:hAnsi="Arial"/>
          <w:b/>
          <w:bCs/>
          <w:i w:val="false"/>
          <w:iCs w:val="false"/>
          <w:color w:val="B1442B"/>
          <w:sz w:val="22"/>
          <w:szCs w:val="22"/>
          <w:rtl/>
        </w:rPr>
        <w:t xml:space="preserve">إخلاء مسؤولية: </w:t>
      </w:r>
      <w:r>
        <w:rPr>
          <w:rFonts w:ascii="Arial" w:cs="Arial" w:eastAsia="Arial" w:hAnsi="Arial"/>
          <w:b w:val="false"/>
          <w:bCs w:val="false"/>
          <w:i w:val="false"/>
          <w:iCs w:val="false"/>
          <w:color w:val="44515C"/>
          <w:sz w:val="18"/>
          <w:szCs w:val="18"/>
          <w:rtl/>
        </w:rPr>
        <w:t xml:space="preserve">Fly GACA منصّة تعليمية مستقلة وغير تابعة للهيئة العامة للطيران المدني (GACA). نساعد على إيجاد ودراسة الأنظمة ولا نحلّ محل المصدر الرسمي — تحقّق دائماً من GACA. التوقعات المالية في هذه الوثيقة نموذج قائم على افتراضات لأغراض العرض، وليست ضماناً لأداء مستقبلي.</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44515C"/>
        <w:sz w:val="16"/>
        <w:szCs w:val="16"/>
        <w:rtl/>
      </w:rPr>
      <w:t xml:space="preserve">Fly GACA · دراسة جدوى · سرّي · </w:t>
    </w:r>
    <w:r>
      <w:rPr>
        <w:rFonts w:ascii="Arial" w:cs="Arial" w:eastAsia="Arial" w:hAnsi="Arial"/>
        <w:color w:val="4451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1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 GACA — دراسة جدوى وتوقعات دخل</dc:title>
  <dc:creator>Fly GACA</dc:creator>
  <cp:lastModifiedBy>Un-named</cp:lastModifiedBy>
  <cp:revision>1</cp:revision>
  <dcterms:created xsi:type="dcterms:W3CDTF">2026-07-20T20:46:59.261Z</dcterms:created>
  <dcterms:modified xsi:type="dcterms:W3CDTF">2026-07-20T20:46:59.262Z</dcterms:modified>
</cp:coreProperties>
</file>

<file path=docProps/custom.xml><?xml version="1.0" encoding="utf-8"?>
<Properties xmlns="http://schemas.openxmlformats.org/officeDocument/2006/custom-properties" xmlns:vt="http://schemas.openxmlformats.org/officeDocument/2006/docPropsVTypes"/>
</file>