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C5266"/>
          <w:sz w:val="64"/>
          <w:szCs w:val="64"/>
        </w:rPr>
        <w:t xml:space="preserve">Fly GACA</w:t>
      </w:r>
    </w:p>
    <w:p>
      <w:pPr>
        <w:spacing w:after="60"/>
        <w:jc w:val="center"/>
      </w:pPr>
      <w:r>
        <w:rPr>
          <w:rFonts w:ascii="Arial" w:cs="Arial" w:eastAsia="Arial" w:hAnsi="Arial"/>
          <w:color w:val="44515C"/>
          <w:sz w:val="24"/>
          <w:szCs w:val="24"/>
        </w:rPr>
        <w:t xml:space="preserve">The regulatory library for Saudi civil aviation · and the Captain Adel AI assistant</w:t>
      </w:r>
    </w:p>
    <w:p>
      <w:pPr>
        <w:spacing w:after="40" w:before="480"/>
        <w:jc w:val="center"/>
      </w:pPr>
      <w:r>
        <w:rPr>
          <w:rFonts w:ascii="Arial" w:cs="Arial" w:eastAsia="Arial" w:hAnsi="Arial"/>
          <w:b/>
          <w:bCs/>
          <w:color w:val="16212C"/>
          <w:sz w:val="40"/>
          <w:szCs w:val="40"/>
        </w:rPr>
        <w:t xml:space="preserve">Feasibility Study &amp; Revenue Projections</w:t>
      </w:r>
    </w:p>
    <w:p>
      <w:pPr>
        <w:spacing w:after="40"/>
        <w:jc w:val="center"/>
      </w:pPr>
      <w:r>
        <w:rPr>
          <w:rFonts w:ascii="Arial" w:cs="Arial" w:eastAsia="Arial" w:hAnsi="Arial"/>
          <w:color w:val="44515C"/>
          <w:sz w:val="22"/>
          <w:szCs w:val="22"/>
        </w:rPr>
        <w:t xml:space="preserve">Overview · The idea · Market analysis · Financial model</w:t>
      </w:r>
    </w:p>
    <w:p>
      <w:pPr>
        <w:spacing w:after="30" w:before="520"/>
        <w:jc w:val="center"/>
      </w:pPr>
      <w:r>
        <w:rPr>
          <w:rFonts w:ascii="Arial" w:cs="Arial" w:eastAsia="Arial" w:hAnsi="Arial"/>
          <w:b/>
          <w:bCs/>
          <w:color w:val="9A7623"/>
          <w:sz w:val="22"/>
          <w:szCs w:val="22"/>
        </w:rPr>
        <w:t xml:space="preserve">Prepared for a prospective investor — Seed round</w:t>
      </w:r>
    </w:p>
    <w:p>
      <w:pPr>
        <w:jc w:val="center"/>
      </w:pPr>
      <w:r>
        <w:rPr>
          <w:rFonts w:ascii="Arial" w:cs="Arial" w:eastAsia="Arial" w:hAnsi="Arial"/>
          <w:color w:val="44515C"/>
          <w:sz w:val="20"/>
          <w:szCs w:val="20"/>
        </w:rPr>
        <w:t xml:space="preserve">July 2026 · Confidential</w:t>
      </w:r>
    </w:p>
    <w:p>
      <w:pPr>
        <w:spacing w:before="900"/>
        <w:jc w:val="center"/>
      </w:pPr>
      <w:r>
        <w:rPr>
          <w:rFonts w:ascii="Arial" w:cs="Arial" w:eastAsia="Arial" w:hAnsi="Arial"/>
          <w:i/>
          <w:iCs/>
          <w:color w:val="44515C"/>
          <w:sz w:val="18"/>
          <w:szCs w:val="18"/>
        </w:rPr>
        <w:t xml:space="preserve">Fly GACA is an independent educational platform and is not affiliated with the General Authority of Civil Aviation (GACA).</w:t>
      </w:r>
    </w:p>
    <w:p>
      <w:r>
        <w:br w:type="page"/>
      </w:r>
    </w:p>
    <w:p>
      <w:pPr>
        <w:pStyle w:val="Heading1"/>
        <w:pBdr>
          <w:bottom w:val="single" w:color="2D6E8A" w:sz="8"/>
        </w:pBdr>
        <w:spacing w:after="140" w:before="320"/>
      </w:pPr>
      <w:r>
        <w:rPr>
          <w:rFonts w:ascii="Arial" w:cs="Arial" w:eastAsia="Arial" w:hAnsi="Arial"/>
          <w:b/>
          <w:bCs/>
          <w:color w:val="1C5266"/>
          <w:sz w:val="30"/>
          <w:szCs w:val="30"/>
        </w:rPr>
        <w:t xml:space="preserve">1. Executive Summary</w:t>
      </w:r>
    </w:p>
    <w:p>
      <w:pPr>
        <w:spacing w:after="120" w:before="0" w:line="276"/>
        <w:jc w:val="left"/>
      </w:pPr>
      <w:r>
        <w:rPr>
          <w:rFonts w:ascii="Arial" w:cs="Arial" w:eastAsia="Arial" w:hAnsi="Arial"/>
          <w:b/>
          <w:bCs/>
          <w:i w:val="false"/>
          <w:iCs w:val="false"/>
          <w:color w:val="16212C"/>
          <w:sz w:val="22"/>
          <w:szCs w:val="22"/>
        </w:rPr>
        <w:t xml:space="preserve">Fly GACA </w:t>
      </w:r>
      <w:r>
        <w:rPr>
          <w:rFonts w:ascii="Arial" w:cs="Arial" w:eastAsia="Arial" w:hAnsi="Arial"/>
          <w:b w:val="false"/>
          <w:bCs w:val="false"/>
          <w:i w:val="false"/>
          <w:iCs w:val="false"/>
          <w:color w:val="16212C"/>
          <w:sz w:val="22"/>
          <w:szCs w:val="22"/>
        </w:rPr>
        <w:t xml:space="preserve">is an independent educational platform and open regulatory library for Saudi civil aviation — bringing every GACAR Part and aviation document into one searchable reference, in Arabic and English, with an AI assistant (“Captain Adel”) that answers and cites the exact Part and section. The product is fully built and shipped to production.</w:t>
      </w:r>
    </w:p>
    <w:p>
      <w:pPr>
        <w:spacing w:after="120" w:before="0" w:line="276"/>
        <w:jc w:val="left"/>
      </w:pPr>
      <w:r>
        <w:rPr>
          <w:rFonts w:ascii="Arial" w:cs="Arial" w:eastAsia="Arial" w:hAnsi="Arial"/>
          <w:b w:val="false"/>
          <w:bCs w:val="false"/>
          <w:i w:val="false"/>
          <w:iCs w:val="false"/>
          <w:color w:val="16212C"/>
          <w:sz w:val="22"/>
          <w:szCs w:val="22"/>
        </w:rPr>
        <w:t xml:space="preserve">We are currently pre-revenue by design: paywalls are open to build a user base and market trust, while the commercial machinery (Stripe subscriptions, institutional seats, prep packs) is built, wired, and ready to switch on. We are raising a seed round to convert this base into a sustainable revenue engine across individuals and flight schools.</w:t>
      </w:r>
    </w:p>
    <w:p>
      <w:pPr>
        <w:pStyle w:val="Heading2"/>
        <w:spacing w:after="100" w:before="220"/>
      </w:pPr>
      <w:r>
        <w:rPr>
          <w:rFonts w:ascii="Arial" w:cs="Arial" w:eastAsia="Arial" w:hAnsi="Arial"/>
          <w:b/>
          <w:bCs/>
          <w:color w:val="2D6E8A"/>
          <w:sz w:val="24"/>
          <w:szCs w:val="24"/>
        </w:rPr>
        <w:t xml:space="preserve">Highlights</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Complete product: </w:t>
      </w:r>
      <w:r>
        <w:rPr>
          <w:rFonts w:ascii="Arial" w:cs="Arial" w:eastAsia="Arial" w:hAnsi="Arial"/>
          <w:b w:val="false"/>
          <w:bCs w:val="false"/>
          <w:i w:val="false"/>
          <w:iCs w:val="false"/>
          <w:color w:val="16212C"/>
          <w:sz w:val="22"/>
          <w:szCs w:val="22"/>
        </w:rPr>
        <w:t xml:space="preserve">a library of 74 GACAR Parts, 205 global reference docs and 46,369 search entries; 55 live flight tools; a RAG assistant; and a full study hub.</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Expanding market: </w:t>
      </w:r>
      <w:r>
        <w:rPr>
          <w:rFonts w:ascii="Arial" w:cs="Arial" w:eastAsia="Arial" w:hAnsi="Arial"/>
          <w:b w:val="false"/>
          <w:bCs w:val="false"/>
          <w:i w:val="false"/>
          <w:iCs w:val="false"/>
          <w:color w:val="16212C"/>
          <w:sz w:val="22"/>
          <w:szCs w:val="22"/>
        </w:rPr>
        <w:t xml:space="preserve">Saudi aviation is growing rapidly under Vision 2030 — rising demand for pilots and training.</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Competitive moat: </w:t>
      </w:r>
      <w:r>
        <w:rPr>
          <w:rFonts w:ascii="Arial" w:cs="Arial" w:eastAsia="Arial" w:hAnsi="Arial"/>
          <w:b w:val="false"/>
          <w:bCs w:val="false"/>
          <w:i w:val="false"/>
          <w:iCs w:val="false"/>
          <w:color w:val="16212C"/>
          <w:sz w:val="22"/>
          <w:szCs w:val="22"/>
        </w:rPr>
        <w:t xml:space="preserve">a structured, bilingual Saudi corpus + source citation — which no competitor has today.</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Attractive economics: </w:t>
      </w:r>
      <w:r>
        <w:rPr>
          <w:rFonts w:ascii="Arial" w:cs="Arial" w:eastAsia="Arial" w:hAnsi="Arial"/>
          <w:b w:val="false"/>
          <w:bCs w:val="false"/>
          <w:i w:val="false"/>
          <w:iCs w:val="false"/>
          <w:color w:val="16212C"/>
          <w:sz w:val="22"/>
          <w:szCs w:val="22"/>
        </w:rPr>
        <w:t xml:space="preserve">estimated 85–90% gross margin, low acquisition cost, and recurring revenue.</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The ask: </w:t>
      </w:r>
      <w:r>
        <w:rPr>
          <w:rFonts w:ascii="Arial" w:cs="Arial" w:eastAsia="Arial" w:hAnsi="Arial"/>
          <w:b w:val="false"/>
          <w:bCs w:val="false"/>
          <w:i w:val="false"/>
          <w:iCs w:val="false"/>
          <w:color w:val="16212C"/>
          <w:sz w:val="22"/>
          <w:szCs w:val="22"/>
        </w:rPr>
        <w:t xml:space="preserve">a SAR 2,000,000 seed round to activate growth, launch the native app, and build a B2B pipeline.</w:t>
      </w:r>
    </w:p>
    <w:p>
      <w:pPr>
        <w:spacing w:after="120" w:before="0" w:line="276"/>
        <w:jc w:val="left"/>
      </w:pPr>
      <w:r>
        <w:rPr>
          <w:rFonts w:ascii="Arial" w:cs="Arial" w:eastAsia="Arial" w:hAnsi="Arial"/>
          <w:b/>
          <w:bCs/>
          <w:i w:val="false"/>
          <w:iCs w:val="false"/>
          <w:color w:val="B1442B"/>
          <w:sz w:val="22"/>
          <w:szCs w:val="22"/>
        </w:rPr>
        <w:t xml:space="preserve">Note: </w:t>
      </w:r>
      <w:r>
        <w:rPr>
          <w:rFonts w:ascii="Arial" w:cs="Arial" w:eastAsia="Arial" w:hAnsi="Arial"/>
          <w:b w:val="false"/>
          <w:bCs w:val="false"/>
          <w:i w:val="false"/>
          <w:iCs w:val="false"/>
          <w:color w:val="16212C"/>
          <w:sz w:val="22"/>
          <w:szCs w:val="22"/>
        </w:rPr>
        <w:t xml:space="preserve">all forward financial figures in this document are an assumptions-based model for valuation, not realized revenue; current prices are real, from the product.</w:t>
      </w:r>
    </w:p>
    <w:p>
      <w:pPr>
        <w:pStyle w:val="Heading1"/>
        <w:pBdr>
          <w:bottom w:val="single" w:color="2D6E8A" w:sz="8"/>
        </w:pBdr>
        <w:spacing w:after="140" w:before="320"/>
      </w:pPr>
      <w:r>
        <w:rPr>
          <w:rFonts w:ascii="Arial" w:cs="Arial" w:eastAsia="Arial" w:hAnsi="Arial"/>
          <w:b/>
          <w:bCs/>
          <w:color w:val="1C5266"/>
          <w:sz w:val="30"/>
          <w:szCs w:val="30"/>
        </w:rPr>
        <w:t xml:space="preserve">2. Product Overview</w:t>
      </w:r>
    </w:p>
    <w:p>
      <w:pPr>
        <w:spacing w:after="120" w:before="0" w:line="276"/>
        <w:jc w:val="left"/>
      </w:pPr>
      <w:r>
        <w:rPr>
          <w:rFonts w:ascii="Arial" w:cs="Arial" w:eastAsia="Arial" w:hAnsi="Arial"/>
          <w:b/>
          <w:bCs/>
          <w:i w:val="false"/>
          <w:iCs w:val="false"/>
          <w:color w:val="16212C"/>
          <w:sz w:val="22"/>
          <w:szCs w:val="22"/>
        </w:rPr>
        <w:t xml:space="preserve">Mission: </w:t>
      </w:r>
      <w:r>
        <w:rPr>
          <w:rFonts w:ascii="Arial" w:cs="Arial" w:eastAsia="Arial" w:hAnsi="Arial"/>
          <w:b w:val="false"/>
          <w:bCs w:val="false"/>
          <w:i w:val="false"/>
          <w:iCs w:val="false"/>
          <w:color w:val="16212C"/>
          <w:sz w:val="22"/>
          <w:szCs w:val="22"/>
        </w:rPr>
        <w:t xml:space="preserve">to be the “digital flight deck” for Saudi civil aviation — one place where a pilot, student, or instructor can find the regulation, understand it, and apply it, in their language.</w:t>
      </w:r>
    </w:p>
    <w:p>
      <w:pPr>
        <w:spacing w:after="120" w:before="0" w:line="276"/>
        <w:jc w:val="left"/>
      </w:pPr>
      <w:r>
        <w:rPr>
          <w:rFonts w:ascii="Arial" w:cs="Arial" w:eastAsia="Arial" w:hAnsi="Arial"/>
          <w:b/>
          <w:bCs/>
          <w:i w:val="false"/>
          <w:iCs w:val="false"/>
          <w:color w:val="16212C"/>
          <w:sz w:val="22"/>
          <w:szCs w:val="22"/>
        </w:rPr>
        <w:t xml:space="preserve">Status today: </w:t>
      </w:r>
      <w:r>
        <w:rPr>
          <w:rFonts w:ascii="Arial" w:cs="Arial" w:eastAsia="Arial" w:hAnsi="Arial"/>
          <w:b w:val="false"/>
          <w:bCs w:val="false"/>
          <w:i w:val="false"/>
          <w:iCs w:val="false"/>
          <w:color w:val="16212C"/>
          <w:sz w:val="22"/>
          <w:szCs w:val="22"/>
        </w:rPr>
        <w:t xml:space="preserve">the full rebuild (React/TypeScript/Vite) is complete and auto-deploys to production. The library and search, Captain Adel, 55 tools, the study hub, and accounts &amp; commerce are all live. The backend runs on Firebase Cloud Functions in me-central1 (Riyadh/Gulf), giving a data-residency edge and proximity to institutional customers.</w:t>
      </w:r>
    </w:p>
    <w:p>
      <w:pPr>
        <w:spacing w:after="120" w:before="0" w:line="276"/>
        <w:jc w:val="left"/>
      </w:pPr>
      <w:r>
        <w:rPr>
          <w:rFonts w:ascii="Arial" w:cs="Arial" w:eastAsia="Arial" w:hAnsi="Arial"/>
          <w:b/>
          <w:bCs/>
          <w:i w:val="false"/>
          <w:iCs w:val="false"/>
          <w:color w:val="16212C"/>
          <w:sz w:val="22"/>
          <w:szCs w:val="22"/>
        </w:rPr>
        <w:t xml:space="preserve">Reach: </w:t>
      </w:r>
      <w:r>
        <w:rPr>
          <w:rFonts w:ascii="Arial" w:cs="Arial" w:eastAsia="Arial" w:hAnsi="Arial"/>
          <w:b w:val="false"/>
          <w:bCs w:val="false"/>
          <w:i w:val="false"/>
          <w:iCs w:val="false"/>
          <w:color w:val="16212C"/>
          <w:sz w:val="22"/>
          <w:szCs w:val="22"/>
        </w:rPr>
        <w:t xml:space="preserve">an offline-capable progressive web app (PWA) plus native iOS/Android via Capacitor.</w:t>
      </w:r>
    </w:p>
    <w:p>
      <w:pPr>
        <w:pStyle w:val="Heading1"/>
        <w:pBdr>
          <w:bottom w:val="single" w:color="2D6E8A" w:sz="8"/>
        </w:pBdr>
        <w:spacing w:after="140" w:before="320"/>
      </w:pPr>
      <w:r>
        <w:rPr>
          <w:rFonts w:ascii="Arial" w:cs="Arial" w:eastAsia="Arial" w:hAnsi="Arial"/>
          <w:b/>
          <w:bCs/>
          <w:color w:val="1C5266"/>
          <w:sz w:val="30"/>
          <w:szCs w:val="30"/>
        </w:rPr>
        <w:t xml:space="preserve">3. The Problem &amp; Opportunity</w:t>
      </w:r>
    </w:p>
    <w:p>
      <w:pPr>
        <w:spacing w:after="120" w:before="0" w:line="276"/>
        <w:jc w:val="left"/>
      </w:pPr>
      <w:r>
        <w:rPr>
          <w:rFonts w:ascii="Arial" w:cs="Arial" w:eastAsia="Arial" w:hAnsi="Arial"/>
          <w:b w:val="false"/>
          <w:bCs w:val="false"/>
          <w:i w:val="false"/>
          <w:iCs w:val="false"/>
          <w:color w:val="16212C"/>
          <w:sz w:val="22"/>
          <w:szCs w:val="22"/>
        </w:rPr>
        <w:t xml:space="preserve">Saudi civil-aviation regulations exist officially, but are unusable in practice: scattered across huge PDFs, mostly in English, with no unified search and no clear study path. As the sector accelerates under Vision 2030, more people need to master them while the learning tools lag.</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Scattered and English-only — no genuine Arabic version for most students and crews.</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Hard for beginners — no link between the regulation and the practical tool, and no fast clause verification.</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No readiness measurement — schools train from PDFs by hand, with no dashboard for who is 'ready to sit'.</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Generic AI is unreliable — it invents answers with no source citation, a risk in a regulated field.</w:t>
      </w:r>
    </w:p>
    <w:p>
      <w:pPr>
        <w:pStyle w:val="Heading1"/>
        <w:pBdr>
          <w:bottom w:val="single" w:color="2D6E8A" w:sz="8"/>
        </w:pBdr>
        <w:spacing w:after="140" w:before="320"/>
      </w:pPr>
      <w:r>
        <w:rPr>
          <w:rFonts w:ascii="Arial" w:cs="Arial" w:eastAsia="Arial" w:hAnsi="Arial"/>
          <w:b/>
          <w:bCs/>
          <w:color w:val="1C5266"/>
          <w:sz w:val="30"/>
          <w:szCs w:val="30"/>
        </w:rPr>
        <w:t xml:space="preserve">4. The Solution / Product</w:t>
      </w:r>
    </w:p>
    <w:p>
      <w:pPr>
        <w:spacing w:after="120" w:before="0" w:line="276"/>
        <w:jc w:val="left"/>
      </w:pPr>
      <w:r>
        <w:rPr>
          <w:rFonts w:ascii="Arial" w:cs="Arial" w:eastAsia="Arial" w:hAnsi="Arial"/>
          <w:b w:val="false"/>
          <w:bCs w:val="false"/>
          <w:i w:val="false"/>
          <w:iCs w:val="false"/>
          <w:color w:val="16212C"/>
          <w:sz w:val="22"/>
          <w:szCs w:val="22"/>
        </w:rPr>
        <w:t xml:space="preserve">We turned the official regulations into clean structured data (JSON) — a real engineering asset, not scraped pages — and built three layers on top that make Saudi civil aviation genuinely learnable:</w:t>
      </w:r>
    </w:p>
    <w:p>
      <w:pPr>
        <w:spacing w:after="120" w:before="0" w:line="276"/>
        <w:jc w:val="left"/>
      </w:pPr>
      <w:r>
        <w:rPr>
          <w:rFonts w:ascii="Arial" w:cs="Arial" w:eastAsia="Arial" w:hAnsi="Arial"/>
          <w:b/>
          <w:bCs/>
          <w:i w:val="false"/>
          <w:iCs w:val="false"/>
          <w:color w:val="2D6E8A"/>
          <w:sz w:val="22"/>
          <w:szCs w:val="22"/>
        </w:rPr>
        <w:t xml:space="preserve">1) Find it — the regulatory library: </w:t>
      </w:r>
      <w:r>
        <w:rPr>
          <w:rFonts w:ascii="Arial" w:cs="Arial" w:eastAsia="Arial" w:hAnsi="Arial"/>
          <w:b w:val="false"/>
          <w:bCs w:val="false"/>
          <w:i w:val="false"/>
          <w:iCs w:val="false"/>
          <w:color w:val="16212C"/>
          <w:sz w:val="22"/>
          <w:szCs w:val="22"/>
        </w:rPr>
        <w:t xml:space="preserve">every numbered GACAR Part + 205 global reference docs (ICAO/FAA/EASA) + 21 handbooks, instantly searchable and free forever as the top of the growth funnel.</w:t>
      </w:r>
    </w:p>
    <w:p>
      <w:pPr>
        <w:spacing w:after="120" w:before="0" w:line="276"/>
        <w:jc w:val="left"/>
      </w:pPr>
      <w:r>
        <w:rPr>
          <w:rFonts w:ascii="Arial" w:cs="Arial" w:eastAsia="Arial" w:hAnsi="Arial"/>
          <w:b/>
          <w:bCs/>
          <w:i w:val="false"/>
          <w:iCs w:val="false"/>
          <w:color w:val="2D6E8A"/>
          <w:sz w:val="22"/>
          <w:szCs w:val="22"/>
        </w:rPr>
        <w:t xml:space="preserve">2) Apply it — 55 flight tools: </w:t>
      </w:r>
      <w:r>
        <w:rPr>
          <w:rFonts w:ascii="Arial" w:cs="Arial" w:eastAsia="Arial" w:hAnsi="Arial"/>
          <w:b w:val="false"/>
          <w:bCs w:val="false"/>
          <w:i w:val="false"/>
          <w:iCs w:val="false"/>
          <w:color w:val="16212C"/>
          <w:sz w:val="22"/>
          <w:szCs w:val="22"/>
        </w:rPr>
        <w:t xml:space="preserve">from crosswind to route planning and fuel and atmosphere calculations, with precise math and shareable links.</w:t>
      </w:r>
    </w:p>
    <w:p>
      <w:pPr>
        <w:spacing w:after="120" w:before="0" w:line="276"/>
        <w:jc w:val="left"/>
      </w:pPr>
      <w:r>
        <w:rPr>
          <w:rFonts w:ascii="Arial" w:cs="Arial" w:eastAsia="Arial" w:hAnsi="Arial"/>
          <w:b/>
          <w:bCs/>
          <w:i w:val="false"/>
          <w:iCs w:val="false"/>
          <w:color w:val="2D6E8A"/>
          <w:sz w:val="22"/>
          <w:szCs w:val="22"/>
        </w:rPr>
        <w:t xml:space="preserve">3) Understand it — Captain Adel (RAG): </w:t>
      </w:r>
      <w:r>
        <w:rPr>
          <w:rFonts w:ascii="Arial" w:cs="Arial" w:eastAsia="Arial" w:hAnsi="Arial"/>
          <w:b w:val="false"/>
          <w:bCs w:val="false"/>
          <w:i w:val="false"/>
          <w:iCs w:val="false"/>
          <w:color w:val="16212C"/>
          <w:sz w:val="22"/>
          <w:szCs w:val="22"/>
        </w:rPr>
        <w:t xml:space="preserve">an AI assistant (Genkit + Gemini) that answers 'where does the regulation say…' and cites the exact Part and section, in Arabic or English.</w:t>
      </w:r>
    </w:p>
    <w:p>
      <w:pPr>
        <w:spacing w:after="120" w:before="0" w:line="276"/>
        <w:jc w:val="left"/>
      </w:pPr>
      <w:r>
        <w:rPr>
          <w:rFonts w:ascii="Arial" w:cs="Arial" w:eastAsia="Arial" w:hAnsi="Arial"/>
          <w:b/>
          <w:bCs/>
          <w:i w:val="false"/>
          <w:iCs w:val="false"/>
          <w:color w:val="16212C"/>
          <w:sz w:val="22"/>
          <w:szCs w:val="22"/>
        </w:rPr>
        <w:t xml:space="preserve">Complemented by a full study hub: </w:t>
      </w:r>
      <w:r>
        <w:rPr>
          <w:rFonts w:ascii="Arial" w:cs="Arial" w:eastAsia="Arial" w:hAnsi="Arial"/>
          <w:b w:val="false"/>
          <w:bCs w:val="false"/>
          <w:i w:val="false"/>
          <w:iCs w:val="false"/>
          <w:color w:val="16212C"/>
          <w:sz w:val="22"/>
          <w:szCs w:val="22"/>
        </w:rPr>
        <w:t xml:space="preserve">a 13-topic question bank, 9 Ground School modules, 7 study paths, a mock exam, and flashcards, with exam-prep packs for each licence.</w:t>
      </w:r>
    </w:p>
    <w:p>
      <w:r>
        <w:br w:type="page"/>
      </w:r>
    </w:p>
    <w:p>
      <w:pPr>
        <w:pStyle w:val="Heading1"/>
        <w:pBdr>
          <w:bottom w:val="single" w:color="2D6E8A" w:sz="8"/>
        </w:pBdr>
        <w:spacing w:after="140" w:before="320"/>
      </w:pPr>
      <w:r>
        <w:rPr>
          <w:rFonts w:ascii="Arial" w:cs="Arial" w:eastAsia="Arial" w:hAnsi="Arial"/>
          <w:b/>
          <w:bCs/>
          <w:color w:val="1C5266"/>
          <w:sz w:val="30"/>
          <w:szCs w:val="30"/>
        </w:rPr>
        <w:t xml:space="preserve">5. Market Analysis</w:t>
      </w:r>
    </w:p>
    <w:p>
      <w:pPr>
        <w:spacing w:after="120" w:before="0" w:line="276"/>
        <w:jc w:val="left"/>
      </w:pPr>
      <w:r>
        <w:rPr>
          <w:rFonts w:ascii="Arial" w:cs="Arial" w:eastAsia="Arial" w:hAnsi="Arial"/>
          <w:b w:val="false"/>
          <w:bCs w:val="false"/>
          <w:i w:val="false"/>
          <w:iCs w:val="false"/>
          <w:color w:val="16212C"/>
          <w:sz w:val="22"/>
          <w:szCs w:val="22"/>
        </w:rPr>
        <w:t xml:space="preserve">Saudi Arabia is positioning itself as a global aviation hub (Riyadh Air, Saudia's expansion, new airports, a target of 100M+ passengers) — meaning a wave of new pilots, licence conversions for expat crews, and expanding flight schools, academies and operators. All are our customers, across the individual (B2C) and institutional (B2B) segments.</w:t>
      </w:r>
    </w:p>
    <w:p>
      <w:pPr>
        <w:pStyle w:val="Heading2"/>
        <w:spacing w:after="100" w:before="220"/>
      </w:pPr>
      <w:r>
        <w:rPr>
          <w:rFonts w:ascii="Arial" w:cs="Arial" w:eastAsia="Arial" w:hAnsi="Arial"/>
          <w:b/>
          <w:bCs/>
          <w:color w:val="2D6E8A"/>
          <w:sz w:val="24"/>
          <w:szCs w:val="24"/>
        </w:rPr>
        <w:t xml:space="preserve">Market sizing (TAM / SAM / SOM)</w:t>
      </w:r>
    </w:p>
    <w:tbl>
      <w:tblPr>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3600"/>
        <w:gridCol w:w="2400"/>
        <w:gridCol w:w="3200"/>
      </w:tblGrid>
      <w:tr>
        <w:trPr>
          <w:tblHeader/>
        </w:trPr>
        <w:tc>
          <w:tcPr>
            <w:tcW w:type="dxa" w:w="36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Layer</w:t>
            </w:r>
          </w:p>
        </w:tc>
        <w:tc>
          <w:tcPr>
            <w:tcW w:type="dxa" w:w="24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Estimated value</w:t>
            </w:r>
          </w:p>
        </w:tc>
        <w:tc>
          <w:tcPr>
            <w:tcW w:type="dxa" w:w="32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Description</w:t>
            </w:r>
          </w:p>
        </w:tc>
      </w:tr>
      <w:tr>
        <w:tc>
          <w:tcPr>
            <w:tcW w:type="dxa" w:w="3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TAM — total market</w:t>
            </w:r>
          </w:p>
        </w:tc>
        <w:tc>
          <w:tcPr>
            <w:tcW w:type="dxa" w:w="2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600M/yr</w:t>
            </w:r>
          </w:p>
        </w:tc>
        <w:tc>
          <w:tcPr>
            <w:tcW w:type="dxa" w:w="3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Digital aviation education &amp; exam-prep in Saudi Arabia and the Gulf</w:t>
            </w:r>
          </w:p>
        </w:tc>
      </w:tr>
      <w:tr>
        <w:tc>
          <w:tcPr>
            <w:tcW w:type="dxa" w:w="3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SAM — serviceable</w:t>
            </w:r>
          </w:p>
        </w:tc>
        <w:tc>
          <w:tcPr>
            <w:tcW w:type="dxa" w:w="2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180M/yr</w:t>
            </w:r>
          </w:p>
        </w:tc>
        <w:tc>
          <w:tcPr>
            <w:tcW w:type="dxa" w:w="3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The digitally reachable Saudi aviation community + flight schools</w:t>
            </w:r>
          </w:p>
        </w:tc>
      </w:tr>
      <w:tr>
        <w:tc>
          <w:tcPr>
            <w:tcW w:type="dxa" w:w="3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SOM — target (yr 3)</w:t>
            </w:r>
          </w:p>
        </w:tc>
        <w:tc>
          <w:tcPr>
            <w:tcW w:type="dxa" w:w="2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3M</w:t>
            </w:r>
          </w:p>
        </w:tc>
        <w:tc>
          <w:tcPr>
            <w:tcW w:type="dxa" w:w="3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Our realistic share over the first 3 years (individuals + institutions)</w:t>
            </w:r>
          </w:p>
        </w:tc>
      </w:tr>
    </w:tbl>
    <w:p>
      <w:pPr>
        <w:spacing w:after="120" w:before="0" w:line="276"/>
        <w:jc w:val="left"/>
      </w:pPr>
      <w:r>
        <w:rPr>
          <w:rFonts w:ascii="Arial" w:cs="Arial" w:eastAsia="Arial" w:hAnsi="Arial"/>
          <w:b/>
          <w:bCs/>
          <w:i w:val="false"/>
          <w:iCs w:val="false"/>
          <w:color w:val="16212C"/>
          <w:sz w:val="22"/>
          <w:szCs w:val="22"/>
        </w:rPr>
        <w:t xml:space="preserve">* </w:t>
      </w:r>
      <w:r>
        <w:rPr>
          <w:rFonts w:ascii="Arial" w:cs="Arial" w:eastAsia="Arial" w:hAnsi="Arial"/>
          <w:b w:val="false"/>
          <w:bCs w:val="false"/>
          <w:i/>
          <w:iCs/>
          <w:color w:val="44515C"/>
          <w:sz w:val="18"/>
          <w:szCs w:val="18"/>
        </w:rPr>
        <w:t xml:space="preserve">Market figures are top-down estimates for illustration and require field validation.</w:t>
      </w:r>
    </w:p>
    <w:p>
      <w:pPr>
        <w:pStyle w:val="Heading2"/>
        <w:spacing w:after="100" w:before="220"/>
      </w:pPr>
      <w:r>
        <w:rPr>
          <w:rFonts w:ascii="Arial" w:cs="Arial" w:eastAsia="Arial" w:hAnsi="Arial"/>
          <w:b/>
          <w:bCs/>
          <w:color w:val="2D6E8A"/>
          <w:sz w:val="24"/>
          <w:szCs w:val="24"/>
        </w:rPr>
        <w:t xml:space="preserve">Competition &amp; positioning</w:t>
      </w:r>
    </w:p>
    <w:p>
      <w:pPr>
        <w:spacing w:after="120" w:before="0" w:line="276"/>
        <w:jc w:val="left"/>
      </w:pPr>
      <w:r>
        <w:rPr>
          <w:rFonts w:ascii="Arial" w:cs="Arial" w:eastAsia="Arial" w:hAnsi="Arial"/>
          <w:b w:val="false"/>
          <w:bCs w:val="false"/>
          <w:i w:val="false"/>
          <w:iCs w:val="false"/>
          <w:color w:val="16212C"/>
          <w:sz w:val="22"/>
          <w:szCs w:val="22"/>
        </w:rPr>
        <w:t xml:space="preserve">There is no dedicated Saudi competitor today combining the regulatory corpus + a source-citing AI assistant + bilingual (Arabic/English RTL) delivery. Alternatives are either unusable official PDFs or generic English-only international courses that don't cover Saudi specifics. Our positioning: first and most locally specialized.</w:t>
      </w:r>
    </w:p>
    <w:p>
      <w:pPr>
        <w:pStyle w:val="Heading1"/>
        <w:pBdr>
          <w:bottom w:val="single" w:color="2D6E8A" w:sz="8"/>
        </w:pBdr>
        <w:spacing w:after="140" w:before="320"/>
      </w:pPr>
      <w:r>
        <w:rPr>
          <w:rFonts w:ascii="Arial" w:cs="Arial" w:eastAsia="Arial" w:hAnsi="Arial"/>
          <w:b/>
          <w:bCs/>
          <w:color w:val="1C5266"/>
          <w:sz w:val="30"/>
          <w:szCs w:val="30"/>
        </w:rPr>
        <w:t xml:space="preserve">6. Business Model &amp; Revenue</w:t>
      </w:r>
    </w:p>
    <w:p>
      <w:pPr>
        <w:spacing w:after="120" w:before="0" w:line="276"/>
        <w:jc w:val="left"/>
      </w:pPr>
      <w:r>
        <w:rPr>
          <w:rFonts w:ascii="Arial" w:cs="Arial" w:eastAsia="Arial" w:hAnsi="Arial"/>
          <w:b w:val="false"/>
          <w:bCs w:val="false"/>
          <w:i w:val="false"/>
          <w:iCs w:val="false"/>
          <w:color w:val="16212C"/>
          <w:sz w:val="22"/>
          <w:szCs w:val="22"/>
        </w:rPr>
        <w:t xml:space="preserve">The library is free forever (top of funnel, building reach, trust and search visibility), then we convert value into revenue through three pillars, all built and wired in the product:</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Individual subscriptions: </w:t>
      </w:r>
      <w:r>
        <w:rPr>
          <w:rFonts w:ascii="Arial" w:cs="Arial" w:eastAsia="Arial" w:hAnsi="Arial"/>
          <w:b w:val="false"/>
          <w:bCs w:val="false"/>
          <w:i w:val="false"/>
          <w:iCs w:val="false"/>
          <w:color w:val="16212C"/>
          <w:sz w:val="22"/>
          <w:szCs w:val="22"/>
        </w:rPr>
        <w:t xml:space="preserve">high-margin recurring revenue (Pro / Student).</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One-time purchases: </w:t>
      </w:r>
      <w:r>
        <w:rPr>
          <w:rFonts w:ascii="Arial" w:cs="Arial" w:eastAsia="Arial" w:hAnsi="Arial"/>
          <w:b w:val="false"/>
          <w:bCs w:val="false"/>
          <w:i w:val="false"/>
          <w:iCs w:val="false"/>
          <w:color w:val="16212C"/>
          <w:sz w:val="22"/>
          <w:szCs w:val="22"/>
        </w:rPr>
        <w:t xml:space="preserve">the Season Pass and prep packs — high conversion near exam dates.</w:t>
      </w:r>
    </w:p>
    <w:p>
      <w:pPr>
        <w:pStyle w:val="ListParagraph"/>
        <w:numPr>
          <w:ilvl w:val="0"/>
          <w:numId w:val="2"/>
        </w:numPr>
        <w:spacing w:after="70" w:line="270"/>
      </w:pPr>
      <w:r>
        <w:rPr>
          <w:rFonts w:ascii="Arial" w:cs="Arial" w:eastAsia="Arial" w:hAnsi="Arial"/>
          <w:b/>
          <w:bCs/>
          <w:i w:val="false"/>
          <w:iCs w:val="false"/>
          <w:color w:val="16212C"/>
          <w:sz w:val="22"/>
          <w:szCs w:val="22"/>
        </w:rPr>
        <w:t xml:space="preserve">Institutional seats (B2B): </w:t>
      </w:r>
      <w:r>
        <w:rPr>
          <w:rFonts w:ascii="Arial" w:cs="Arial" w:eastAsia="Arial" w:hAnsi="Arial"/>
          <w:b w:val="false"/>
          <w:bCs w:val="false"/>
          <w:i w:val="false"/>
          <w:iCs w:val="false"/>
          <w:color w:val="16212C"/>
          <w:sz w:val="22"/>
          <w:szCs w:val="22"/>
        </w:rPr>
        <w:t xml:space="preserve">annual invoiced contracts with an admin dashboard and readiness reports — high retention.</w:t>
      </w:r>
    </w:p>
    <w:p>
      <w:pPr>
        <w:pStyle w:val="Heading2"/>
        <w:spacing w:after="100" w:before="220"/>
      </w:pPr>
      <w:r>
        <w:rPr>
          <w:rFonts w:ascii="Arial" w:cs="Arial" w:eastAsia="Arial" w:hAnsi="Arial"/>
          <w:b/>
          <w:bCs/>
          <w:color w:val="2D6E8A"/>
          <w:sz w:val="24"/>
          <w:szCs w:val="24"/>
        </w:rPr>
        <w:t xml:space="preserve">Current price sheet (real, from the product)</w:t>
      </w:r>
    </w:p>
    <w:tbl>
      <w:tblPr>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4200"/>
        <w:gridCol w:w="2600"/>
        <w:gridCol w:w="2400"/>
      </w:tblGrid>
      <w:tr>
        <w:trPr>
          <w:tblHeader/>
        </w:trPr>
        <w:tc>
          <w:tcPr>
            <w:tcW w:type="dxa" w:w="42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What it unlocks</w:t>
            </w:r>
          </w:p>
        </w:tc>
        <w:tc>
          <w:tcPr>
            <w:tcW w:type="dxa" w:w="26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Price</w:t>
            </w:r>
          </w:p>
        </w:tc>
        <w:tc>
          <w:tcPr>
            <w:tcW w:type="dxa" w:w="24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Plan</w:t>
            </w:r>
          </w:p>
        </w:tc>
      </w:tr>
      <w:tr>
        <w:tc>
          <w:tcPr>
            <w:tcW w:type="dxa" w:w="4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Full library + 55 tools + 5 questions/day</w:t>
            </w:r>
          </w:p>
        </w:tc>
        <w:tc>
          <w:tcPr>
            <w:tcW w:type="dxa" w:w="2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0</w:t>
            </w:r>
          </w:p>
        </w:tc>
        <w:tc>
          <w:tcPr>
            <w:tcW w:type="dxa" w:w="2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Free</w:t>
            </w:r>
          </w:p>
        </w:tc>
      </w:tr>
      <w:tr>
        <w:tc>
          <w:tcPr>
            <w:tcW w:type="dxa" w:w="4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Unlimited Captain Adel, exams, export, offline</w:t>
            </w:r>
          </w:p>
        </w:tc>
        <w:tc>
          <w:tcPr>
            <w:tcW w:type="dxa" w:w="2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59 / 449 (mo/yr)</w:t>
            </w:r>
          </w:p>
        </w:tc>
        <w:tc>
          <w:tcPr>
            <w:tcW w:type="dxa" w:w="2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Pro</w:t>
            </w:r>
          </w:p>
        </w:tc>
      </w:tr>
      <w:tr>
        <w:tc>
          <w:tcPr>
            <w:tcW w:type="dxa" w:w="4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All Pro features with a verified academic email</w:t>
            </w:r>
          </w:p>
        </w:tc>
        <w:tc>
          <w:tcPr>
            <w:tcW w:type="dxa" w:w="2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39 / 299</w:t>
            </w:r>
          </w:p>
        </w:tc>
        <w:tc>
          <w:tcPr>
            <w:tcW w:type="dxa" w:w="2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Student</w:t>
            </w:r>
          </w:p>
        </w:tc>
      </w:tr>
      <w:tr>
        <w:tc>
          <w:tcPr>
            <w:tcW w:type="dxa" w:w="4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Full Pro access, no subscription</w:t>
            </w:r>
          </w:p>
        </w:tc>
        <w:tc>
          <w:tcPr>
            <w:tcW w:type="dxa" w:w="2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149 / 90 days</w:t>
            </w:r>
          </w:p>
        </w:tc>
        <w:tc>
          <w:tcPr>
            <w:tcW w:type="dxa" w:w="2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Season Pass</w:t>
            </w:r>
          </w:p>
        </w:tc>
      </w:tr>
      <w:tr>
        <w:tc>
          <w:tcPr>
            <w:tcW w:type="dxa" w:w="4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Exam pack for a specific licence (PPL, ELP…)</w:t>
            </w:r>
          </w:p>
        </w:tc>
        <w:tc>
          <w:tcPr>
            <w:tcW w:type="dxa" w:w="2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SAR 39 one-time</w:t>
            </w:r>
          </w:p>
        </w:tc>
        <w:tc>
          <w:tcPr>
            <w:tcW w:type="dxa" w:w="2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Prep pack</w:t>
            </w:r>
          </w:p>
        </w:tc>
      </w:tr>
      <w:tr>
        <w:tc>
          <w:tcPr>
            <w:tcW w:type="dxa" w:w="4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Admin dashboard + readiness reports + onboarding</w:t>
            </w:r>
          </w:p>
        </w:tc>
        <w:tc>
          <w:tcPr>
            <w:tcW w:type="dxa" w:w="2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from SAR 250/seat/yr</w:t>
            </w:r>
          </w:p>
        </w:tc>
        <w:tc>
          <w:tcPr>
            <w:tcW w:type="dxa" w:w="2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Schools (B2B)</w:t>
            </w:r>
          </w:p>
        </w:tc>
      </w:tr>
    </w:tbl>
    <w:p>
      <w:pPr>
        <w:spacing w:after="120" w:before="0" w:line="276"/>
        <w:jc w:val="left"/>
      </w:pPr>
      <w:r>
        <w:rPr>
          <w:rFonts w:ascii="Arial" w:cs="Arial" w:eastAsia="Arial" w:hAnsi="Arial"/>
          <w:b/>
          <w:bCs/>
          <w:i w:val="false"/>
          <w:iCs w:val="false"/>
          <w:color w:val="16212C"/>
          <w:sz w:val="22"/>
          <w:szCs w:val="22"/>
        </w:rPr>
        <w:t xml:space="preserve">Indicative B2B pricing: </w:t>
      </w:r>
      <w:r>
        <w:rPr>
          <w:rFonts w:ascii="Arial" w:cs="Arial" w:eastAsia="Arial" w:hAnsi="Arial"/>
          <w:b w:val="false"/>
          <w:bCs w:val="false"/>
          <w:i w:val="false"/>
          <w:iCs w:val="false"/>
          <w:color w:val="16212C"/>
          <w:sz w:val="22"/>
          <w:szCs w:val="22"/>
        </w:rPr>
        <w:t xml:space="preserve">Cohort SAR 6,000/intake (up to 25 seats) · Academy SAR 22,000/yr (up to 100) · Institution from SAR 40,000. Individual prices include 15% VAT; B2B prices are fixed with design partners.</w:t>
      </w:r>
    </w:p>
    <w:p>
      <w:r>
        <w:br w:type="page"/>
      </w:r>
    </w:p>
    <w:p>
      <w:pPr>
        <w:pStyle w:val="Heading1"/>
        <w:pBdr>
          <w:bottom w:val="single" w:color="2D6E8A" w:sz="8"/>
        </w:pBdr>
        <w:spacing w:after="140" w:before="320"/>
      </w:pPr>
      <w:r>
        <w:rPr>
          <w:rFonts w:ascii="Arial" w:cs="Arial" w:eastAsia="Arial" w:hAnsi="Arial"/>
          <w:b/>
          <w:bCs/>
          <w:color w:val="1C5266"/>
          <w:sz w:val="30"/>
          <w:szCs w:val="30"/>
        </w:rPr>
        <w:t xml:space="preserve">7. Financial Feasibility</w:t>
      </w:r>
    </w:p>
    <w:p>
      <w:pPr>
        <w:pStyle w:val="Heading2"/>
        <w:spacing w:after="100" w:before="220"/>
      </w:pPr>
      <w:r>
        <w:rPr>
          <w:rFonts w:ascii="Arial" w:cs="Arial" w:eastAsia="Arial" w:hAnsi="Arial"/>
          <w:b/>
          <w:bCs/>
          <w:color w:val="2D6E8A"/>
          <w:sz w:val="24"/>
          <w:szCs w:val="24"/>
        </w:rPr>
        <w:t xml:space="preserve">Cost structure</w:t>
      </w:r>
    </w:p>
    <w:p>
      <w:pPr>
        <w:spacing w:after="120" w:before="0" w:line="276"/>
        <w:jc w:val="left"/>
      </w:pPr>
      <w:r>
        <w:rPr>
          <w:rFonts w:ascii="Arial" w:cs="Arial" w:eastAsia="Arial" w:hAnsi="Arial"/>
          <w:b w:val="false"/>
          <w:bCs w:val="false"/>
          <w:i w:val="false"/>
          <w:iCs w:val="false"/>
          <w:color w:val="16212C"/>
          <w:sz w:val="22"/>
          <w:szCs w:val="22"/>
        </w:rPr>
        <w:t xml:space="preserve">The heaviest cost (building the regulatory corpus and the full product) is already done. What remains is light operating cost that scales sub-linearly with revenue:</w:t>
      </w:r>
    </w:p>
    <w:tbl>
      <w:tblPr>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5200"/>
        <w:gridCol w:w="4000"/>
      </w:tblGrid>
      <w:tr>
        <w:trPr>
          <w:tblHeader/>
        </w:trPr>
        <w:tc>
          <w:tcPr>
            <w:tcW w:type="dxa" w:w="52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Nature</w:t>
            </w:r>
          </w:p>
        </w:tc>
        <w:tc>
          <w:tcPr>
            <w:tcW w:type="dxa" w:w="40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Cost item</w:t>
            </w:r>
          </w:p>
        </w:tc>
      </w:tr>
      <w:tr>
        <w:tc>
          <w:tcPr>
            <w:tcW w:type="dxa" w:w="5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Low, usage-variable</w:t>
            </w:r>
          </w:p>
        </w:tc>
        <w:tc>
          <w:tcPr>
            <w:tcW w:type="dxa" w:w="4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Hosting &amp; infrastructure (Firebase / Vercel)</w:t>
            </w:r>
          </w:p>
        </w:tc>
      </w:tr>
      <w:tr>
        <w:tc>
          <w:tcPr>
            <w:tcW w:type="dxa" w:w="5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Variable with usage</w:t>
            </w:r>
          </w:p>
        </w:tc>
        <w:tc>
          <w:tcPr>
            <w:tcW w:type="dxa" w:w="40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AI models (Gemini) for Captain Adel</w:t>
            </w:r>
          </w:p>
        </w:tc>
      </w:tr>
      <w:tr>
        <w:tc>
          <w:tcPr>
            <w:tcW w:type="dxa" w:w="5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Small % of revenue</w:t>
            </w:r>
          </w:p>
        </w:tc>
        <w:tc>
          <w:tcPr>
            <w:tcW w:type="dxa" w:w="4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Payment fees (Stripe / app stores)</w:t>
            </w:r>
          </w:p>
        </w:tc>
      </w:tr>
      <w:tr>
        <w:tc>
          <w:tcPr>
            <w:tcW w:type="dxa" w:w="52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Largest post-funding</w:t>
            </w:r>
          </w:p>
        </w:tc>
        <w:tc>
          <w:tcPr>
            <w:tcW w:type="dxa" w:w="40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Salaries (first two hires) and marketing</w:t>
            </w:r>
          </w:p>
        </w:tc>
      </w:tr>
      <w:tr>
        <w:tc>
          <w:tcPr>
            <w:tcW w:type="dxa" w:w="52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Periodic, limited</w:t>
            </w:r>
          </w:p>
        </w:tc>
        <w:tc>
          <w:tcPr>
            <w:tcW w:type="dxa" w:w="4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Content maintenance &amp; regulatory sync (AIRAC)</w:t>
            </w:r>
          </w:p>
        </w:tc>
      </w:tr>
    </w:tbl>
    <w:p>
      <w:pPr>
        <w:spacing w:after="120" w:before="0" w:line="276"/>
        <w:jc w:val="left"/>
      </w:pPr>
      <w:r>
        <w:rPr>
          <w:rFonts w:ascii="Arial" w:cs="Arial" w:eastAsia="Arial" w:hAnsi="Arial"/>
          <w:b/>
          <w:bCs/>
          <w:i w:val="false"/>
          <w:iCs w:val="false"/>
          <w:color w:val="16212C"/>
          <w:sz w:val="22"/>
          <w:szCs w:val="22"/>
        </w:rPr>
        <w:t xml:space="preserve">Impact: </w:t>
      </w:r>
      <w:r>
        <w:rPr>
          <w:rFonts w:ascii="Arial" w:cs="Arial" w:eastAsia="Arial" w:hAnsi="Arial"/>
          <w:b w:val="false"/>
          <w:bCs w:val="false"/>
          <w:i w:val="false"/>
          <w:iCs w:val="false"/>
          <w:color w:val="16212C"/>
          <w:sz w:val="22"/>
          <w:szCs w:val="22"/>
        </w:rPr>
        <w:t xml:space="preserve">an estimated 85–90% gross margin that improves with each new customer — software economics, not content economics.</w:t>
      </w:r>
    </w:p>
    <w:p>
      <w:pPr>
        <w:pStyle w:val="Heading2"/>
        <w:spacing w:after="100" w:before="220"/>
      </w:pPr>
      <w:r>
        <w:rPr>
          <w:rFonts w:ascii="Arial" w:cs="Arial" w:eastAsia="Arial" w:hAnsi="Arial"/>
          <w:b/>
          <w:bCs/>
          <w:color w:val="2D6E8A"/>
          <w:sz w:val="24"/>
          <w:szCs w:val="24"/>
        </w:rPr>
        <w:t xml:space="preserve">Model assumptions</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Free-to-paid conversion: 2–4% (conservative; industry benchmark is often higher).</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Average annual revenue per paying subscriber: ~SAR 350 (monthly/annual mix).</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Contracted schools/institutions: from 4 in Year 1 to ~40 in Year 3.</w:t>
      </w:r>
    </w:p>
    <w:p>
      <w:pPr>
        <w:pStyle w:val="ListParagraph"/>
        <w:numPr>
          <w:ilvl w:val="0"/>
          <w:numId w:val="2"/>
        </w:numPr>
        <w:spacing w:after="70" w:line="270"/>
      </w:pPr>
      <w:r>
        <w:rPr>
          <w:rFonts w:ascii="Arial" w:cs="Arial" w:eastAsia="Arial" w:hAnsi="Arial"/>
          <w:b w:val="false"/>
          <w:bCs w:val="false"/>
          <w:i w:val="false"/>
          <w:iCs w:val="false"/>
          <w:color w:val="16212C"/>
          <w:sz w:val="22"/>
          <w:szCs w:val="22"/>
        </w:rPr>
        <w:t xml:space="preserve">Operating target: first SAR 100k of B2B ARR in H1 — consistent with the current plan.</w:t>
      </w:r>
    </w:p>
    <w:p>
      <w:pPr>
        <w:pStyle w:val="Heading2"/>
        <w:spacing w:after="100" w:before="220"/>
      </w:pPr>
      <w:r>
        <w:rPr>
          <w:rFonts w:ascii="Arial" w:cs="Arial" w:eastAsia="Arial" w:hAnsi="Arial"/>
          <w:b/>
          <w:bCs/>
          <w:color w:val="2D6E8A"/>
          <w:sz w:val="24"/>
          <w:szCs w:val="24"/>
        </w:rPr>
        <w:t xml:space="preserve">Revenue projections — base scenario (SAR)</w:t>
      </w:r>
    </w:p>
    <w:tbl>
      <w:tblPr>
        <w:tblW w:type="dxa" w:w="9000"/>
        <w:tblBorders>
          <w:top w:val="single" w:color="D4DDE2" w:sz="4"/>
          <w:left w:val="single" w:color="D4DDE2" w:sz="4"/>
          <w:bottom w:val="single" w:color="D4DDE2" w:sz="4"/>
          <w:right w:val="single" w:color="D4DDE2" w:sz="4"/>
          <w:insideH w:val="single" w:color="D4DDE2" w:sz="4"/>
          <w:insideV w:val="single" w:color="D4DDE2" w:sz="4"/>
        </w:tblBorders>
      </w:tblPr>
      <w:tblGrid>
        <w:gridCol w:w="3000"/>
        <w:gridCol w:w="2000"/>
        <w:gridCol w:w="2000"/>
        <w:gridCol w:w="2000"/>
      </w:tblGrid>
      <w:tr>
        <w:trPr>
          <w:tblHeader/>
        </w:trPr>
        <w:tc>
          <w:tcPr>
            <w:tcW w:type="dxa" w:w="30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Source</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1</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2</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3</w:t>
            </w:r>
          </w:p>
        </w:tc>
      </w:tr>
      <w:tr>
        <w:tc>
          <w:tcPr>
            <w:tcW w:type="dxa" w:w="3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Individual subscriptions (Pro/Student)</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140,000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540,000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1,520,000</w:t>
            </w:r>
          </w:p>
        </w:tc>
      </w:tr>
      <w:tr>
        <w:tc>
          <w:tcPr>
            <w:tcW w:type="dxa" w:w="30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One-time purchases (passes/packs)</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30,000</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90,000</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200,000</w:t>
            </w:r>
          </w:p>
        </w:tc>
      </w:tr>
      <w:tr>
        <w:tc>
          <w:tcPr>
            <w:tcW w:type="dxa" w:w="3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Institutional seats (B2B)</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100,000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350,000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1,280,000</w:t>
            </w:r>
          </w:p>
        </w:tc>
      </w:tr>
      <w:tr>
        <w:tc>
          <w:tcPr>
            <w:tcW w:type="dxa" w:w="3000"/>
            <w:shd w:fill="EAF1F4"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Total</w:t>
            </w:r>
          </w:p>
        </w:tc>
        <w:tc>
          <w:tcPr>
            <w:tcW w:type="dxa" w:w="2000"/>
            <w:shd w:fill="EAF1F4"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270,000</w:t>
            </w:r>
          </w:p>
        </w:tc>
        <w:tc>
          <w:tcPr>
            <w:tcW w:type="dxa" w:w="2000"/>
            <w:shd w:fill="EAF1F4"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980,000</w:t>
            </w:r>
          </w:p>
        </w:tc>
        <w:tc>
          <w:tcPr>
            <w:tcW w:type="dxa" w:w="2000"/>
            <w:shd w:fill="EAF1F4"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3,000,000</w:t>
            </w:r>
          </w:p>
        </w:tc>
      </w:tr>
    </w:tbl>
    <w:p>
      <w:pPr>
        <w:pStyle w:val="Heading2"/>
        <w:spacing w:after="100" w:before="220"/>
      </w:pPr>
      <w:r>
        <w:rPr>
          <w:rFonts w:ascii="Arial" w:cs="Arial" w:eastAsia="Arial" w:hAnsi="Arial"/>
          <w:b/>
          <w:bCs/>
          <w:color w:val="2D6E8A"/>
          <w:sz w:val="24"/>
          <w:szCs w:val="24"/>
        </w:rPr>
        <w:t xml:space="preserve">Scenario analysis — total revenue (SAR)</w:t>
      </w:r>
    </w:p>
    <w:tbl>
      <w:tblPr>
        <w:tblW w:type="dxa" w:w="9000"/>
        <w:tblBorders>
          <w:top w:val="single" w:color="D4DDE2" w:sz="4"/>
          <w:left w:val="single" w:color="D4DDE2" w:sz="4"/>
          <w:bottom w:val="single" w:color="D4DDE2" w:sz="4"/>
          <w:right w:val="single" w:color="D4DDE2" w:sz="4"/>
          <w:insideH w:val="single" w:color="D4DDE2" w:sz="4"/>
          <w:insideV w:val="single" w:color="D4DDE2" w:sz="4"/>
        </w:tblBorders>
      </w:tblPr>
      <w:tblGrid>
        <w:gridCol w:w="3000"/>
        <w:gridCol w:w="2000"/>
        <w:gridCol w:w="2000"/>
        <w:gridCol w:w="2000"/>
      </w:tblGrid>
      <w:tr>
        <w:trPr>
          <w:tblHeader/>
        </w:trPr>
        <w:tc>
          <w:tcPr>
            <w:tcW w:type="dxa" w:w="30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Scenario</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1</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2</w:t>
            </w:r>
          </w:p>
        </w:tc>
        <w:tc>
          <w:tcPr>
            <w:tcW w:type="dxa" w:w="20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Year 3</w:t>
            </w:r>
          </w:p>
        </w:tc>
      </w:tr>
      <w:tr>
        <w:tc>
          <w:tcPr>
            <w:tcW w:type="dxa" w:w="3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Conservative</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180,000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620,000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1,800,000</w:t>
            </w:r>
          </w:p>
        </w:tc>
      </w:tr>
      <w:tr>
        <w:tc>
          <w:tcPr>
            <w:tcW w:type="dxa" w:w="30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Base</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270,000</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980,000</w:t>
            </w:r>
          </w:p>
        </w:tc>
        <w:tc>
          <w:tcPr>
            <w:tcW w:type="dxa" w:w="20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3,000,000</w:t>
            </w:r>
          </w:p>
        </w:tc>
      </w:tr>
      <w:tr>
        <w:tc>
          <w:tcPr>
            <w:tcW w:type="dxa" w:w="30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Optimistic</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400,000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1,600,000</w:t>
            </w:r>
          </w:p>
        </w:tc>
        <w:tc>
          <w:tcPr>
            <w:tcW w:type="dxa" w:w="20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5,200,000</w:t>
            </w:r>
          </w:p>
        </w:tc>
      </w:tr>
    </w:tbl>
    <w:p>
      <w:pPr>
        <w:spacing w:after="120" w:before="0" w:line="276"/>
        <w:jc w:val="left"/>
      </w:pPr>
      <w:r>
        <w:rPr>
          <w:rFonts w:ascii="Arial" w:cs="Arial" w:eastAsia="Arial" w:hAnsi="Arial"/>
          <w:b/>
          <w:bCs/>
          <w:i w:val="false"/>
          <w:iCs w:val="false"/>
          <w:color w:val="16212C"/>
          <w:sz w:val="22"/>
          <w:szCs w:val="22"/>
        </w:rPr>
        <w:t xml:space="preserve">Indicators: </w:t>
      </w:r>
      <w:r>
        <w:rPr>
          <w:rFonts w:ascii="Arial" w:cs="Arial" w:eastAsia="Arial" w:hAnsi="Arial"/>
          <w:b w:val="false"/>
          <w:bCs w:val="false"/>
          <w:i w:val="false"/>
          <w:iCs w:val="false"/>
          <w:color w:val="16212C"/>
          <w:sz w:val="22"/>
          <w:szCs w:val="22"/>
        </w:rPr>
        <w:t xml:space="preserve">85–90% gross margin · low acquisition cost (organic SEO/AI-search + founder-led B2B sales) · estimated individual LTV ~SAR 875 (ARPU × retention) · institutional contract value SAR 6,000–40,000/yr with high retention given the training requirement.</w:t>
      </w:r>
    </w:p>
    <w:p>
      <w:r>
        <w:br w:type="page"/>
      </w:r>
    </w:p>
    <w:p>
      <w:pPr>
        <w:pStyle w:val="Heading1"/>
        <w:pBdr>
          <w:bottom w:val="single" w:color="2D6E8A" w:sz="8"/>
        </w:pBdr>
        <w:spacing w:after="140" w:before="320"/>
      </w:pPr>
      <w:r>
        <w:rPr>
          <w:rFonts w:ascii="Arial" w:cs="Arial" w:eastAsia="Arial" w:hAnsi="Arial"/>
          <w:b/>
          <w:bCs/>
          <w:color w:val="1C5266"/>
          <w:sz w:val="30"/>
          <w:szCs w:val="30"/>
        </w:rPr>
        <w:t xml:space="preserve">8. Risks &amp; Mitigations</w:t>
      </w:r>
    </w:p>
    <w:tbl>
      <w:tblPr>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5400"/>
        <w:gridCol w:w="3800"/>
      </w:tblGrid>
      <w:tr>
        <w:trPr>
          <w:tblHeader/>
        </w:trPr>
        <w:tc>
          <w:tcPr>
            <w:tcW w:type="dxa" w:w="54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Mitigation</w:t>
            </w:r>
          </w:p>
        </w:tc>
        <w:tc>
          <w:tcPr>
            <w:tcW w:type="dxa" w:w="38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Risk</w:t>
            </w:r>
          </w:p>
        </w:tc>
      </w:tr>
      <w:tr>
        <w:tc>
          <w:tcPr>
            <w:tcW w:type="dxa" w:w="5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The independence disclaimer is verbatim and prominent on every page; sales lead with 'independent prep, verify against GACA'.</w:t>
            </w:r>
          </w:p>
        </w:tc>
        <w:tc>
          <w:tcPr>
            <w:tcW w:type="dxa" w:w="38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Buyers assume affiliation with GACA</w:t>
            </w:r>
          </w:p>
        </w:tc>
      </w:tr>
      <w:tr>
        <w:tc>
          <w:tcPr>
            <w:tcW w:type="dxa" w:w="5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The corpus is exported and synced periodically; an AIRAC-freshness note is added per cohort.</w:t>
            </w:r>
          </w:p>
        </w:tc>
        <w:tc>
          <w:tcPr>
            <w:tcW w:type="dxa" w:w="38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Regulatory change (AIRAC cycles)</w:t>
            </w:r>
          </w:p>
        </w:tc>
      </w:tr>
      <w:tr>
        <w:tc>
          <w:tcPr>
            <w:tcW w:type="dxa" w:w="5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Lead with bilingualism + the readiness report + Captain Adel citations — the report is the wedge.</w:t>
            </w:r>
          </w:p>
        </w:tc>
        <w:tc>
          <w:tcPr>
            <w:tcW w:type="dxa" w:w="38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The 'we already train from PDFs' objection</w:t>
            </w:r>
          </w:p>
        </w:tc>
      </w:tr>
      <w:tr>
        <w:tc>
          <w:tcPr>
            <w:tcW w:type="dxa" w:w="54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Start with the smallest paid Cohort tier for a fast entry, then expand.</w:t>
            </w:r>
          </w:p>
        </w:tc>
        <w:tc>
          <w:tcPr>
            <w:tcW w:type="dxa" w:w="38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Long institutional procurement cycles</w:t>
            </w:r>
          </w:p>
        </w:tc>
      </w:tr>
      <w:tr>
        <w:tc>
          <w:tcPr>
            <w:tcW w:type="dxa" w:w="54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Funding adds the first two hires and reduces single-founder dependency.</w:t>
            </w:r>
          </w:p>
        </w:tc>
        <w:tc>
          <w:tcPr>
            <w:tcW w:type="dxa" w:w="38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16212C"/>
                <w:sz w:val="20"/>
                <w:szCs w:val="20"/>
              </w:rPr>
              <w:t xml:space="preserve">Reliance on a solo founder</w:t>
            </w:r>
          </w:p>
        </w:tc>
      </w:tr>
    </w:tbl>
    <w:p>
      <w:pPr>
        <w:pStyle w:val="Heading1"/>
        <w:pBdr>
          <w:bottom w:val="single" w:color="2D6E8A" w:sz="8"/>
        </w:pBdr>
        <w:spacing w:after="140" w:before="320"/>
      </w:pPr>
      <w:r>
        <w:rPr>
          <w:rFonts w:ascii="Arial" w:cs="Arial" w:eastAsia="Arial" w:hAnsi="Arial"/>
          <w:b/>
          <w:bCs/>
          <w:color w:val="1C5266"/>
          <w:sz w:val="30"/>
          <w:szCs w:val="30"/>
        </w:rPr>
        <w:t xml:space="preserve">9. Roadmap &amp; Milestones</w:t>
      </w:r>
    </w:p>
    <w:p>
      <w:pPr>
        <w:spacing w:after="120" w:before="0" w:line="276"/>
        <w:jc w:val="left"/>
      </w:pPr>
      <w:r>
        <w:rPr>
          <w:rFonts w:ascii="Arial" w:cs="Arial" w:eastAsia="Arial" w:hAnsi="Arial"/>
          <w:b/>
          <w:bCs/>
          <w:i w:val="false"/>
          <w:iCs w:val="false"/>
          <w:color w:val="2D6E8A"/>
          <w:sz w:val="22"/>
          <w:szCs w:val="22"/>
        </w:rPr>
        <w:t xml:space="preserve">Now: </w:t>
      </w:r>
      <w:r>
        <w:rPr>
          <w:rFonts w:ascii="Arial" w:cs="Arial" w:eastAsia="Arial" w:hAnsi="Arial"/>
          <w:b w:val="false"/>
          <w:bCs w:val="false"/>
          <w:i w:val="false"/>
          <w:iCs w:val="false"/>
          <w:color w:val="16212C"/>
          <w:sz w:val="22"/>
          <w:szCs w:val="22"/>
        </w:rPr>
        <w:t xml:space="preserve">the product is live and auto-deploys; the commercial machinery is ready. We begin activating subscriptions and the first B2B partners.</w:t>
      </w:r>
    </w:p>
    <w:p>
      <w:pPr>
        <w:spacing w:after="120" w:before="0" w:line="276"/>
        <w:jc w:val="left"/>
      </w:pPr>
      <w:r>
        <w:rPr>
          <w:rFonts w:ascii="Arial" w:cs="Arial" w:eastAsia="Arial" w:hAnsi="Arial"/>
          <w:b/>
          <w:bCs/>
          <w:i w:val="false"/>
          <w:iCs w:val="false"/>
          <w:color w:val="2D6E8A"/>
          <w:sz w:val="22"/>
          <w:szCs w:val="22"/>
        </w:rPr>
        <w:t xml:space="preserve">Q1–Q2: </w:t>
      </w:r>
      <w:r>
        <w:rPr>
          <w:rFonts w:ascii="Arial" w:cs="Arial" w:eastAsia="Arial" w:hAnsi="Arial"/>
          <w:b w:val="false"/>
          <w:bCs w:val="false"/>
          <w:i w:val="false"/>
          <w:iCs w:val="false"/>
          <w:color w:val="16212C"/>
          <w:sz w:val="22"/>
          <w:szCs w:val="22"/>
        </w:rPr>
        <w:t xml:space="preserve">3–5 flight schools at a first-year discount, readiness reports, and a published case study → first SAR 100k ARR.</w:t>
      </w:r>
    </w:p>
    <w:p>
      <w:pPr>
        <w:spacing w:after="120" w:before="0" w:line="276"/>
        <w:jc w:val="left"/>
      </w:pPr>
      <w:r>
        <w:rPr>
          <w:rFonts w:ascii="Arial" w:cs="Arial" w:eastAsia="Arial" w:hAnsi="Arial"/>
          <w:b/>
          <w:bCs/>
          <w:i w:val="false"/>
          <w:iCs w:val="false"/>
          <w:color w:val="2D6E8A"/>
          <w:sz w:val="22"/>
          <w:szCs w:val="22"/>
        </w:rPr>
        <w:t xml:space="preserve">Q2–Q3: </w:t>
      </w:r>
      <w:r>
        <w:rPr>
          <w:rFonts w:ascii="Arial" w:cs="Arial" w:eastAsia="Arial" w:hAnsi="Arial"/>
          <w:b w:val="false"/>
          <w:bCs w:val="false"/>
          <w:i w:val="false"/>
          <w:iCs w:val="false"/>
          <w:color w:val="16212C"/>
          <w:sz w:val="22"/>
          <w:szCs w:val="22"/>
        </w:rPr>
        <w:t xml:space="preserve">launch the native iOS/Android app with payments, a B2B admin dashboard, and study-progress sync.</w:t>
      </w:r>
    </w:p>
    <w:p>
      <w:pPr>
        <w:spacing w:after="120" w:before="0" w:line="276"/>
        <w:jc w:val="left"/>
      </w:pPr>
      <w:r>
        <w:rPr>
          <w:rFonts w:ascii="Arial" w:cs="Arial" w:eastAsia="Arial" w:hAnsi="Arial"/>
          <w:b/>
          <w:bCs/>
          <w:i w:val="false"/>
          <w:iCs w:val="false"/>
          <w:color w:val="2D6E8A"/>
          <w:sz w:val="22"/>
          <w:szCs w:val="22"/>
        </w:rPr>
        <w:t xml:space="preserve">Year 2+: </w:t>
      </w:r>
      <w:r>
        <w:rPr>
          <w:rFonts w:ascii="Arial" w:cs="Arial" w:eastAsia="Arial" w:hAnsi="Arial"/>
          <w:b w:val="false"/>
          <w:bCs w:val="false"/>
          <w:i w:val="false"/>
          <w:iCs w:val="false"/>
          <w:color w:val="16212C"/>
          <w:sz w:val="22"/>
          <w:szCs w:val="22"/>
        </w:rPr>
        <w:t xml:space="preserve">expand Academy/Institution tiers, deepen content and tools, and strengthen visibility in search and AI answers.</w:t>
      </w:r>
    </w:p>
    <w:p>
      <w:pPr>
        <w:pStyle w:val="Heading1"/>
        <w:pBdr>
          <w:bottom w:val="single" w:color="2D6E8A" w:sz="8"/>
        </w:pBdr>
        <w:spacing w:after="140" w:before="320"/>
      </w:pPr>
      <w:r>
        <w:rPr>
          <w:rFonts w:ascii="Arial" w:cs="Arial" w:eastAsia="Arial" w:hAnsi="Arial"/>
          <w:b/>
          <w:bCs/>
          <w:color w:val="1C5266"/>
          <w:sz w:val="30"/>
          <w:szCs w:val="30"/>
        </w:rPr>
        <w:t xml:space="preserve">10. The Investment Ask</w:t>
      </w:r>
    </w:p>
    <w:p>
      <w:pPr>
        <w:spacing w:after="120" w:before="0" w:line="276"/>
        <w:jc w:val="left"/>
      </w:pPr>
      <w:r>
        <w:rPr>
          <w:rFonts w:ascii="Arial" w:cs="Arial" w:eastAsia="Arial" w:hAnsi="Arial"/>
          <w:b w:val="false"/>
          <w:bCs w:val="false"/>
          <w:i w:val="false"/>
          <w:iCs w:val="false"/>
          <w:color w:val="16212C"/>
          <w:sz w:val="22"/>
          <w:szCs w:val="22"/>
        </w:rPr>
        <w:t xml:space="preserve">We are raising a seed round of </w:t>
      </w:r>
      <w:r>
        <w:rPr>
          <w:rFonts w:ascii="Arial" w:cs="Arial" w:eastAsia="Arial" w:hAnsi="Arial"/>
          <w:b/>
          <w:bCs/>
          <w:i w:val="false"/>
          <w:iCs w:val="false"/>
          <w:color w:val="9A7623"/>
          <w:sz w:val="26"/>
          <w:szCs w:val="26"/>
        </w:rPr>
        <w:t xml:space="preserve">SAR 2,000,000</w:t>
      </w:r>
      <w:r>
        <w:rPr>
          <w:rFonts w:ascii="Arial" w:cs="Arial" w:eastAsia="Arial" w:hAnsi="Arial"/>
          <w:b w:val="false"/>
          <w:bCs w:val="false"/>
          <w:i w:val="false"/>
          <w:iCs w:val="false"/>
          <w:color w:val="16212C"/>
          <w:sz w:val="22"/>
          <w:szCs w:val="22"/>
        </w:rPr>
        <w:t xml:space="preserve"> — within the standard Saudi seed range (SAR 1.5–3M) and adjustable — to convert a built product and a growing user base into a revenue engine.</w:t>
      </w:r>
    </w:p>
    <w:p>
      <w:pPr>
        <w:pStyle w:val="Heading2"/>
        <w:spacing w:after="100" w:before="220"/>
      </w:pPr>
      <w:r>
        <w:rPr>
          <w:rFonts w:ascii="Arial" w:cs="Arial" w:eastAsia="Arial" w:hAnsi="Arial"/>
          <w:b/>
          <w:bCs/>
          <w:color w:val="2D6E8A"/>
          <w:sz w:val="24"/>
          <w:szCs w:val="24"/>
        </w:rPr>
        <w:t xml:space="preserve">Use of funds</w:t>
      </w:r>
    </w:p>
    <w:tbl>
      <w:tblPr>
        <w:tblW w:type="dxa" w:w="9200"/>
        <w:tblBorders>
          <w:top w:val="single" w:color="D4DDE2" w:sz="4"/>
          <w:left w:val="single" w:color="D4DDE2" w:sz="4"/>
          <w:bottom w:val="single" w:color="D4DDE2" w:sz="4"/>
          <w:right w:val="single" w:color="D4DDE2" w:sz="4"/>
          <w:insideH w:val="single" w:color="D4DDE2" w:sz="4"/>
          <w:insideV w:val="single" w:color="D4DDE2" w:sz="4"/>
        </w:tblBorders>
      </w:tblPr>
      <w:tblGrid>
        <w:gridCol w:w="4600"/>
        <w:gridCol w:w="2200"/>
        <w:gridCol w:w="2400"/>
      </w:tblGrid>
      <w:tr>
        <w:trPr>
          <w:tblHeader/>
        </w:trPr>
        <w:tc>
          <w:tcPr>
            <w:tcW w:type="dxa" w:w="4600"/>
            <w:shd w:fill="2D6E8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color w:val="FFFFFF"/>
                <w:sz w:val="20"/>
                <w:szCs w:val="20"/>
              </w:rPr>
              <w:t xml:space="preserve">Purpose</w:t>
            </w:r>
          </w:p>
        </w:tc>
        <w:tc>
          <w:tcPr>
            <w:tcW w:type="dxa" w:w="22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Share</w:t>
            </w:r>
          </w:p>
        </w:tc>
        <w:tc>
          <w:tcPr>
            <w:tcW w:type="dxa" w:w="2400"/>
            <w:shd w:fill="2D6E8A"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FFFFFF"/>
                <w:sz w:val="20"/>
                <w:szCs w:val="20"/>
              </w:rPr>
              <w:t xml:space="preserve">Amount (SAR)</w:t>
            </w:r>
          </w:p>
        </w:tc>
      </w:tr>
      <w:tr>
        <w:tc>
          <w:tcPr>
            <w:tcW w:type="dxa" w:w="4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Product &amp; content (corpus &amp; tools + native launch)</w:t>
            </w:r>
          </w:p>
        </w:tc>
        <w:tc>
          <w:tcPr>
            <w:tcW w:type="dxa" w:w="22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35%</w:t>
            </w:r>
          </w:p>
        </w:tc>
        <w:tc>
          <w:tcPr>
            <w:tcW w:type="dxa" w:w="24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700,000</w:t>
            </w:r>
          </w:p>
        </w:tc>
      </w:tr>
      <w:tr>
        <w:tc>
          <w:tcPr>
            <w:tcW w:type="dxa" w:w="4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B2B sales &amp; school partnerships</w:t>
            </w:r>
          </w:p>
        </w:tc>
        <w:tc>
          <w:tcPr>
            <w:tcW w:type="dxa" w:w="22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25%</w:t>
            </w:r>
          </w:p>
        </w:tc>
        <w:tc>
          <w:tcPr>
            <w:tcW w:type="dxa" w:w="24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500,000</w:t>
            </w:r>
          </w:p>
        </w:tc>
      </w:tr>
      <w:tr>
        <w:tc>
          <w:tcPr>
            <w:tcW w:type="dxa" w:w="4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Marketing &amp; growth (SEO / AI-search + acquisition)</w:t>
            </w:r>
          </w:p>
        </w:tc>
        <w:tc>
          <w:tcPr>
            <w:tcW w:type="dxa" w:w="22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20%</w:t>
            </w:r>
          </w:p>
        </w:tc>
        <w:tc>
          <w:tcPr>
            <w:tcW w:type="dxa" w:w="24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400,000</w:t>
            </w:r>
          </w:p>
        </w:tc>
      </w:tr>
      <w:tr>
        <w:tc>
          <w:tcPr>
            <w:tcW w:type="dxa" w:w="4600"/>
            <w:shd w:fill="F2F6F8"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Hiring (developer + content/sales)</w:t>
            </w:r>
          </w:p>
        </w:tc>
        <w:tc>
          <w:tcPr>
            <w:tcW w:type="dxa" w:w="22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15%</w:t>
            </w:r>
          </w:p>
        </w:tc>
        <w:tc>
          <w:tcPr>
            <w:tcW w:type="dxa" w:w="2400"/>
            <w:shd w:fill="F2F6F8"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300,000</w:t>
            </w:r>
          </w:p>
        </w:tc>
      </w:tr>
      <w:tr>
        <w:tc>
          <w:tcPr>
            <w:tcW w:type="dxa" w:w="4600"/>
            <w:shd w:fill="FFFFFF"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color w:val="16212C"/>
                <w:sz w:val="20"/>
                <w:szCs w:val="20"/>
              </w:rPr>
              <w:t xml:space="preserve">Operations &amp; infrastructure</w:t>
            </w:r>
          </w:p>
        </w:tc>
        <w:tc>
          <w:tcPr>
            <w:tcW w:type="dxa" w:w="22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val="false"/>
                <w:bCs w:val="false"/>
                <w:i w:val="false"/>
                <w:iCs w:val="false"/>
                <w:color w:val="16212C"/>
                <w:sz w:val="20"/>
                <w:szCs w:val="20"/>
              </w:rPr>
              <w:t xml:space="preserve">5%</w:t>
            </w:r>
          </w:p>
        </w:tc>
        <w:tc>
          <w:tcPr>
            <w:tcW w:type="dxa" w:w="2400"/>
            <w:shd w:fill="FFFFFF" w:color="auto" w:val="clear"/>
            <w:tcMar>
              <w:top w:type="dxa" w:w="60"/>
              <w:left w:type="dxa" w:w="90"/>
              <w:bottom w:type="dxa" w:w="60"/>
              <w:right w:type="dxa" w:w="90"/>
            </w:tcMar>
            <w:vAlign w:val="center"/>
          </w:tcPr>
          <w:p>
            <w:pPr>
              <w:spacing w:after="0" w:line="260"/>
              <w:jc w:val="right"/>
            </w:pPr>
            <w:r>
              <w:rPr>
                <w:rFonts w:ascii="Arial" w:cs="Arial" w:eastAsia="Arial" w:hAnsi="Arial"/>
                <w:b/>
                <w:bCs/>
                <w:i w:val="false"/>
                <w:iCs w:val="false"/>
                <w:color w:val="16212C"/>
                <w:sz w:val="20"/>
                <w:szCs w:val="20"/>
              </w:rPr>
              <w:t xml:space="preserve">100,000</w:t>
            </w:r>
          </w:p>
        </w:tc>
      </w:tr>
    </w:tbl>
    <w:p>
      <w:pPr>
        <w:spacing w:after="120" w:before="0" w:line="276"/>
        <w:jc w:val="left"/>
      </w:pPr>
      <w:r>
        <w:rPr>
          <w:rFonts w:ascii="Arial" w:cs="Arial" w:eastAsia="Arial" w:hAnsi="Arial"/>
          <w:b/>
          <w:bCs/>
          <w:i w:val="false"/>
          <w:iCs w:val="false"/>
          <w:color w:val="16212C"/>
          <w:sz w:val="22"/>
          <w:szCs w:val="22"/>
        </w:rPr>
        <w:t xml:space="preserve">Milestones unlocked by funding: </w:t>
      </w:r>
      <w:r>
        <w:rPr>
          <w:rFonts w:ascii="Arial" w:cs="Arial" w:eastAsia="Arial" w:hAnsi="Arial"/>
          <w:b w:val="false"/>
          <w:bCs w:val="false"/>
          <w:i w:val="false"/>
          <w:iCs w:val="false"/>
          <w:color w:val="16212C"/>
          <w:sz w:val="22"/>
          <w:szCs w:val="22"/>
        </w:rPr>
        <w:t xml:space="preserve">first SAR 100k of B2B ARR in H1, the native app launch, and activating conversion of the free base into paying subscribers.</w:t>
      </w:r>
    </w:p>
    <w:p>
      <w:pPr>
        <w:pStyle w:val="Heading1"/>
        <w:pBdr>
          <w:bottom w:val="single" w:color="2D6E8A" w:sz="8"/>
        </w:pBdr>
        <w:spacing w:after="140" w:before="320"/>
      </w:pPr>
      <w:r>
        <w:rPr>
          <w:rFonts w:ascii="Arial" w:cs="Arial" w:eastAsia="Arial" w:hAnsi="Arial"/>
          <w:b/>
          <w:bCs/>
          <w:color w:val="1C5266"/>
          <w:sz w:val="30"/>
          <w:szCs w:val="30"/>
        </w:rPr>
        <w:t xml:space="preserve">11. Team</w:t>
      </w:r>
    </w:p>
    <w:p>
      <w:pPr>
        <w:spacing w:after="120" w:before="0" w:line="276"/>
        <w:jc w:val="left"/>
      </w:pPr>
      <w:r>
        <w:rPr>
          <w:rFonts w:ascii="Arial" w:cs="Arial" w:eastAsia="Arial" w:hAnsi="Arial"/>
          <w:b/>
          <w:bCs/>
          <w:i w:val="false"/>
          <w:iCs w:val="false"/>
          <w:color w:val="16212C"/>
          <w:sz w:val="22"/>
          <w:szCs w:val="22"/>
        </w:rPr>
        <w:t xml:space="preserve">Adel Yahya Ahmed Madkhali — Founder &amp; Developer. </w:t>
      </w:r>
      <w:r>
        <w:rPr>
          <w:rFonts w:ascii="Arial" w:cs="Arial" w:eastAsia="Arial" w:hAnsi="Arial"/>
          <w:b w:val="false"/>
          <w:bCs w:val="false"/>
          <w:i w:val="false"/>
          <w:iCs w:val="false"/>
          <w:color w:val="16212C"/>
          <w:sz w:val="22"/>
          <w:szCs w:val="22"/>
        </w:rPr>
        <w:t xml:space="preserve">Conceived the idea and built the entire platform (front end, back end, and the regulatory corpus) and programmed the Captain Adel (RAG) assistant himself — the assistant carries his name. A complete, live product delivered by a single founder: proof of execution capability and lean human capital.</w:t>
      </w:r>
    </w:p>
    <w:p>
      <w:pPr>
        <w:spacing w:after="120" w:before="0" w:line="276"/>
        <w:jc w:val="left"/>
      </w:pPr>
      <w:r>
        <w:rPr>
          <w:rFonts w:ascii="Arial" w:cs="Arial" w:eastAsia="Arial" w:hAnsi="Arial"/>
          <w:b w:val="false"/>
          <w:bCs w:val="false"/>
          <w:i w:val="false"/>
          <w:iCs w:val="false"/>
          <w:color w:val="16212C"/>
          <w:sz w:val="22"/>
          <w:szCs w:val="22"/>
        </w:rPr>
        <w:t xml:space="preserve">Funding turns the team from a solo founder into a small core: the first two hires — a developer and a content/sales lead — to accelerate the growth the product is already ready for.</w:t>
      </w:r>
    </w:p>
    <w:p>
      <w:pPr>
        <w:pStyle w:val="Heading1"/>
        <w:pBdr>
          <w:bottom w:val="single" w:color="2D6E8A" w:sz="8"/>
        </w:pBdr>
        <w:spacing w:after="140" w:before="320"/>
      </w:pPr>
      <w:r>
        <w:rPr>
          <w:rFonts w:ascii="Arial" w:cs="Arial" w:eastAsia="Arial" w:hAnsi="Arial"/>
          <w:b/>
          <w:bCs/>
          <w:color w:val="1C5266"/>
          <w:sz w:val="30"/>
          <w:szCs w:val="30"/>
        </w:rPr>
        <w:t xml:space="preserve">12. Closing &amp; Contact</w:t>
      </w:r>
    </w:p>
    <w:p>
      <w:pPr>
        <w:spacing w:after="120" w:before="0" w:line="276"/>
        <w:jc w:val="left"/>
      </w:pPr>
      <w:r>
        <w:rPr>
          <w:rFonts w:ascii="Arial" w:cs="Arial" w:eastAsia="Arial" w:hAnsi="Arial"/>
          <w:b w:val="false"/>
          <w:bCs w:val="false"/>
          <w:i w:val="false"/>
          <w:iCs w:val="false"/>
          <w:color w:val="16212C"/>
          <w:sz w:val="22"/>
          <w:szCs w:val="22"/>
        </w:rPr>
        <w:t xml:space="preserve">A built product, an expanding market, and a founder who executes. Seed funding is the key that turns a growing free base into sustainable revenue across individuals and institutions. We welcome discussing the opportunity in detail.</w:t>
      </w:r>
    </w:p>
    <w:p>
      <w:pPr>
        <w:spacing w:after="120" w:before="0" w:line="276"/>
        <w:jc w:val="left"/>
      </w:pPr>
      <w:r>
        <w:rPr>
          <w:rFonts w:ascii="Arial" w:cs="Arial" w:eastAsia="Arial" w:hAnsi="Arial"/>
          <w:b/>
          <w:bCs/>
          <w:i w:val="false"/>
          <w:iCs w:val="false"/>
          <w:color w:val="16212C"/>
          <w:sz w:val="22"/>
          <w:szCs w:val="22"/>
        </w:rPr>
        <w:t xml:space="preserve">Contact: </w:t>
      </w:r>
      <w:r>
        <w:rPr>
          <w:rFonts w:ascii="Arial" w:cs="Arial" w:eastAsia="Arial" w:hAnsi="Arial"/>
          <w:b w:val="false"/>
          <w:bCs w:val="false"/>
          <w:i w:val="false"/>
          <w:iCs w:val="false"/>
          <w:color w:val="16212C"/>
          <w:sz w:val="22"/>
          <w:szCs w:val="22"/>
        </w:rPr>
        <w:t xml:space="preserve">flygaca.com · flygaca@gmail.com</w:t>
      </w:r>
    </w:p>
    <w:p>
      <w:pPr>
        <w:spacing w:before="200"/>
      </w:pPr>
      <w:r>
        <w:rPr>
          <w:rFonts w:ascii="Arial" w:cs="Arial" w:eastAsia="Arial" w:hAnsi="Arial"/>
          <w:b/>
          <w:bCs/>
          <w:i w:val="false"/>
          <w:iCs w:val="false"/>
          <w:color w:val="B1442B"/>
          <w:sz w:val="22"/>
          <w:szCs w:val="22"/>
        </w:rPr>
        <w:t xml:space="preserve">Disclaimer: </w:t>
      </w:r>
      <w:r>
        <w:rPr>
          <w:rFonts w:ascii="Arial" w:cs="Arial" w:eastAsia="Arial" w:hAnsi="Arial"/>
          <w:b w:val="false"/>
          <w:bCs w:val="false"/>
          <w:i w:val="false"/>
          <w:iCs w:val="false"/>
          <w:color w:val="44515C"/>
          <w:sz w:val="18"/>
          <w:szCs w:val="18"/>
        </w:rPr>
        <w:t xml:space="preserve">Fly GACA is an independent educational platform and is not affiliated with the General Authority of Civil Aviation (GACA). We help people find and study Saudi civil-aviation regulation and do not replace the official exam or the official source — always verify against GACA. The financial projections in this document are an assumptions-based model and are not a guarantee of future performance.</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15C"/>
        <w:sz w:val="16"/>
        <w:szCs w:val="16"/>
      </w:rPr>
      <w:t xml:space="preserve">Fly GACA · Feasibility Study · Confidential · </w:t>
    </w:r>
    <w:r>
      <w:rPr>
        <w:rFonts w:ascii="Arial" w:cs="Arial" w:eastAsia="Arial" w:hAnsi="Arial"/>
        <w:color w:val="4451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621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Fly GACA — Feasibility Study &amp; Revenue Projections</dc:title>
  <dc:creator>Fly GACA</dc:creator>
  <cp:lastModifiedBy>Un-named</cp:lastModifiedBy>
  <cp:revision>1</cp:revision>
  <dcterms:created xsi:type="dcterms:W3CDTF">2026-07-20T23:03:25.647Z</dcterms:created>
  <dcterms:modified xsi:type="dcterms:W3CDTF">2026-07-20T23:03:25.647Z</dcterms:modified>
</cp:coreProperties>
</file>

<file path=docProps/custom.xml><?xml version="1.0" encoding="utf-8"?>
<Properties xmlns="http://schemas.openxmlformats.org/officeDocument/2006/custom-properties" xmlns:vt="http://schemas.openxmlformats.org/officeDocument/2006/docPropsVTypes"/>
</file>