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Section 12:  Results</w:t>
      </w:r>
    </w:p>
    <w:p>
      <w:pPr>
        <w:pStyle w:val="Heading2"/>
      </w:pPr>
      <w:r>
        <w:t>Working Prototype</w:t>
      </w:r>
    </w:p>
    <w:p>
      <w:r>
        <w:t>The primary result of this project is a fully functional AI-driven search engine prototype deployed via Docker Compose and tested against a curated corpus of 56 documents spanning six organizational categories. The system executes the full hybrid search pipeline, from natural language query input through embedding generation, parallel BM25 and semantic retrieval, Reciprocal Rank Fusion, neural reranking, and RBAC filtering, in a single end-to-end flow. The prototype is not a mockup or wireframe; it is a working web application that accepts arbitrary natural language queries and returns ranked, access-controlled results in real time.</w:t>
      </w:r>
    </w:p>
    <w:p>
      <w:r>
        <w:t>Five demonstration queries were designed to exercise distinct capabilities of the search pipeline. Each query targets a different retrieval challenge: version-aware ranking, hybrid keyword-semantic matching, pure semantic understanding without keyword overlap, cross-format ingestion with title boosting, and broad multi-document discovery with neural reranking. The results below confirm that the prototype meets or exceeds the functional requirements established in Section 8.</w:t>
      </w:r>
    </w:p>
    <w:p>
      <w:pPr>
        <w:pStyle w:val="Heading2"/>
      </w:pPr>
      <w:r>
        <w:t>12.1 Demonstration Queries and Qualitative Results</w:t>
      </w:r>
    </w:p>
    <w:p>
      <w:r>
        <w:t>The following five queries were executed against the full 56-document corpus with all pipeline stages active (embedding, three-signal retrieval, RRF fusion, Cohere Rerank v3.5, version filtering, and RBAC filtering). Each query demonstrates a specific system capability.</w:t>
      </w:r>
    </w:p>
    <w:p>
      <w:pPr>
        <w:pStyle w:val="Heading3"/>
      </w:pPr>
      <w:r>
        <w:t>Query 1: "What is the company's remote work policy?"</w:t>
      </w:r>
    </w:p>
    <w:p>
      <w:r>
        <w:t>This query tests the system's version-aware ranking capability. The corpus contains two versions of the Remote Work Policy (v1 and v2), linked by the document_group column and distinguished by the version number extracted from the _v2 filename suffix at ingestion time. With the "show latest only" filter enabled (the default), the system returns Remote_Work_Policy_v2.docx as the top result and suppresses v1 entirely. Disabling the filter surfaces both versions, with v2 ranked higher due to its identical relevance score and higher version number. This confirms that the version-aware post-rerank filter operates correctly and that users receive the most current policy without manual disambiguation.</w:t>
      </w:r>
    </w:p>
    <w:p>
      <w:pPr>
        <w:pStyle w:val="Heading3"/>
      </w:pPr>
      <w:r>
        <w:t>Query 2: "password requirements and multi-factor authentication"</w:t>
      </w:r>
    </w:p>
    <w:p>
      <w:r>
        <w:t>This query tests hybrid search, where both keyword and semantic signals contribute to retrieval. The terms "password" and "multi-factor authentication" appear verbatim in the Password and Authentication Standards document, giving it a strong BM25 keyword match. Simultaneously, the semantic embedding captures the broader concept of access security, surfacing related documents such as the Acceptable Use Policy and the IT Change Management Policy. The Reciprocal Rank Fusion step merges these two ranked lists (along with title similarity scores) to produce a final ordering that balances exact term matching with conceptual relevance. The Password and Authentication Standards document ranks first, confirming that keyword precision is preserved while semantically related results fill the remaining positions.</w:t>
      </w:r>
    </w:p>
    <w:p>
      <w:pPr>
        <w:pStyle w:val="Heading3"/>
      </w:pPr>
      <w:r>
        <w:t>Query 3: "How do I report unethical behavior?"</w:t>
      </w:r>
    </w:p>
    <w:p>
      <w:r>
        <w:t>This query tests pure semantic understanding. No document in the corpus contains the phrase "report unethical behavior" in its title or body text. A traditional keyword search engine would return zero results or irrelevant matches. The system's semantic retrieval path, powered by Qwen3-Embedding-0.6B, maps the query to the conceptual neighborhood of whistleblowing, ethics reporting, and organizational compliance. The top results are the Whistleblower and Non-Retaliation Policy and the Code of Business Conduct and Ethics, both of which are the correct documents for an employee seeking to report misconduct. This demonstrates the core value proposition of NLP-driven search: users do not need to know the exact document title or terminology to find what they need.</w:t>
      </w:r>
    </w:p>
    <w:p>
      <w:pPr>
        <w:pStyle w:val="Heading3"/>
      </w:pPr>
      <w:r>
        <w:t>Query 4: "Q3 2025 revenue and business performance"</w:t>
      </w:r>
    </w:p>
    <w:p>
      <w:r>
        <w:t>This query tests two capabilities simultaneously: multi-format ingestion (the target document is a PowerPoint presentation) and title boosting. The Q3 2025 Business Review is a .pptx file ingested via Docling, which extracts text from slides, speaker notes, and embedded tables. The query closely matches the document title, activating the third retrieval signal (title similarity via a dedicated HNSW index on document_title_embeddings). The title boost weight of 1.5x in the RRF merge elevates this document above other results that may share some semantic overlap with "revenue" or "business performance" but lack a strong title match. The Q3 2025 Business Review ranks first, confirming that the title boosting mechanism works as designed and that non-PDF formats are fully searchable.</w:t>
      </w:r>
    </w:p>
    <w:p>
      <w:pPr>
        <w:pStyle w:val="Heading3"/>
      </w:pPr>
      <w:r>
        <w:t>Query 5: "employee benefits and wellness programs"</w:t>
      </w:r>
    </w:p>
    <w:p>
      <w:r>
        <w:t>This query tests broad discovery and the neural reranker's ability to sort a diverse set of partially relevant documents. The query is intentionally vague, matching concepts spread across multiple documents: Health and Wellness Benefits Overview, Bereavement Leave Policy, Flexible Work Arrangements Guideline, Parking and Commuter Benefits Policy, and the Employee Privacy Policy. The initial retrieval returns a wide candidate set from all three signals. Cohere Rerank v3.5 then applies cross-encoder attention to each query-document pair, reordering the results by fine-grained relevance. The Health and Wellness Benefits Overview surfaces as the top result, with related policies ranked by decreasing specificity. This demonstrates that the reranker adds meaningful precision beyond what RRF alone provides, particularly for ambiguous or multi-topic queries.</w:t>
      </w:r>
    </w:p>
    <w:p>
      <w:pPr>
        <w:pStyle w:val="Heading2"/>
      </w:pPr>
      <w:r>
        <w:t>12.2 Adversarial Robustness</w:t>
      </w:r>
    </w:p>
    <w:p>
      <w:r>
        <w:t>To evaluate the system's resilience against deliberately misleading inputs, the team created a corpus of 25 adversarial ("poisoned") documents. Each poisoned document has a title that is intentionally mismatched with its body content. For example, a document titled "Remote Work Policy" might contain content about financial auditing procedures. These documents simulate a realistic attack vector in enterprise environments where document metadata may be stale, incorrectly tagged, or deliberately manipulated.</w:t>
      </w:r>
    </w:p>
    <w:p>
      <w:r>
        <w:t>When poisoned documents are ingested alongside the clean corpus, the system's hybrid retrieval architecture provides a natural defense. Because BM25 keyword search operates on the full document text (not just the title), poisoned documents with irrelevant body content receive low keyword scores for queries targeting their fake titles. The semantic embedding of the document chunks similarly reflects the actual content, not the misleading title. While the title similarity signal may initially boost a poisoned document, the RRF merge dilutes this single strong signal against two weak ones (low BM25, low chunk semantic similarity). The Cohere Rerank step provides an additional layer of defense, as the cross-encoder evaluates the actual passage text against the query and penalizes content that does not match the user's intent.</w:t>
      </w:r>
    </w:p>
    <w:p>
      <w:r>
        <w:t>In testing, poisoned documents consistently ranked below their clean counterparts for the same queries. A poisoned document with a misleading title might appear in the top 50 candidates from the title similarity signal, but after RRF fusion and reranking, it drops below the top 10 results returned to the user. This confirms that the multi-signal architecture and neural reranking together provide robust defense against title-content mismatch attacks without requiring a dedicated adversarial detection module.</w:t>
      </w:r>
    </w:p>
    <w:p>
      <w:pPr>
        <w:pStyle w:val="Heading2"/>
      </w:pPr>
      <w:r>
        <w:t>12.3 Document Corpus</w:t>
      </w:r>
    </w:p>
    <w:p>
      <w:r>
        <w:t>The prototype was tested against a curated corpus designed to simulate a representative slice of Deloitte's internal knowledge base. The corpus was constructed to cover the breadth of document types, organizational functions, and file formats that an enterprise search system would encounter in production.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rFonts w:ascii="Calibri" w:hAnsi="Calibri"/>
                <w:b/>
                <w:color w:val="FFFFFF"/>
                <w:sz w:val="20"/>
              </w:rPr>
              <w:t>Category</w:t>
            </w:r>
          </w:p>
        </w:tc>
        <w:tc>
          <w:tcPr>
            <w:tcW w:type="dxa" w:w="1440"/>
            <w:shd w:fill="2E4057" w:val="clear"/>
          </w:tcPr>
          <w:p>
            <w:pPr>
              <w:jc w:val="center"/>
            </w:pPr>
            <w:r>
              <w:rPr>
                <w:rFonts w:ascii="Calibri" w:hAnsi="Calibri"/>
                <w:b/>
                <w:color w:val="FFFFFF"/>
                <w:sz w:val="20"/>
              </w:rPr>
              <w:t>Document Count</w:t>
            </w:r>
          </w:p>
        </w:tc>
        <w:tc>
          <w:tcPr>
            <w:tcW w:type="dxa" w:w="1728"/>
            <w:shd w:fill="2E4057" w:val="clear"/>
          </w:tcPr>
          <w:p>
            <w:pPr>
              <w:jc w:val="center"/>
            </w:pPr>
            <w:r>
              <w:rPr>
                <w:rFonts w:ascii="Calibri" w:hAnsi="Calibri"/>
                <w:b/>
                <w:color w:val="FFFFFF"/>
                <w:sz w:val="20"/>
              </w:rPr>
              <w:t>Formats</w:t>
            </w:r>
          </w:p>
        </w:tc>
        <w:tc>
          <w:tcPr>
            <w:tcW w:type="dxa" w:w="4320"/>
            <w:shd w:fill="2E4057" w:val="clear"/>
          </w:tcPr>
          <w:p>
            <w:pPr>
              <w:jc w:val="center"/>
            </w:pPr>
            <w:r>
              <w:rPr>
                <w:rFonts w:ascii="Calibri" w:hAnsi="Calibri"/>
                <w:b/>
                <w:color w:val="FFFFFF"/>
                <w:sz w:val="20"/>
              </w:rPr>
              <w:t>Example Documents</w:t>
            </w:r>
          </w:p>
        </w:tc>
      </w:tr>
      <w:tr>
        <w:tc>
          <w:tcPr>
            <w:tcW w:type="dxa" w:w="2160"/>
          </w:tcPr>
          <w:p>
            <w:r>
              <w:rPr>
                <w:rFonts w:ascii="Calibri" w:hAnsi="Calibri"/>
                <w:sz w:val="20"/>
              </w:rPr>
              <w:t>Human Resources</w:t>
            </w:r>
          </w:p>
        </w:tc>
        <w:tc>
          <w:tcPr>
            <w:tcW w:type="dxa" w:w="1440"/>
          </w:tcPr>
          <w:p>
            <w:r>
              <w:rPr>
                <w:rFonts w:ascii="Calibri" w:hAnsi="Calibri"/>
                <w:sz w:val="20"/>
              </w:rPr>
              <w:t>14</w:t>
            </w:r>
          </w:p>
        </w:tc>
        <w:tc>
          <w:tcPr>
            <w:tcW w:type="dxa" w:w="1728"/>
          </w:tcPr>
          <w:p>
            <w:r>
              <w:rPr>
                <w:rFonts w:ascii="Calibri" w:hAnsi="Calibri"/>
                <w:sz w:val="20"/>
              </w:rPr>
              <w:t>DOCX, PDF</w:t>
            </w:r>
          </w:p>
        </w:tc>
        <w:tc>
          <w:tcPr>
            <w:tcW w:type="dxa" w:w="4320"/>
          </w:tcPr>
          <w:p>
            <w:r>
              <w:rPr>
                <w:rFonts w:ascii="Calibri" w:hAnsi="Calibri"/>
                <w:sz w:val="20"/>
              </w:rPr>
              <w:t>Remote Work Policy (v1, v2), Recruitment and Hiring Policy, Bereavement Leave Policy</w:t>
            </w:r>
          </w:p>
        </w:tc>
      </w:tr>
      <w:tr>
        <w:tc>
          <w:tcPr>
            <w:tcW w:type="dxa" w:w="2160"/>
            <w:shd w:fill="F2F2F2" w:val="clear"/>
          </w:tcPr>
          <w:p>
            <w:r>
              <w:rPr>
                <w:rFonts w:ascii="Calibri" w:hAnsi="Calibri"/>
                <w:sz w:val="20"/>
              </w:rPr>
              <w:t>IT &amp; Security</w:t>
            </w:r>
          </w:p>
        </w:tc>
        <w:tc>
          <w:tcPr>
            <w:tcW w:type="dxa" w:w="1440"/>
            <w:shd w:fill="F2F2F2" w:val="clear"/>
          </w:tcPr>
          <w:p>
            <w:r>
              <w:rPr>
                <w:rFonts w:ascii="Calibri" w:hAnsi="Calibri"/>
                <w:sz w:val="20"/>
              </w:rPr>
              <w:t>8</w:t>
            </w:r>
          </w:p>
        </w:tc>
        <w:tc>
          <w:tcPr>
            <w:tcW w:type="dxa" w:w="1728"/>
            <w:shd w:fill="F2F2F2" w:val="clear"/>
          </w:tcPr>
          <w:p>
            <w:r>
              <w:rPr>
                <w:rFonts w:ascii="Calibri" w:hAnsi="Calibri"/>
                <w:sz w:val="20"/>
              </w:rPr>
              <w:t>PDF, DOCX, PPTX</w:t>
            </w:r>
          </w:p>
        </w:tc>
        <w:tc>
          <w:tcPr>
            <w:tcW w:type="dxa" w:w="4320"/>
            <w:shd w:fill="F2F2F2" w:val="clear"/>
          </w:tcPr>
          <w:p>
            <w:r>
              <w:rPr>
                <w:rFonts w:ascii="Calibri" w:hAnsi="Calibri"/>
                <w:sz w:val="20"/>
              </w:rPr>
              <w:t>Password and Authentication Standards, IT Change Management Policy, Annual IT Security Review FY2024</w:t>
            </w:r>
          </w:p>
        </w:tc>
      </w:tr>
      <w:tr>
        <w:tc>
          <w:tcPr>
            <w:tcW w:type="dxa" w:w="2160"/>
          </w:tcPr>
          <w:p>
            <w:r>
              <w:rPr>
                <w:rFonts w:ascii="Calibri" w:hAnsi="Calibri"/>
                <w:sz w:val="20"/>
              </w:rPr>
              <w:t>Compliance &amp; Ethics</w:t>
            </w:r>
          </w:p>
        </w:tc>
        <w:tc>
          <w:tcPr>
            <w:tcW w:type="dxa" w:w="1440"/>
          </w:tcPr>
          <w:p>
            <w:r>
              <w:rPr>
                <w:rFonts w:ascii="Calibri" w:hAnsi="Calibri"/>
                <w:sz w:val="20"/>
              </w:rPr>
              <w:t>8</w:t>
            </w:r>
          </w:p>
        </w:tc>
        <w:tc>
          <w:tcPr>
            <w:tcW w:type="dxa" w:w="1728"/>
          </w:tcPr>
          <w:p>
            <w:r>
              <w:rPr>
                <w:rFonts w:ascii="Calibri" w:hAnsi="Calibri"/>
                <w:sz w:val="20"/>
              </w:rPr>
              <w:t>DOCX, PDF</w:t>
            </w:r>
          </w:p>
        </w:tc>
        <w:tc>
          <w:tcPr>
            <w:tcW w:type="dxa" w:w="4320"/>
          </w:tcPr>
          <w:p>
            <w:r>
              <w:rPr>
                <w:rFonts w:ascii="Calibri" w:hAnsi="Calibri"/>
                <w:sz w:val="20"/>
              </w:rPr>
              <w:t>Code of Business Conduct and Ethics, Whistleblower Policy (v1, v2), Conflict of Interest Procedures</w:t>
            </w:r>
          </w:p>
        </w:tc>
      </w:tr>
      <w:tr>
        <w:tc>
          <w:tcPr>
            <w:tcW w:type="dxa" w:w="2160"/>
            <w:shd w:fill="F2F2F2" w:val="clear"/>
          </w:tcPr>
          <w:p>
            <w:r>
              <w:rPr>
                <w:rFonts w:ascii="Calibri" w:hAnsi="Calibri"/>
                <w:sz w:val="20"/>
              </w:rPr>
              <w:t>Finance &amp; Operations</w:t>
            </w:r>
          </w:p>
        </w:tc>
        <w:tc>
          <w:tcPr>
            <w:tcW w:type="dxa" w:w="1440"/>
            <w:shd w:fill="F2F2F2" w:val="clear"/>
          </w:tcPr>
          <w:p>
            <w:r>
              <w:rPr>
                <w:rFonts w:ascii="Calibri" w:hAnsi="Calibri"/>
                <w:sz w:val="20"/>
              </w:rPr>
              <w:t>8</w:t>
            </w:r>
          </w:p>
        </w:tc>
        <w:tc>
          <w:tcPr>
            <w:tcW w:type="dxa" w:w="1728"/>
            <w:shd w:fill="F2F2F2" w:val="clear"/>
          </w:tcPr>
          <w:p>
            <w:r>
              <w:rPr>
                <w:rFonts w:ascii="Calibri" w:hAnsi="Calibri"/>
                <w:sz w:val="20"/>
              </w:rPr>
              <w:t>PDF, DOCX, PPTX</w:t>
            </w:r>
          </w:p>
        </w:tc>
        <w:tc>
          <w:tcPr>
            <w:tcW w:type="dxa" w:w="4320"/>
            <w:shd w:fill="F2F2F2" w:val="clear"/>
          </w:tcPr>
          <w:p>
            <w:r>
              <w:rPr>
                <w:rFonts w:ascii="Calibri" w:hAnsi="Calibri"/>
                <w:sz w:val="20"/>
              </w:rPr>
              <w:t>Accounts Payable Policy, Budget Management Policy, Travel and Expense Reimbursement Policy</w:t>
            </w:r>
          </w:p>
        </w:tc>
      </w:tr>
      <w:tr>
        <w:tc>
          <w:tcPr>
            <w:tcW w:type="dxa" w:w="2160"/>
          </w:tcPr>
          <w:p>
            <w:r>
              <w:rPr>
                <w:rFonts w:ascii="Calibri" w:hAnsi="Calibri"/>
                <w:sz w:val="20"/>
              </w:rPr>
              <w:t>Business &amp; Strategy</w:t>
            </w:r>
          </w:p>
        </w:tc>
        <w:tc>
          <w:tcPr>
            <w:tcW w:type="dxa" w:w="1440"/>
          </w:tcPr>
          <w:p>
            <w:r>
              <w:rPr>
                <w:rFonts w:ascii="Calibri" w:hAnsi="Calibri"/>
                <w:sz w:val="20"/>
              </w:rPr>
              <w:t>6</w:t>
            </w:r>
          </w:p>
        </w:tc>
        <w:tc>
          <w:tcPr>
            <w:tcW w:type="dxa" w:w="1728"/>
          </w:tcPr>
          <w:p>
            <w:r>
              <w:rPr>
                <w:rFonts w:ascii="Calibri" w:hAnsi="Calibri"/>
                <w:sz w:val="20"/>
              </w:rPr>
              <w:t>PPTX, DOCX</w:t>
            </w:r>
          </w:p>
        </w:tc>
        <w:tc>
          <w:tcPr>
            <w:tcW w:type="dxa" w:w="4320"/>
          </w:tcPr>
          <w:p>
            <w:r>
              <w:rPr>
                <w:rFonts w:ascii="Calibri" w:hAnsi="Calibri"/>
                <w:sz w:val="20"/>
              </w:rPr>
              <w:t>Q2/Q3 2025 Business Review, Product Roadmap H2 2025, HR Strategy Roadmap 2025-2027</w:t>
            </w:r>
          </w:p>
        </w:tc>
      </w:tr>
      <w:tr>
        <w:tc>
          <w:tcPr>
            <w:tcW w:type="dxa" w:w="2160"/>
            <w:shd w:fill="F2F2F2" w:val="clear"/>
          </w:tcPr>
          <w:p>
            <w:r>
              <w:rPr>
                <w:rFonts w:ascii="Calibri" w:hAnsi="Calibri"/>
                <w:sz w:val="20"/>
              </w:rPr>
              <w:t>DEI &amp; Culture</w:t>
            </w:r>
          </w:p>
        </w:tc>
        <w:tc>
          <w:tcPr>
            <w:tcW w:type="dxa" w:w="1440"/>
            <w:shd w:fill="F2F2F2" w:val="clear"/>
          </w:tcPr>
          <w:p>
            <w:r>
              <w:rPr>
                <w:rFonts w:ascii="Calibri" w:hAnsi="Calibri"/>
                <w:sz w:val="20"/>
              </w:rPr>
              <w:t>6</w:t>
            </w:r>
          </w:p>
        </w:tc>
        <w:tc>
          <w:tcPr>
            <w:tcW w:type="dxa" w:w="1728"/>
            <w:shd w:fill="F2F2F2" w:val="clear"/>
          </w:tcPr>
          <w:p>
            <w:r>
              <w:rPr>
                <w:rFonts w:ascii="Calibri" w:hAnsi="Calibri"/>
                <w:sz w:val="20"/>
              </w:rPr>
              <w:t>PPTX, DOCX, PDF</w:t>
            </w:r>
          </w:p>
        </w:tc>
        <w:tc>
          <w:tcPr>
            <w:tcW w:type="dxa" w:w="4320"/>
            <w:shd w:fill="F2F2F2" w:val="clear"/>
          </w:tcPr>
          <w:p>
            <w:r>
              <w:rPr>
                <w:rFonts w:ascii="Calibri" w:hAnsi="Calibri"/>
                <w:sz w:val="20"/>
              </w:rPr>
              <w:t>DEI Annual Progress Report FY2024/FY2025, Dress Code Policy, Social Media Policy</w:t>
            </w:r>
          </w:p>
        </w:tc>
      </w:tr>
      <w:tr>
        <w:tc>
          <w:tcPr>
            <w:tcW w:type="dxa" w:w="2160"/>
          </w:tcPr>
          <w:p>
            <w:r>
              <w:rPr>
                <w:rFonts w:ascii="Calibri" w:hAnsi="Calibri"/>
                <w:sz w:val="20"/>
              </w:rPr>
              <w:t>Adversarial (poisoned)</w:t>
            </w:r>
          </w:p>
        </w:tc>
        <w:tc>
          <w:tcPr>
            <w:tcW w:type="dxa" w:w="1440"/>
          </w:tcPr>
          <w:p>
            <w:r>
              <w:rPr>
                <w:rFonts w:ascii="Calibri" w:hAnsi="Calibri"/>
                <w:sz w:val="20"/>
              </w:rPr>
              <w:t>25</w:t>
            </w:r>
          </w:p>
        </w:tc>
        <w:tc>
          <w:tcPr>
            <w:tcW w:type="dxa" w:w="1728"/>
          </w:tcPr>
          <w:p>
            <w:r>
              <w:rPr>
                <w:rFonts w:ascii="Calibri" w:hAnsi="Calibri"/>
                <w:sz w:val="20"/>
              </w:rPr>
              <w:t>PDF, DOCX, PPTX</w:t>
            </w:r>
          </w:p>
        </w:tc>
        <w:tc>
          <w:tcPr>
            <w:tcW w:type="dxa" w:w="4320"/>
          </w:tcPr>
          <w:p>
            <w:r>
              <w:rPr>
                <w:rFonts w:ascii="Calibri" w:hAnsi="Calibri"/>
                <w:sz w:val="20"/>
              </w:rPr>
              <w:t>Title-content mismatched documents for robustness testing</w:t>
            </w:r>
          </w:p>
        </w:tc>
      </w:tr>
    </w:tbl>
    <w:p/>
    <w:p>
      <w:r>
        <w:t>In total, the clean corpus contains 56 documents (52 auxiliary + 4 sample) across three file formats: 28 DOCX files, 14 PDF files, and 14 PPTX files. Six documents exist in multiple versions (v1 and v2), enabling testing of the version-aware ranking pipeline. The adversarial corpus adds 25 additional documents for robustness evaluation, bringing the full test corpus to 81 documents.</w:t>
      </w:r>
    </w:p>
    <w:p>
      <w:pPr>
        <w:pStyle w:val="Heading2"/>
      </w:pPr>
      <w:r>
        <w:t>12.4 Performance Metrics</w:t>
      </w:r>
    </w:p>
    <w:p>
      <w:r>
        <w:t>Performance was measured across three dimensions: query latency, ingestion throughput, and retrieval quality. All measurements were taken on a development machine running Docker Desktop on WSL2, with the embedding model served locally via embedding_server.py on CPU. Production deployment with GPU-accelerated embeddings would improve latency figures significantly.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2E4057" w:val="clear"/>
          </w:tcPr>
          <w:p>
            <w:pPr>
              <w:jc w:val="center"/>
            </w:pPr>
            <w:r>
              <w:rPr>
                <w:rFonts w:ascii="Calibri" w:hAnsi="Calibri"/>
                <w:b/>
                <w:color w:val="FFFFFF"/>
                <w:sz w:val="20"/>
              </w:rPr>
              <w:t>Metric</w:t>
            </w:r>
          </w:p>
        </w:tc>
        <w:tc>
          <w:tcPr>
            <w:tcW w:type="dxa" w:w="1440"/>
            <w:shd w:fill="2E4057" w:val="clear"/>
          </w:tcPr>
          <w:p>
            <w:pPr>
              <w:jc w:val="center"/>
            </w:pPr>
            <w:r>
              <w:rPr>
                <w:rFonts w:ascii="Calibri" w:hAnsi="Calibri"/>
                <w:b/>
                <w:color w:val="FFFFFF"/>
                <w:sz w:val="20"/>
              </w:rPr>
              <w:t>Target</w:t>
            </w:r>
          </w:p>
        </w:tc>
        <w:tc>
          <w:tcPr>
            <w:tcW w:type="dxa" w:w="1440"/>
            <w:shd w:fill="2E4057" w:val="clear"/>
          </w:tcPr>
          <w:p>
            <w:pPr>
              <w:jc w:val="center"/>
            </w:pPr>
            <w:r>
              <w:rPr>
                <w:rFonts w:ascii="Calibri" w:hAnsi="Calibri"/>
                <w:b/>
                <w:color w:val="FFFFFF"/>
                <w:sz w:val="20"/>
              </w:rPr>
              <w:t>Observed</w:t>
            </w:r>
          </w:p>
        </w:tc>
        <w:tc>
          <w:tcPr>
            <w:tcW w:type="dxa" w:w="4320"/>
            <w:shd w:fill="2E4057" w:val="clear"/>
          </w:tcPr>
          <w:p>
            <w:pPr>
              <w:jc w:val="center"/>
            </w:pPr>
            <w:r>
              <w:rPr>
                <w:rFonts w:ascii="Calibri" w:hAnsi="Calibri"/>
                <w:b/>
                <w:color w:val="FFFFFF"/>
                <w:sz w:val="20"/>
              </w:rPr>
              <w:t>Notes</w:t>
            </w:r>
          </w:p>
        </w:tc>
      </w:tr>
      <w:tr>
        <w:tc>
          <w:tcPr>
            <w:tcW w:type="dxa" w:w="2592"/>
          </w:tcPr>
          <w:p>
            <w:r>
              <w:rPr>
                <w:rFonts w:ascii="Calibri" w:hAnsi="Calibri"/>
                <w:sz w:val="20"/>
              </w:rPr>
              <w:t>End-to-end query latency</w:t>
            </w:r>
          </w:p>
        </w:tc>
        <w:tc>
          <w:tcPr>
            <w:tcW w:type="dxa" w:w="1440"/>
          </w:tcPr>
          <w:p>
            <w:r>
              <w:rPr>
                <w:rFonts w:ascii="Calibri" w:hAnsi="Calibri"/>
                <w:sz w:val="20"/>
              </w:rPr>
              <w:t>&lt; 2 seconds</w:t>
            </w:r>
          </w:p>
        </w:tc>
        <w:tc>
          <w:tcPr>
            <w:tcW w:type="dxa" w:w="1440"/>
          </w:tcPr>
          <w:p>
            <w:r>
              <w:rPr>
                <w:rFonts w:ascii="Calibri" w:hAnsi="Calibri"/>
                <w:sz w:val="20"/>
              </w:rPr>
              <w:t>~1.2-1.8s</w:t>
            </w:r>
          </w:p>
        </w:tc>
        <w:tc>
          <w:tcPr>
            <w:tcW w:type="dxa" w:w="4320"/>
          </w:tcPr>
          <w:p>
            <w:r>
              <w:rPr>
                <w:rFonts w:ascii="Calibri" w:hAnsi="Calibri"/>
                <w:sz w:val="20"/>
              </w:rPr>
              <w:t>Measured from API request to JSON response; includes embedding, 3-signal retrieval, RRF, rerank, and filtering</w:t>
            </w:r>
          </w:p>
        </w:tc>
      </w:tr>
      <w:tr>
        <w:tc>
          <w:tcPr>
            <w:tcW w:type="dxa" w:w="2592"/>
            <w:shd w:fill="F2F2F2" w:val="clear"/>
          </w:tcPr>
          <w:p>
            <w:r>
              <w:rPr>
                <w:rFonts w:ascii="Calibri" w:hAnsi="Calibri"/>
                <w:sz w:val="20"/>
              </w:rPr>
              <w:t>Embedding generation</w:t>
            </w:r>
          </w:p>
        </w:tc>
        <w:tc>
          <w:tcPr>
            <w:tcW w:type="dxa" w:w="1440"/>
            <w:shd w:fill="F2F2F2" w:val="clear"/>
          </w:tcPr>
          <w:p>
            <w:r>
              <w:rPr>
                <w:rFonts w:ascii="Calibri" w:hAnsi="Calibri"/>
                <w:sz w:val="20"/>
              </w:rPr>
              <w:t>&lt; 500ms</w:t>
            </w:r>
          </w:p>
        </w:tc>
        <w:tc>
          <w:tcPr>
            <w:tcW w:type="dxa" w:w="1440"/>
            <w:shd w:fill="F2F2F2" w:val="clear"/>
          </w:tcPr>
          <w:p>
            <w:r>
              <w:rPr>
                <w:rFonts w:ascii="Calibri" w:hAnsi="Calibri"/>
                <w:sz w:val="20"/>
              </w:rPr>
              <w:t>~200-400ms</w:t>
            </w:r>
          </w:p>
        </w:tc>
        <w:tc>
          <w:tcPr>
            <w:tcW w:type="dxa" w:w="4320"/>
            <w:shd w:fill="F2F2F2" w:val="clear"/>
          </w:tcPr>
          <w:p>
            <w:r>
              <w:rPr>
                <w:rFonts w:ascii="Calibri" w:hAnsi="Calibri"/>
                <w:sz w:val="20"/>
              </w:rPr>
              <w:t>Single query embedding via Qwen3-Embedding-0.6B on CPU; GPU reduces to ~50ms</w:t>
            </w:r>
          </w:p>
        </w:tc>
      </w:tr>
      <w:tr>
        <w:tc>
          <w:tcPr>
            <w:tcW w:type="dxa" w:w="2592"/>
          </w:tcPr>
          <w:p>
            <w:r>
              <w:rPr>
                <w:rFonts w:ascii="Calibri" w:hAnsi="Calibri"/>
                <w:sz w:val="20"/>
              </w:rPr>
              <w:t>Database retrieval (3 signals)</w:t>
            </w:r>
          </w:p>
        </w:tc>
        <w:tc>
          <w:tcPr>
            <w:tcW w:type="dxa" w:w="1440"/>
          </w:tcPr>
          <w:p>
            <w:r>
              <w:rPr>
                <w:rFonts w:ascii="Calibri" w:hAnsi="Calibri"/>
                <w:sz w:val="20"/>
              </w:rPr>
              <w:t>&lt; 500ms</w:t>
            </w:r>
          </w:p>
        </w:tc>
        <w:tc>
          <w:tcPr>
            <w:tcW w:type="dxa" w:w="1440"/>
          </w:tcPr>
          <w:p>
            <w:r>
              <w:rPr>
                <w:rFonts w:ascii="Calibri" w:hAnsi="Calibri"/>
                <w:sz w:val="20"/>
              </w:rPr>
              <w:t>~100-300ms</w:t>
            </w:r>
          </w:p>
        </w:tc>
        <w:tc>
          <w:tcPr>
            <w:tcW w:type="dxa" w:w="4320"/>
          </w:tcPr>
          <w:p>
            <w:r>
              <w:rPr>
                <w:rFonts w:ascii="Calibri" w:hAnsi="Calibri"/>
                <w:sz w:val="20"/>
              </w:rPr>
              <w:t>Parallel execution of pgvector cosine, BM25, and title similarity queries</w:t>
            </w:r>
          </w:p>
        </w:tc>
      </w:tr>
      <w:tr>
        <w:tc>
          <w:tcPr>
            <w:tcW w:type="dxa" w:w="2592"/>
            <w:shd w:fill="F2F2F2" w:val="clear"/>
          </w:tcPr>
          <w:p>
            <w:r>
              <w:rPr>
                <w:rFonts w:ascii="Calibri" w:hAnsi="Calibri"/>
                <w:sz w:val="20"/>
              </w:rPr>
              <w:t>Cohere Rerank</w:t>
            </w:r>
          </w:p>
        </w:tc>
        <w:tc>
          <w:tcPr>
            <w:tcW w:type="dxa" w:w="1440"/>
            <w:shd w:fill="F2F2F2" w:val="clear"/>
          </w:tcPr>
          <w:p>
            <w:r>
              <w:rPr>
                <w:rFonts w:ascii="Calibri" w:hAnsi="Calibri"/>
                <w:sz w:val="20"/>
              </w:rPr>
              <w:t>&lt; 1s</w:t>
            </w:r>
          </w:p>
        </w:tc>
        <w:tc>
          <w:tcPr>
            <w:tcW w:type="dxa" w:w="1440"/>
            <w:shd w:fill="F2F2F2" w:val="clear"/>
          </w:tcPr>
          <w:p>
            <w:r>
              <w:rPr>
                <w:rFonts w:ascii="Calibri" w:hAnsi="Calibri"/>
                <w:sz w:val="20"/>
              </w:rPr>
              <w:t>~300-600ms</w:t>
            </w:r>
          </w:p>
        </w:tc>
        <w:tc>
          <w:tcPr>
            <w:tcW w:type="dxa" w:w="4320"/>
            <w:shd w:fill="F2F2F2" w:val="clear"/>
          </w:tcPr>
          <w:p>
            <w:r>
              <w:rPr>
                <w:rFonts w:ascii="Calibri" w:hAnsi="Calibri"/>
                <w:sz w:val="20"/>
              </w:rPr>
              <w:t>External API call; latency depends on network and payload size (top 50 candidates)</w:t>
            </w:r>
          </w:p>
        </w:tc>
      </w:tr>
      <w:tr>
        <w:tc>
          <w:tcPr>
            <w:tcW w:type="dxa" w:w="2592"/>
          </w:tcPr>
          <w:p>
            <w:r>
              <w:rPr>
                <w:rFonts w:ascii="Calibri" w:hAnsi="Calibri"/>
                <w:sz w:val="20"/>
              </w:rPr>
              <w:t>Document ingestion</w:t>
            </w:r>
          </w:p>
        </w:tc>
        <w:tc>
          <w:tcPr>
            <w:tcW w:type="dxa" w:w="1440"/>
          </w:tcPr>
          <w:p>
            <w:r>
              <w:rPr>
                <w:rFonts w:ascii="Calibri" w:hAnsi="Calibri"/>
                <w:sz w:val="20"/>
              </w:rPr>
              <w:t>N/A</w:t>
            </w:r>
          </w:p>
        </w:tc>
        <w:tc>
          <w:tcPr>
            <w:tcW w:type="dxa" w:w="1440"/>
          </w:tcPr>
          <w:p>
            <w:r>
              <w:rPr>
                <w:rFonts w:ascii="Calibri" w:hAnsi="Calibri"/>
                <w:sz w:val="20"/>
              </w:rPr>
              <w:t>~2-5s per doc</w:t>
            </w:r>
          </w:p>
        </w:tc>
        <w:tc>
          <w:tcPr>
            <w:tcW w:type="dxa" w:w="4320"/>
          </w:tcPr>
          <w:p>
            <w:r>
              <w:rPr>
                <w:rFonts w:ascii="Calibri" w:hAnsi="Calibri"/>
                <w:sz w:val="20"/>
              </w:rPr>
              <w:t>Includes Docling parsing, chunking, embedding generation, and database insertion</w:t>
            </w:r>
          </w:p>
        </w:tc>
      </w:tr>
      <w:tr>
        <w:tc>
          <w:tcPr>
            <w:tcW w:type="dxa" w:w="2592"/>
            <w:shd w:fill="F2F2F2" w:val="clear"/>
          </w:tcPr>
          <w:p>
            <w:r>
              <w:rPr>
                <w:rFonts w:ascii="Calibri" w:hAnsi="Calibri"/>
                <w:sz w:val="20"/>
              </w:rPr>
              <w:t>Corpus ingestion (56 docs)</w:t>
            </w:r>
          </w:p>
        </w:tc>
        <w:tc>
          <w:tcPr>
            <w:tcW w:type="dxa" w:w="1440"/>
            <w:shd w:fill="F2F2F2" w:val="clear"/>
          </w:tcPr>
          <w:p>
            <w:r>
              <w:rPr>
                <w:rFonts w:ascii="Calibri" w:hAnsi="Calibri"/>
                <w:sz w:val="20"/>
              </w:rPr>
              <w:t>N/A</w:t>
            </w:r>
          </w:p>
        </w:tc>
        <w:tc>
          <w:tcPr>
            <w:tcW w:type="dxa" w:w="1440"/>
            <w:shd w:fill="F2F2F2" w:val="clear"/>
          </w:tcPr>
          <w:p>
            <w:r>
              <w:rPr>
                <w:rFonts w:ascii="Calibri" w:hAnsi="Calibri"/>
                <w:sz w:val="20"/>
              </w:rPr>
              <w:t>~3-5 minutes</w:t>
            </w:r>
          </w:p>
        </w:tc>
        <w:tc>
          <w:tcPr>
            <w:tcW w:type="dxa" w:w="4320"/>
            <w:shd w:fill="F2F2F2" w:val="clear"/>
          </w:tcPr>
          <w:p>
            <w:r>
              <w:rPr>
                <w:rFonts w:ascii="Calibri" w:hAnsi="Calibri"/>
                <w:sz w:val="20"/>
              </w:rPr>
              <w:t>Full clean corpus ingestion including BM25 index creation</w:t>
            </w:r>
          </w:p>
        </w:tc>
      </w:tr>
    </w:tbl>
    <w:p/>
    <w:p>
      <w:r>
        <w:t>The end-to-end query latency of 1.2-1.8 seconds meets the sub-2-second target established in the non-functional requirements. The majority of latency is attributable to two external calls: embedding generation (the HTTP round-trip to the embedding server) and the Cohere Rerank API call. Database retrieval, including all three parallel queries against HNSW and BM25 indexes, consistently completes in under 300ms, confirming that the unified PostgreSQL architecture with pgvector and ParadeDB does not introduce a performance bottleneck relative to dedicated vector database alternatives.</w:t>
      </w:r>
    </w:p>
    <w:p>
      <w:pPr>
        <w:pStyle w:val="Heading2"/>
      </w:pPr>
      <w:r>
        <w:t>12.5 Retrieval Quality</w:t>
      </w:r>
    </w:p>
    <w:p>
      <w:r>
        <w:t>While a formal information retrieval evaluation (e.g., NDCG or MAP scoring against human-labeled relevance judgments) was outside the scope of this prototype, the team conducted qualitative relevance assessment across the five demonstration queries and additional ad hoc testing. Key observations on retrieval quality include:</w:t>
      </w:r>
    </w:p>
    <w:p>
      <w:pPr>
        <w:pStyle w:val="ListBullet"/>
      </w:pPr>
      <w:r>
        <w:rPr>
          <w:rFonts w:ascii="Calibri" w:hAnsi="Calibri"/>
          <w:b/>
          <w:sz w:val="22"/>
        </w:rPr>
        <w:t xml:space="preserve">Hybrid search outperforms either signal alone. </w:t>
      </w:r>
      <w:r>
        <w:rPr>
          <w:rFonts w:ascii="Calibri" w:hAnsi="Calibri"/>
          <w:sz w:val="22"/>
        </w:rPr>
        <w:t>Queries with strong keyword matches (Query 2) benefit from BM25 precision, while queries with no keyword overlap (Query 3) rely entirely on semantic understanding. The RRF merge ensures that neither signal is lost regardless of query type.</w:t>
      </w:r>
    </w:p>
    <w:p>
      <w:pPr>
        <w:pStyle w:val="ListBullet"/>
      </w:pPr>
      <w:r>
        <w:rPr>
          <w:rFonts w:ascii="Calibri" w:hAnsi="Calibri"/>
          <w:b/>
          <w:sz w:val="22"/>
        </w:rPr>
        <w:t xml:space="preserve">Title boosting improves precision for known-item searches. </w:t>
      </w:r>
      <w:r>
        <w:rPr>
          <w:rFonts w:ascii="Calibri" w:hAnsi="Calibri"/>
          <w:sz w:val="22"/>
        </w:rPr>
        <w:t>When a user knows approximately what they are looking for (Query 4), the title similarity signal with a 1.5x weight multiplier elevates the correct document above semantically similar alternatives. This is particularly valuable in enterprise environments where document titles follow organizational naming conventions.</w:t>
      </w:r>
    </w:p>
    <w:p>
      <w:pPr>
        <w:pStyle w:val="ListBullet"/>
      </w:pPr>
      <w:r>
        <w:rPr>
          <w:rFonts w:ascii="Calibri" w:hAnsi="Calibri"/>
          <w:b/>
          <w:sz w:val="22"/>
        </w:rPr>
        <w:t xml:space="preserve">Neural reranking adds meaningful lift for ambiguous queries. </w:t>
      </w:r>
      <w:r>
        <w:rPr>
          <w:rFonts w:ascii="Calibri" w:hAnsi="Calibri"/>
          <w:sz w:val="22"/>
        </w:rPr>
        <w:t>For broad or multi-topic queries (Query 5), the initial retrieval returns a diverse but imprecisely ordered candidate set. The Cohere Rerank cross-encoder reorders these candidates by attending to the full query-passage pair, producing a final ranking that consistently places the most relevant document first. Industry benchmarks from Cohere report a 33-40% relevance improvement from reranking on standard IR datasets.</w:t>
      </w:r>
    </w:p>
    <w:p>
      <w:pPr>
        <w:pStyle w:val="ListBullet"/>
      </w:pPr>
      <w:r>
        <w:rPr>
          <w:rFonts w:ascii="Calibri" w:hAnsi="Calibri"/>
          <w:b/>
          <w:sz w:val="22"/>
        </w:rPr>
        <w:t xml:space="preserve">Version filtering prevents stale results. </w:t>
      </w:r>
      <w:r>
        <w:rPr>
          <w:rFonts w:ascii="Calibri" w:hAnsi="Calibri"/>
          <w:sz w:val="22"/>
        </w:rPr>
        <w:t>Without version filtering, superseded documents compete with their replacements for ranking positions. The post-rerank version filter (enabled by default) ensures users see only the latest version of each policy, eliminating a common frustration in enterprise search where outdated documents surface alongside current ones.</w:t>
      </w:r>
    </w:p>
    <w:p>
      <w:pPr>
        <w:pStyle w:val="ListBullet"/>
      </w:pPr>
      <w:r>
        <w:rPr>
          <w:rFonts w:ascii="Calibri" w:hAnsi="Calibri"/>
          <w:b/>
          <w:sz w:val="22"/>
        </w:rPr>
        <w:t xml:space="preserve">Graceful degradation preserves availability. </w:t>
      </w:r>
      <w:r>
        <w:rPr>
          <w:rFonts w:ascii="Calibri" w:hAnsi="Calibri"/>
          <w:sz w:val="22"/>
        </w:rPr>
        <w:t>When the Cohere API key is absent or the reranking service is unavailable, the system returns results in RRF-merged order without interruption. This design decision prioritizes system availability over marginal ranking quality, which is appropriate for a production search service where downtime is more costly than slightly degraded relevance.</w:t>
      </w:r>
    </w:p>
    <w:p>
      <w:pPr>
        <w:pStyle w:val="Heading2"/>
      </w:pPr>
      <w:r>
        <w:t>12.6 Summary of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rFonts w:ascii="Calibri" w:hAnsi="Calibri"/>
                <w:b/>
                <w:color w:val="FFFFFF"/>
                <w:sz w:val="20"/>
              </w:rPr>
              <w:t>Requirement</w:t>
            </w:r>
          </w:p>
        </w:tc>
        <w:tc>
          <w:tcPr>
            <w:tcW w:type="dxa" w:w="1008"/>
            <w:shd w:fill="2E4057" w:val="clear"/>
          </w:tcPr>
          <w:p>
            <w:pPr>
              <w:jc w:val="center"/>
            </w:pPr>
            <w:r>
              <w:rPr>
                <w:rFonts w:ascii="Calibri" w:hAnsi="Calibri"/>
                <w:b/>
                <w:color w:val="FFFFFF"/>
                <w:sz w:val="20"/>
              </w:rPr>
              <w:t>Status</w:t>
            </w:r>
          </w:p>
        </w:tc>
        <w:tc>
          <w:tcPr>
            <w:tcW w:type="dxa" w:w="5760"/>
            <w:shd w:fill="2E4057" w:val="clear"/>
          </w:tcPr>
          <w:p>
            <w:pPr>
              <w:jc w:val="center"/>
            </w:pPr>
            <w:r>
              <w:rPr>
                <w:rFonts w:ascii="Calibri" w:hAnsi="Calibri"/>
                <w:b/>
                <w:color w:val="FFFFFF"/>
                <w:sz w:val="20"/>
              </w:rPr>
              <w:t>Evidence</w:t>
            </w:r>
          </w:p>
        </w:tc>
      </w:tr>
      <w:tr>
        <w:tc>
          <w:tcPr>
            <w:tcW w:type="dxa" w:w="2880"/>
          </w:tcPr>
          <w:p>
            <w:r>
              <w:rPr>
                <w:rFonts w:ascii="Calibri" w:hAnsi="Calibri"/>
                <w:sz w:val="20"/>
              </w:rPr>
              <w:t>Natural language search</w:t>
            </w:r>
          </w:p>
        </w:tc>
        <w:tc>
          <w:tcPr>
            <w:tcW w:type="dxa" w:w="1008"/>
          </w:tcPr>
          <w:p>
            <w:r>
              <w:rPr>
                <w:rFonts w:ascii="Calibri" w:hAnsi="Calibri"/>
                <w:sz w:val="20"/>
              </w:rPr>
              <w:t>Met</w:t>
            </w:r>
          </w:p>
        </w:tc>
        <w:tc>
          <w:tcPr>
            <w:tcW w:type="dxa" w:w="5760"/>
          </w:tcPr>
          <w:p>
            <w:r>
              <w:rPr>
                <w:rFonts w:ascii="Calibri" w:hAnsi="Calibri"/>
                <w:sz w:val="20"/>
              </w:rPr>
              <w:t>All 5 demo queries return relevant results from plain English input</w:t>
            </w:r>
          </w:p>
        </w:tc>
      </w:tr>
      <w:tr>
        <w:tc>
          <w:tcPr>
            <w:tcW w:type="dxa" w:w="2880"/>
            <w:shd w:fill="F2F2F2" w:val="clear"/>
          </w:tcPr>
          <w:p>
            <w:r>
              <w:rPr>
                <w:rFonts w:ascii="Calibri" w:hAnsi="Calibri"/>
                <w:sz w:val="20"/>
              </w:rPr>
              <w:t>Multi-format ingestion</w:t>
            </w:r>
          </w:p>
        </w:tc>
        <w:tc>
          <w:tcPr>
            <w:tcW w:type="dxa" w:w="1008"/>
            <w:shd w:fill="F2F2F2" w:val="clear"/>
          </w:tcPr>
          <w:p>
            <w:r>
              <w:rPr>
                <w:rFonts w:ascii="Calibri" w:hAnsi="Calibri"/>
                <w:sz w:val="20"/>
              </w:rPr>
              <w:t>Met</w:t>
            </w:r>
          </w:p>
        </w:tc>
        <w:tc>
          <w:tcPr>
            <w:tcW w:type="dxa" w:w="5760"/>
            <w:shd w:fill="F2F2F2" w:val="clear"/>
          </w:tcPr>
          <w:p>
            <w:r>
              <w:rPr>
                <w:rFonts w:ascii="Calibri" w:hAnsi="Calibri"/>
                <w:sz w:val="20"/>
              </w:rPr>
              <w:t>PDF, DOCX, and PPTX documents parsed via Docling and fully searchable</w:t>
            </w:r>
          </w:p>
        </w:tc>
      </w:tr>
      <w:tr>
        <w:tc>
          <w:tcPr>
            <w:tcW w:type="dxa" w:w="2880"/>
          </w:tcPr>
          <w:p>
            <w:r>
              <w:rPr>
                <w:rFonts w:ascii="Calibri" w:hAnsi="Calibri"/>
                <w:sz w:val="20"/>
              </w:rPr>
              <w:t>Hybrid retrieval</w:t>
            </w:r>
          </w:p>
        </w:tc>
        <w:tc>
          <w:tcPr>
            <w:tcW w:type="dxa" w:w="1008"/>
          </w:tcPr>
          <w:p>
            <w:r>
              <w:rPr>
                <w:rFonts w:ascii="Calibri" w:hAnsi="Calibri"/>
                <w:sz w:val="20"/>
              </w:rPr>
              <w:t>Met</w:t>
            </w:r>
          </w:p>
        </w:tc>
        <w:tc>
          <w:tcPr>
            <w:tcW w:type="dxa" w:w="5760"/>
          </w:tcPr>
          <w:p>
            <w:r>
              <w:rPr>
                <w:rFonts w:ascii="Calibri" w:hAnsi="Calibri"/>
                <w:sz w:val="20"/>
              </w:rPr>
              <w:t>Three-signal pipeline (semantic, BM25, title) with RRF fusion operational</w:t>
            </w:r>
          </w:p>
        </w:tc>
      </w:tr>
      <w:tr>
        <w:tc>
          <w:tcPr>
            <w:tcW w:type="dxa" w:w="2880"/>
            <w:shd w:fill="F2F2F2" w:val="clear"/>
          </w:tcPr>
          <w:p>
            <w:r>
              <w:rPr>
                <w:rFonts w:ascii="Calibri" w:hAnsi="Calibri"/>
                <w:sz w:val="20"/>
              </w:rPr>
              <w:t>Neural reranking</w:t>
            </w:r>
          </w:p>
        </w:tc>
        <w:tc>
          <w:tcPr>
            <w:tcW w:type="dxa" w:w="1008"/>
            <w:shd w:fill="F2F2F2" w:val="clear"/>
          </w:tcPr>
          <w:p>
            <w:r>
              <w:rPr>
                <w:rFonts w:ascii="Calibri" w:hAnsi="Calibri"/>
                <w:sz w:val="20"/>
              </w:rPr>
              <w:t>Met</w:t>
            </w:r>
          </w:p>
        </w:tc>
        <w:tc>
          <w:tcPr>
            <w:tcW w:type="dxa" w:w="5760"/>
            <w:shd w:fill="F2F2F2" w:val="clear"/>
          </w:tcPr>
          <w:p>
            <w:r>
              <w:rPr>
                <w:rFonts w:ascii="Calibri" w:hAnsi="Calibri"/>
                <w:sz w:val="20"/>
              </w:rPr>
              <w:t>Cohere Rerank v3.5 integrated with graceful degradation fallback</w:t>
            </w:r>
          </w:p>
        </w:tc>
      </w:tr>
      <w:tr>
        <w:tc>
          <w:tcPr>
            <w:tcW w:type="dxa" w:w="2880"/>
          </w:tcPr>
          <w:p>
            <w:r>
              <w:rPr>
                <w:rFonts w:ascii="Calibri" w:hAnsi="Calibri"/>
                <w:sz w:val="20"/>
              </w:rPr>
              <w:t>Version-aware ranking</w:t>
            </w:r>
          </w:p>
        </w:tc>
        <w:tc>
          <w:tcPr>
            <w:tcW w:type="dxa" w:w="1008"/>
          </w:tcPr>
          <w:p>
            <w:r>
              <w:rPr>
                <w:rFonts w:ascii="Calibri" w:hAnsi="Calibri"/>
                <w:sz w:val="20"/>
              </w:rPr>
              <w:t>Met</w:t>
            </w:r>
          </w:p>
        </w:tc>
        <w:tc>
          <w:tcPr>
            <w:tcW w:type="dxa" w:w="5760"/>
          </w:tcPr>
          <w:p>
            <w:r>
              <w:rPr>
                <w:rFonts w:ascii="Calibri" w:hAnsi="Calibri"/>
                <w:sz w:val="20"/>
              </w:rPr>
              <w:t>Document versioning via filename convention; "show latest only" filter functional</w:t>
            </w:r>
          </w:p>
        </w:tc>
      </w:tr>
      <w:tr>
        <w:tc>
          <w:tcPr>
            <w:tcW w:type="dxa" w:w="2880"/>
            <w:shd w:fill="F2F2F2" w:val="clear"/>
          </w:tcPr>
          <w:p>
            <w:r>
              <w:rPr>
                <w:rFonts w:ascii="Calibri" w:hAnsi="Calibri"/>
                <w:sz w:val="20"/>
              </w:rPr>
              <w:t>Role-based access control</w:t>
            </w:r>
          </w:p>
        </w:tc>
        <w:tc>
          <w:tcPr>
            <w:tcW w:type="dxa" w:w="1008"/>
            <w:shd w:fill="F2F2F2" w:val="clear"/>
          </w:tcPr>
          <w:p>
            <w:r>
              <w:rPr>
                <w:rFonts w:ascii="Calibri" w:hAnsi="Calibri"/>
                <w:sz w:val="20"/>
              </w:rPr>
              <w:t>Met</w:t>
            </w:r>
          </w:p>
        </w:tc>
        <w:tc>
          <w:tcPr>
            <w:tcW w:type="dxa" w:w="5760"/>
            <w:shd w:fill="F2F2F2" w:val="clear"/>
          </w:tcPr>
          <w:p>
            <w:r>
              <w:rPr>
                <w:rFonts w:ascii="Calibri" w:hAnsi="Calibri"/>
                <w:sz w:val="20"/>
              </w:rPr>
              <w:t>Three-tier RBAC (analyst/manager/admin) filters results at query time</w:t>
            </w:r>
          </w:p>
        </w:tc>
      </w:tr>
      <w:tr>
        <w:tc>
          <w:tcPr>
            <w:tcW w:type="dxa" w:w="2880"/>
          </w:tcPr>
          <w:p>
            <w:r>
              <w:rPr>
                <w:rFonts w:ascii="Calibri" w:hAnsi="Calibri"/>
                <w:sz w:val="20"/>
              </w:rPr>
              <w:t>Sub-2-second latency</w:t>
            </w:r>
          </w:p>
        </w:tc>
        <w:tc>
          <w:tcPr>
            <w:tcW w:type="dxa" w:w="1008"/>
          </w:tcPr>
          <w:p>
            <w:r>
              <w:rPr>
                <w:rFonts w:ascii="Calibri" w:hAnsi="Calibri"/>
                <w:sz w:val="20"/>
              </w:rPr>
              <w:t>Met</w:t>
            </w:r>
          </w:p>
        </w:tc>
        <w:tc>
          <w:tcPr>
            <w:tcW w:type="dxa" w:w="5760"/>
          </w:tcPr>
          <w:p>
            <w:r>
              <w:rPr>
                <w:rFonts w:ascii="Calibri" w:hAnsi="Calibri"/>
                <w:sz w:val="20"/>
              </w:rPr>
              <w:t>End-to-end latency of 1.2-1.8 seconds observed on development hardware</w:t>
            </w:r>
          </w:p>
        </w:tc>
      </w:tr>
      <w:tr>
        <w:tc>
          <w:tcPr>
            <w:tcW w:type="dxa" w:w="2880"/>
            <w:shd w:fill="F2F2F2" w:val="clear"/>
          </w:tcPr>
          <w:p>
            <w:r>
              <w:rPr>
                <w:rFonts w:ascii="Calibri" w:hAnsi="Calibri"/>
                <w:sz w:val="20"/>
              </w:rPr>
              <w:t>Adversarial robustness</w:t>
            </w:r>
          </w:p>
        </w:tc>
        <w:tc>
          <w:tcPr>
            <w:tcW w:type="dxa" w:w="1008"/>
            <w:shd w:fill="F2F2F2" w:val="clear"/>
          </w:tcPr>
          <w:p>
            <w:r>
              <w:rPr>
                <w:rFonts w:ascii="Calibri" w:hAnsi="Calibri"/>
                <w:sz w:val="20"/>
              </w:rPr>
              <w:t>Met</w:t>
            </w:r>
          </w:p>
        </w:tc>
        <w:tc>
          <w:tcPr>
            <w:tcW w:type="dxa" w:w="5760"/>
            <w:shd w:fill="F2F2F2" w:val="clear"/>
          </w:tcPr>
          <w:p>
            <w:r>
              <w:rPr>
                <w:rFonts w:ascii="Calibri" w:hAnsi="Calibri"/>
                <w:sz w:val="20"/>
              </w:rPr>
              <w:t>Poisoned documents suppressed below top 10 by multi-signal fusion + reranking</w:t>
            </w:r>
          </w:p>
        </w:tc>
      </w:tr>
      <w:tr>
        <w:tc>
          <w:tcPr>
            <w:tcW w:type="dxa" w:w="2880"/>
          </w:tcPr>
          <w:p>
            <w:r>
              <w:rPr>
                <w:rFonts w:ascii="Calibri" w:hAnsi="Calibri"/>
                <w:sz w:val="20"/>
              </w:rPr>
              <w:t>Content deduplication</w:t>
            </w:r>
          </w:p>
        </w:tc>
        <w:tc>
          <w:tcPr>
            <w:tcW w:type="dxa" w:w="1008"/>
          </w:tcPr>
          <w:p>
            <w:r>
              <w:rPr>
                <w:rFonts w:ascii="Calibri" w:hAnsi="Calibri"/>
                <w:sz w:val="20"/>
              </w:rPr>
              <w:t>Met</w:t>
            </w:r>
          </w:p>
        </w:tc>
        <w:tc>
          <w:tcPr>
            <w:tcW w:type="dxa" w:w="5760"/>
          </w:tcPr>
          <w:p>
            <w:r>
              <w:rPr>
                <w:rFonts w:ascii="Calibri" w:hAnsi="Calibri"/>
                <w:sz w:val="20"/>
              </w:rPr>
              <w:t>SHA-256 content hashing prevents duplicate ingestion of identical files</w:t>
            </w:r>
          </w:p>
        </w:tc>
      </w:tr>
      <w:tr>
        <w:tc>
          <w:tcPr>
            <w:tcW w:type="dxa" w:w="2880"/>
            <w:shd w:fill="F2F2F2" w:val="clear"/>
          </w:tcPr>
          <w:p>
            <w:r>
              <w:rPr>
                <w:rFonts w:ascii="Calibri" w:hAnsi="Calibri"/>
                <w:sz w:val="20"/>
              </w:rPr>
              <w:t>Single-command deployment</w:t>
            </w:r>
          </w:p>
        </w:tc>
        <w:tc>
          <w:tcPr>
            <w:tcW w:type="dxa" w:w="1008"/>
            <w:shd w:fill="F2F2F2" w:val="clear"/>
          </w:tcPr>
          <w:p>
            <w:r>
              <w:rPr>
                <w:rFonts w:ascii="Calibri" w:hAnsi="Calibri"/>
                <w:sz w:val="20"/>
              </w:rPr>
              <w:t>Met</w:t>
            </w:r>
          </w:p>
        </w:tc>
        <w:tc>
          <w:tcPr>
            <w:tcW w:type="dxa" w:w="5760"/>
            <w:shd w:fill="F2F2F2" w:val="clear"/>
          </w:tcPr>
          <w:p>
            <w:r>
              <w:rPr>
                <w:rFonts w:ascii="Calibri" w:hAnsi="Calibri"/>
                <w:sz w:val="20"/>
              </w:rPr>
              <w:t>docker compose up -d starts all three services with health checks</w:t>
            </w:r>
          </w:p>
        </w:tc>
      </w:tr>
    </w:tbl>
    <w:p/>
    <w:p>
      <w:r>
        <w:t>All functional and non-functional requirements established during the design phase have been met in the working prototype. The system is not a theoretical design or partial implementation; it is a deployable, end-to-end search engine that handles real queries against real documents with production-grade architectural patterns. The remaining gap between prototype and production is primarily operational: production-grade authentication integration, GPU-accelerated embedding serving, horizontal scaling behind a load balancer, and formal relevance evaluation against human-labeled ground truth. These items are documented in the Post-Turnover Plan (Section 11) and represent engineering work, not architectural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