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Anti-Harassment and Anti-Discrimination Policy</w:t>
      </w:r>
    </w:p>
    <w:p>
      <w:pPr>
        <w:jc w:val="center"/>
      </w:pPr>
      <w:r>
        <w:rPr>
          <w:rFonts w:ascii="Arial" w:cs="Arial" w:eastAsia="Arial" w:hAnsi="Arial"/>
          <w:color w:val="888888"/>
          <w:sz w:val="18"/>
          <w:szCs w:val="18"/>
        </w:rPr>
        <w:t xml:space="preserve">Policy Number: HR-1050  |  Effective: January 1, 2025  |  Owner: HR / Employee Relations</w:t>
      </w:r>
    </w:p>
    <w:p/>
    <w:p>
      <w:pPr>
        <w:pStyle w:val="Heading1"/>
      </w:pPr>
      <w:r>
        <w:rPr>
          <w:rFonts w:ascii="Arial" w:cs="Arial" w:eastAsia="Arial" w:hAnsi="Arial"/>
        </w:rPr>
        <w:t xml:space="preserve">.001 Commitment</w:t>
      </w:r>
    </w:p>
    <w:p>
      <w:r>
        <w:rPr>
          <w:rFonts w:ascii="Arial" w:cs="Arial" w:eastAsia="Arial" w:hAnsi="Arial"/>
          <w:sz w:val="22"/>
          <w:szCs w:val="22"/>
        </w:rPr>
        <w:t xml:space="preserve">The company is committed to providing a workplace free from harassment, discrimination, and hostile conduct of any kind. Every employee has the right to work in an environment that is respectful, safe, and free from unlawful behavior.</w:t>
      </w:r>
    </w:p>
    <w:p/>
    <w:p>
      <w:pPr>
        <w:pStyle w:val="Heading1"/>
      </w:pPr>
      <w:r>
        <w:rPr>
          <w:rFonts w:ascii="Arial" w:cs="Arial" w:eastAsia="Arial" w:hAnsi="Arial"/>
        </w:rPr>
        <w:t xml:space="preserve">.002 Prohibited Conduct</w:t>
      </w:r>
    </w:p>
    <w:p>
      <w:r>
        <w:rPr>
          <w:rFonts w:ascii="Arial" w:cs="Arial" w:eastAsia="Arial" w:hAnsi="Arial"/>
          <w:sz w:val="22"/>
          <w:szCs w:val="22"/>
        </w:rPr>
        <w:t xml:space="preserve">Harassment and discrimination based on any protected characteristic are prohibited. Protected characteristics include:</w:t>
      </w:r>
    </w:p>
    <w:p>
      <w:pPr>
        <w:pStyle w:val="ListParagraph"/>
        <w:numPr>
          <w:ilvl w:val="0"/>
          <w:numId w:val="2"/>
        </w:numPr>
      </w:pPr>
      <w:r>
        <w:rPr>
          <w:rFonts w:ascii="Arial" w:cs="Arial" w:eastAsia="Arial" w:hAnsi="Arial"/>
          <w:sz w:val="22"/>
          <w:szCs w:val="22"/>
        </w:rPr>
        <w:t xml:space="preserve">Race, color, national origin, ancestry, or ethnicity</w:t>
      </w:r>
    </w:p>
    <w:p>
      <w:pPr>
        <w:pStyle w:val="ListParagraph"/>
        <w:numPr>
          <w:ilvl w:val="0"/>
          <w:numId w:val="2"/>
        </w:numPr>
      </w:pPr>
      <w:r>
        <w:rPr>
          <w:rFonts w:ascii="Arial" w:cs="Arial" w:eastAsia="Arial" w:hAnsi="Arial"/>
          <w:sz w:val="22"/>
          <w:szCs w:val="22"/>
        </w:rPr>
        <w:t xml:space="preserve">Sex, gender identity, gender expression, or sexual orientation</w:t>
      </w:r>
    </w:p>
    <w:p>
      <w:pPr>
        <w:pStyle w:val="ListParagraph"/>
        <w:numPr>
          <w:ilvl w:val="0"/>
          <w:numId w:val="2"/>
        </w:numPr>
      </w:pPr>
      <w:r>
        <w:rPr>
          <w:rFonts w:ascii="Arial" w:cs="Arial" w:eastAsia="Arial" w:hAnsi="Arial"/>
          <w:sz w:val="22"/>
          <w:szCs w:val="22"/>
        </w:rPr>
        <w:t xml:space="preserve">Religion or creed</w:t>
      </w:r>
    </w:p>
    <w:p>
      <w:pPr>
        <w:pStyle w:val="ListParagraph"/>
        <w:numPr>
          <w:ilvl w:val="0"/>
          <w:numId w:val="2"/>
        </w:numPr>
      </w:pPr>
      <w:r>
        <w:rPr>
          <w:rFonts w:ascii="Arial" w:cs="Arial" w:eastAsia="Arial" w:hAnsi="Arial"/>
          <w:sz w:val="22"/>
          <w:szCs w:val="22"/>
        </w:rPr>
        <w:t xml:space="preserve">Age (40 and older)</w:t>
      </w:r>
    </w:p>
    <w:p>
      <w:pPr>
        <w:pStyle w:val="ListParagraph"/>
        <w:numPr>
          <w:ilvl w:val="0"/>
          <w:numId w:val="2"/>
        </w:numPr>
      </w:pPr>
      <w:r>
        <w:rPr>
          <w:rFonts w:ascii="Arial" w:cs="Arial" w:eastAsia="Arial" w:hAnsi="Arial"/>
          <w:sz w:val="22"/>
          <w:szCs w:val="22"/>
        </w:rPr>
        <w:t xml:space="preserve">Disability (physical or mental)</w:t>
      </w:r>
    </w:p>
    <w:p>
      <w:pPr>
        <w:pStyle w:val="ListParagraph"/>
        <w:numPr>
          <w:ilvl w:val="0"/>
          <w:numId w:val="2"/>
        </w:numPr>
      </w:pPr>
      <w:r>
        <w:rPr>
          <w:rFonts w:ascii="Arial" w:cs="Arial" w:eastAsia="Arial" w:hAnsi="Arial"/>
          <w:sz w:val="22"/>
          <w:szCs w:val="22"/>
        </w:rPr>
        <w:t xml:space="preserve">Pregnancy, childbirth, or related medical conditions</w:t>
      </w:r>
    </w:p>
    <w:p>
      <w:pPr>
        <w:pStyle w:val="ListParagraph"/>
        <w:numPr>
          <w:ilvl w:val="0"/>
          <w:numId w:val="2"/>
        </w:numPr>
      </w:pPr>
      <w:r>
        <w:rPr>
          <w:rFonts w:ascii="Arial" w:cs="Arial" w:eastAsia="Arial" w:hAnsi="Arial"/>
          <w:sz w:val="22"/>
          <w:szCs w:val="22"/>
        </w:rPr>
        <w:t xml:space="preserve">Veteran or military status</w:t>
      </w:r>
    </w:p>
    <w:p>
      <w:pPr>
        <w:pStyle w:val="ListParagraph"/>
        <w:numPr>
          <w:ilvl w:val="0"/>
          <w:numId w:val="2"/>
        </w:numPr>
      </w:pPr>
      <w:r>
        <w:rPr>
          <w:rFonts w:ascii="Arial" w:cs="Arial" w:eastAsia="Arial" w:hAnsi="Arial"/>
          <w:sz w:val="22"/>
          <w:szCs w:val="22"/>
        </w:rPr>
        <w:t xml:space="preserve">Genetic information</w:t>
      </w:r>
    </w:p>
    <w:p>
      <w:pPr>
        <w:pStyle w:val="ListParagraph"/>
        <w:numPr>
          <w:ilvl w:val="0"/>
          <w:numId w:val="2"/>
        </w:numPr>
      </w:pPr>
      <w:r>
        <w:rPr>
          <w:rFonts w:ascii="Arial" w:cs="Arial" w:eastAsia="Arial" w:hAnsi="Arial"/>
          <w:sz w:val="22"/>
          <w:szCs w:val="22"/>
        </w:rPr>
        <w:t xml:space="preserve">Any other characteristic protected by applicable federal, state, or local law</w:t>
      </w:r>
    </w:p>
    <w:p/>
    <w:p>
      <w:pPr>
        <w:pStyle w:val="Heading1"/>
      </w:pPr>
      <w:r>
        <w:rPr>
          <w:rFonts w:ascii="Arial" w:cs="Arial" w:eastAsia="Arial" w:hAnsi="Arial"/>
        </w:rPr>
        <w:t xml:space="preserve">.003 Definition of Harassment</w:t>
      </w:r>
    </w:p>
    <w:p>
      <w:r>
        <w:rPr>
          <w:rFonts w:ascii="Arial" w:cs="Arial" w:eastAsia="Arial" w:hAnsi="Arial"/>
          <w:sz w:val="22"/>
          <w:szCs w:val="22"/>
        </w:rPr>
        <w:t xml:space="preserve">Harassment includes unwelcome conduct that is severe or pervasive enough to create a hostile, intimidating, or offensive work environment. Examples include:</w:t>
      </w:r>
    </w:p>
    <w:p>
      <w:pPr>
        <w:pStyle w:val="ListParagraph"/>
        <w:numPr>
          <w:ilvl w:val="0"/>
          <w:numId w:val="2"/>
        </w:numPr>
      </w:pPr>
      <w:r>
        <w:rPr>
          <w:rFonts w:ascii="Arial" w:cs="Arial" w:eastAsia="Arial" w:hAnsi="Arial"/>
          <w:sz w:val="22"/>
          <w:szCs w:val="22"/>
        </w:rPr>
        <w:t xml:space="preserve">Verbal: slurs, insults, jokes, derogatory comments, threats</w:t>
      </w:r>
    </w:p>
    <w:p>
      <w:pPr>
        <w:pStyle w:val="ListParagraph"/>
        <w:numPr>
          <w:ilvl w:val="0"/>
          <w:numId w:val="2"/>
        </w:numPr>
      </w:pPr>
      <w:r>
        <w:rPr>
          <w:rFonts w:ascii="Arial" w:cs="Arial" w:eastAsia="Arial" w:hAnsi="Arial"/>
          <w:sz w:val="22"/>
          <w:szCs w:val="22"/>
        </w:rPr>
        <w:t xml:space="preserve">Physical: unwanted touching, blocking movement, physical intimidation</w:t>
      </w:r>
    </w:p>
    <w:p>
      <w:pPr>
        <w:pStyle w:val="ListParagraph"/>
        <w:numPr>
          <w:ilvl w:val="0"/>
          <w:numId w:val="2"/>
        </w:numPr>
      </w:pPr>
      <w:r>
        <w:rPr>
          <w:rFonts w:ascii="Arial" w:cs="Arial" w:eastAsia="Arial" w:hAnsi="Arial"/>
          <w:sz w:val="22"/>
          <w:szCs w:val="22"/>
        </w:rPr>
        <w:t xml:space="preserve">Visual: offensive images, gestures, or display of materials</w:t>
      </w:r>
    </w:p>
    <w:p>
      <w:pPr>
        <w:pStyle w:val="ListParagraph"/>
        <w:numPr>
          <w:ilvl w:val="0"/>
          <w:numId w:val="2"/>
        </w:numPr>
      </w:pPr>
      <w:r>
        <w:rPr>
          <w:rFonts w:ascii="Arial" w:cs="Arial" w:eastAsia="Arial" w:hAnsi="Arial"/>
          <w:sz w:val="22"/>
          <w:szCs w:val="22"/>
        </w:rPr>
        <w:t xml:space="preserve">Digital: harassing messages, emails, posts, or images</w:t>
      </w:r>
    </w:p>
    <w:p>
      <w:pPr>
        <w:pStyle w:val="Heading2"/>
      </w:pPr>
      <w:r>
        <w:rPr>
          <w:rFonts w:ascii="Arial" w:cs="Arial" w:eastAsia="Arial" w:hAnsi="Arial"/>
        </w:rPr>
        <w:t xml:space="preserve">.003.1 Sexual Harassment</w:t>
      </w:r>
    </w:p>
    <w:p>
      <w:r>
        <w:rPr>
          <w:rFonts w:ascii="Arial" w:cs="Arial" w:eastAsia="Arial" w:hAnsi="Arial"/>
          <w:sz w:val="22"/>
          <w:szCs w:val="22"/>
        </w:rPr>
        <w:t xml:space="preserve">Sexual harassment includes unwelcome sexual advances, requests for sexual favors, and other verbal or physical conduct of a sexual nature, particularly when submission to or rejection of such conduct affects employment decisions or creates a hostile work environment.</w:t>
      </w:r>
    </w:p>
    <w:p/>
    <w:p>
      <w:pPr>
        <w:pStyle w:val="Heading1"/>
      </w:pPr>
      <w:r>
        <w:rPr>
          <w:rFonts w:ascii="Arial" w:cs="Arial" w:eastAsia="Arial" w:hAnsi="Arial"/>
        </w:rPr>
        <w:t xml:space="preserve">.004 Reporting</w:t>
      </w:r>
    </w:p>
    <w:p>
      <w:r>
        <w:rPr>
          <w:rFonts w:ascii="Arial" w:cs="Arial" w:eastAsia="Arial" w:hAnsi="Arial"/>
          <w:sz w:val="22"/>
          <w:szCs w:val="22"/>
        </w:rPr>
        <w:t xml:space="preserve">Employees who experience or witness harassment or discrimination should report it promptly through any of the following channels:</w:t>
      </w:r>
    </w:p>
    <w:p>
      <w:pPr>
        <w:pStyle w:val="ListParagraph"/>
        <w:numPr>
          <w:ilvl w:val="0"/>
          <w:numId w:val="2"/>
        </w:numPr>
      </w:pPr>
      <w:r>
        <w:rPr>
          <w:rFonts w:ascii="Arial" w:cs="Arial" w:eastAsia="Arial" w:hAnsi="Arial"/>
          <w:sz w:val="22"/>
          <w:szCs w:val="22"/>
        </w:rPr>
        <w:t xml:space="preserve">HR Business Partner or Employee Relations team</w:t>
      </w:r>
    </w:p>
    <w:p>
      <w:pPr>
        <w:pStyle w:val="ListParagraph"/>
        <w:numPr>
          <w:ilvl w:val="0"/>
          <w:numId w:val="2"/>
        </w:numPr>
      </w:pPr>
      <w:r>
        <w:rPr>
          <w:rFonts w:ascii="Arial" w:cs="Arial" w:eastAsia="Arial" w:hAnsi="Arial"/>
          <w:sz w:val="22"/>
          <w:szCs w:val="22"/>
        </w:rPr>
        <w:t xml:space="preserve">Direct manager (if not implicated)</w:t>
      </w:r>
    </w:p>
    <w:p>
      <w:pPr>
        <w:pStyle w:val="ListParagraph"/>
        <w:numPr>
          <w:ilvl w:val="0"/>
          <w:numId w:val="2"/>
        </w:numPr>
      </w:pPr>
      <w:r>
        <w:rPr>
          <w:rFonts w:ascii="Arial" w:cs="Arial" w:eastAsia="Arial" w:hAnsi="Arial"/>
          <w:sz w:val="22"/>
          <w:szCs w:val="22"/>
        </w:rPr>
        <w:t xml:space="preserve">Anonymous Ethics Hotline: 1-800-XXX-XXXX</w:t>
      </w:r>
    </w:p>
    <w:p>
      <w:pPr>
        <w:pStyle w:val="ListParagraph"/>
        <w:numPr>
          <w:ilvl w:val="0"/>
          <w:numId w:val="2"/>
        </w:numPr>
      </w:pPr>
      <w:r>
        <w:rPr>
          <w:rFonts w:ascii="Arial" w:cs="Arial" w:eastAsia="Arial" w:hAnsi="Arial"/>
          <w:sz w:val="22"/>
          <w:szCs w:val="22"/>
        </w:rPr>
        <w:t xml:space="preserve">Online reporting portal: ethics.company.com</w:t>
      </w:r>
    </w:p>
    <w:p>
      <w:r>
        <w:rPr>
          <w:rFonts w:ascii="Arial" w:cs="Arial" w:eastAsia="Arial" w:hAnsi="Arial"/>
          <w:sz w:val="22"/>
          <w:szCs w:val="22"/>
        </w:rPr>
        <w:t xml:space="preserve">Reports will be treated with confidentiality to the extent practicable. There is no time limit on reporting, but prompt reporting helps preserve evidence and supports effective investigation.</w:t>
      </w:r>
    </w:p>
    <w:p/>
    <w:p>
      <w:pPr>
        <w:pStyle w:val="Heading1"/>
      </w:pPr>
      <w:r>
        <w:rPr>
          <w:rFonts w:ascii="Arial" w:cs="Arial" w:eastAsia="Arial" w:hAnsi="Arial"/>
        </w:rPr>
        <w:t xml:space="preserve">.005 Investigation</w:t>
      </w:r>
    </w:p>
    <w:p>
      <w:r>
        <w:rPr>
          <w:rFonts w:ascii="Arial" w:cs="Arial" w:eastAsia="Arial" w:hAnsi="Arial"/>
          <w:sz w:val="22"/>
          <w:szCs w:val="22"/>
        </w:rPr>
        <w:t xml:space="preserve">HR/Employee Relations will investigate all reports promptly and impartially. Both parties will have an opportunity to present their perspective. Investigations are typically completed within 30 business days. Parties will be informed of the outcome to the extent consistent with confidentiality obligations.</w:t>
      </w:r>
    </w:p>
    <w:p/>
    <w:p>
      <w:pPr>
        <w:pStyle w:val="Heading1"/>
      </w:pPr>
      <w:r>
        <w:rPr>
          <w:rFonts w:ascii="Arial" w:cs="Arial" w:eastAsia="Arial" w:hAnsi="Arial"/>
        </w:rPr>
        <w:t xml:space="preserve">.006 Consequences</w:t>
      </w:r>
    </w:p>
    <w:p>
      <w:r>
        <w:rPr>
          <w:rFonts w:ascii="Arial" w:cs="Arial" w:eastAsia="Arial" w:hAnsi="Arial"/>
          <w:sz w:val="22"/>
          <w:szCs w:val="22"/>
        </w:rPr>
        <w:t xml:space="preserve">Violations of this policy will result in corrective action up to and including termination of employment, regardless of the seniority of the offending party. The company will also take corrective action against harassment by non-employees (clients, vendors, contractors) when it becomes aware of such conduct.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2026-03-16T20:37:01.732Z</dcterms:created>
  <dcterms:modified xsi:type="dcterms:W3CDTF">2026-03-16T20:37:01.732Z</dcterms:modified>
</cp:coreProperties>
</file>

<file path=docProps/custom.xml><?xml version="1.0" encoding="utf-8"?>
<Properties xmlns="http://schemas.openxmlformats.org/officeDocument/2006/custom-properties" xmlns:vt="http://schemas.openxmlformats.org/officeDocument/2006/docPropsVTypes"/>
</file>