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A3A4A"/>
          <w:sz w:val="40"/>
          <w:szCs w:val="40"/>
        </w:rPr>
        <w:t xml:space="preserve">Bereavement Leave Policy</w:t>
      </w:r>
    </w:p>
    <w:p>
      <w:pPr>
        <w:jc w:val="center"/>
      </w:pPr>
      <w:r>
        <w:rPr>
          <w:rFonts w:ascii="Arial" w:cs="Arial" w:eastAsia="Arial" w:hAnsi="Arial"/>
          <w:color w:val="888888"/>
          <w:sz w:val="18"/>
          <w:szCs w:val="18"/>
        </w:rPr>
        <w:t xml:space="preserve">Policy Number: HR-2350  |  Effective: January 1, 2025  |  Owner: HR / People Operations</w:t>
      </w:r>
    </w:p>
    <w:p/>
    <w:p>
      <w:pPr>
        <w:pStyle w:val="Heading1"/>
      </w:pPr>
      <w:r>
        <w:rPr>
          <w:rFonts w:ascii="Arial" w:cs="Arial" w:eastAsia="Arial" w:hAnsi="Arial"/>
        </w:rPr>
        <w:t xml:space="preserve">.001 Purpose</w:t>
      </w:r>
    </w:p>
    <w:p>
      <w:r>
        <w:rPr>
          <w:rFonts w:ascii="Arial" w:cs="Arial" w:eastAsia="Arial" w:hAnsi="Arial"/>
          <w:sz w:val="22"/>
          <w:szCs w:val="22"/>
        </w:rPr>
        <w:t xml:space="preserve">This policy provides eligible employees paid time off to grieve the loss of a family member or other qualifying person, attend funeral or memorial services, and manage related matters.</w:t>
      </w:r>
    </w:p>
    <w:p/>
    <w:p>
      <w:pPr>
        <w:pStyle w:val="Heading1"/>
      </w:pPr>
      <w:r>
        <w:rPr>
          <w:rFonts w:ascii="Arial" w:cs="Arial" w:eastAsia="Arial" w:hAnsi="Arial"/>
        </w:rPr>
        <w:t xml:space="preserve">.002 Eligibility</w:t>
      </w:r>
    </w:p>
    <w:p>
      <w:r>
        <w:rPr>
          <w:rFonts w:ascii="Arial" w:cs="Arial" w:eastAsia="Arial" w:hAnsi="Arial"/>
          <w:sz w:val="22"/>
          <w:szCs w:val="22"/>
        </w:rPr>
        <w:t xml:space="preserve">All regular full-time and part-time employees are eligible for bereavement leave. There is no waiting period; eligibility begins on the first day of employment.</w:t>
      </w:r>
    </w:p>
    <w:p/>
    <w:p>
      <w:pPr>
        <w:pStyle w:val="Heading1"/>
      </w:pPr>
      <w:r>
        <w:rPr>
          <w:rFonts w:ascii="Arial" w:cs="Arial" w:eastAsia="Arial" w:hAnsi="Arial"/>
        </w:rPr>
        <w:t xml:space="preserve">.003 Leave Entitlements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234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Paid Days</w:t>
            </w:r>
          </w:p>
        </w:tc>
        <w:tc>
          <w:tcPr>
            <w:tcW w:type="dxa" w:w="234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Additional Unpaid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Spouse or domestic partner</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 days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Up to 5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Child (biological, adopted, foster, step)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to 5 days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Parent or step-parent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 days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Up to 3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Sibling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to 2 days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Grandparent or grandchild</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 days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Up to 2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In-law (parent, sibling)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to 1 day</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Close friend or non-listed family</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 day (manager discretion)</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Up to 2 days</w:t>
            </w:r>
          </w:p>
        </w:tc>
      </w:tr>
    </w:tbl>
    <w:p/>
    <w:p>
      <w:pPr>
        <w:pStyle w:val="Heading1"/>
      </w:pPr>
      <w:r>
        <w:rPr>
          <w:rFonts w:ascii="Arial" w:cs="Arial" w:eastAsia="Arial" w:hAnsi="Arial"/>
        </w:rPr>
        <w:t xml:space="preserve">.004 Requesting Leave</w:t>
      </w:r>
    </w:p>
    <w:p>
      <w:r>
        <w:rPr>
          <w:rFonts w:ascii="Arial" w:cs="Arial" w:eastAsia="Arial" w:hAnsi="Arial"/>
          <w:sz w:val="22"/>
          <w:szCs w:val="22"/>
        </w:rPr>
        <w:t xml:space="preserve">Employees should notify their manager as soon as practicable. Bereavement leave must be recorded in the timekeeping system using the 'Bereavement' absence code. HR may request documentation (e.g., obituary, funeral program) for leaves longer than 3 days. Documentation is kept confidential.</w:t>
      </w:r>
    </w:p>
    <w:p/>
    <w:p>
      <w:pPr>
        <w:pStyle w:val="Heading1"/>
      </w:pPr>
      <w:r>
        <w:rPr>
          <w:rFonts w:ascii="Arial" w:cs="Arial" w:eastAsia="Arial" w:hAnsi="Arial"/>
        </w:rPr>
        <w:t xml:space="preserve">.005 Remote/International Situations</w:t>
      </w:r>
    </w:p>
    <w:p>
      <w:r>
        <w:rPr>
          <w:rFonts w:ascii="Arial" w:cs="Arial" w:eastAsia="Arial" w:hAnsi="Arial"/>
          <w:sz w:val="22"/>
          <w:szCs w:val="22"/>
        </w:rPr>
        <w:t xml:space="preserve">Employees who must travel internationally for bereavement-related purposes may request additional unpaid leave beyond the standard entitlement. Such requests should be submitted to HR and will be evaluated on a case-by-case basis, taking into account travel distance and cultural practices.</w:t>
      </w:r>
    </w:p>
    <w:p/>
    <w:p>
      <w:pPr>
        <w:pStyle w:val="Heading1"/>
      </w:pPr>
      <w:r>
        <w:rPr>
          <w:rFonts w:ascii="Arial" w:cs="Arial" w:eastAsia="Arial" w:hAnsi="Arial"/>
        </w:rPr>
        <w:t xml:space="preserve">.006 Interaction with Other Leave</w:t>
      </w:r>
    </w:p>
    <w:p>
      <w:r>
        <w:rPr>
          <w:rFonts w:ascii="Arial" w:cs="Arial" w:eastAsia="Arial" w:hAnsi="Arial"/>
          <w:sz w:val="22"/>
          <w:szCs w:val="22"/>
        </w:rPr>
        <w:t xml:space="preserve">Bereavement leave runs concurrently with FMLA where the bereavement event also qualifies under FMLA (e.g., care for a critically ill family member who subsequently passes). Employees may use PTO to extend bereavement leave beyond the paid entitlement.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A3A4A"/>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1A3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2026-03-16T20:43:50.495Z</dcterms:created>
  <dcterms:modified xsi:type="dcterms:W3CDTF">2026-03-16T20:43:50.496Z</dcterms:modified>
</cp:coreProperties>
</file>

<file path=docProps/custom.xml><?xml version="1.0" encoding="utf-8"?>
<Properties xmlns="http://schemas.openxmlformats.org/officeDocument/2006/custom-properties" xmlns:vt="http://schemas.openxmlformats.org/officeDocument/2006/docPropsVTypes"/>
</file>