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left"/>
      </w:pPr>
      <w:r>
        <w:rPr>
          <w:rFonts w:ascii="Cambria" w:cs="Cambria" w:eastAsia="Cambria" w:hAnsi="Cambria"/>
          <w:b/>
          <w:bCs/>
          <w:color w:val="36454F"/>
          <w:sz w:val="40"/>
          <w:szCs w:val="40"/>
        </w:rPr>
        <w:t xml:space="preserve">Budget Management and Financial Controls Policy</w:t>
      </w:r>
    </w:p>
    <w:p>
      <w:r>
        <w:rPr>
          <w:rFonts w:ascii="Cambria" w:cs="Cambria" w:eastAsia="Cambria" w:hAnsi="Cambria"/>
          <w:color w:val="888888"/>
          <w:sz w:val="18"/>
          <w:szCs w:val="18"/>
        </w:rPr>
        <w:t xml:space="preserve">Policy Number: FIN-2000  |  Effective: January 1, 2025  |  Owner: Finance / FP&amp;A</w:t>
      </w:r>
    </w:p>
    <w:p/>
    <w:p/>
    <w:p>
      <w:pPr>
        <w:pStyle w:val="Heading1"/>
      </w:pPr>
      <w:r>
        <w:rPr>
          <w:rFonts w:ascii="Cambria" w:cs="Cambria" w:eastAsia="Cambria" w:hAnsi="Cambria"/>
        </w:rPr>
        <w:t xml:space="preserve">1. Purpose</w:t>
      </w:r>
    </w:p>
    <w:p>
      <w:r>
        <w:rPr>
          <w:rFonts w:ascii="Cambria" w:cs="Cambria" w:eastAsia="Cambria" w:hAnsi="Cambria"/>
          <w:sz w:val="22"/>
          <w:szCs w:val="22"/>
        </w:rPr>
        <w:t xml:space="preserve">This policy establishes the framework for annual budget development, approval, monitoring, and variance management. It ensures financial resources are allocated to strategic priorities and that spending is controlled within authorized limits.</w:t>
      </w:r>
    </w:p>
    <w:p/>
    <w:p>
      <w:pPr>
        <w:pStyle w:val="Heading1"/>
      </w:pPr>
      <w:r>
        <w:rPr>
          <w:rFonts w:ascii="Cambria" w:cs="Cambria" w:eastAsia="Cambria" w:hAnsi="Cambria"/>
        </w:rPr>
        <w:t xml:space="preserve">2. Annual Budget Process</w:t>
      </w:r>
    </w:p>
    <w:p>
      <w:r>
        <w:rPr>
          <w:rFonts w:ascii="Cambria" w:cs="Cambria" w:eastAsia="Cambria" w:hAnsi="Cambria"/>
          <w:sz w:val="22"/>
          <w:szCs w:val="22"/>
        </w:rPr>
        <w:t xml:space="preserve">The annual budget cycle follows a defined calendar. Key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80"/>
        <w:gridCol w:w="4080"/>
      </w:tblGrid>
      <w:tr>
        <w:tc>
          <w:tcPr>
            <w:tcW w:type="dxa" w:w="2400"/>
            <w:tcBorders>
              <w:top w:val="single" w:color="CCCCCC" w:sz="1"/>
              <w:left w:val="single" w:color="CCCCCC" w:sz="1"/>
              <w:bottom w:val="single" w:color="CCCCCC" w:sz="1"/>
              <w:right w:val="single" w:color="CCCCCC" w:sz="1"/>
            </w:tcBorders>
            <w:shd w:fill="36454F" w:val="clear"/>
            <w:tcMar>
              <w:top w:type="dxa" w:w="80"/>
              <w:left w:type="dxa" w:w="120"/>
              <w:bottom w:type="dxa" w:w="80"/>
              <w:right w:type="dxa" w:w="120"/>
            </w:tcMar>
          </w:tcPr>
          <w:p>
            <w:r>
              <w:rPr>
                <w:rFonts w:ascii="Arial" w:cs="Arial" w:eastAsia="Arial" w:hAnsi="Arial"/>
                <w:b/>
                <w:bCs/>
                <w:color w:val="FFFFFF"/>
                <w:sz w:val="20"/>
                <w:szCs w:val="20"/>
              </w:rPr>
              <w:t xml:space="preserve">Month</w:t>
            </w:r>
          </w:p>
        </w:tc>
        <w:tc>
          <w:tcPr>
            <w:tcW w:type="dxa" w:w="2880"/>
            <w:tcBorders>
              <w:top w:val="single" w:color="CCCCCC" w:sz="1"/>
              <w:left w:val="single" w:color="CCCCCC" w:sz="1"/>
              <w:bottom w:val="single" w:color="CCCCCC" w:sz="1"/>
              <w:right w:val="single" w:color="CCCCCC" w:sz="1"/>
            </w:tcBorders>
            <w:shd w:fill="36454F" w:val="clear"/>
            <w:tcMar>
              <w:top w:type="dxa" w:w="80"/>
              <w:left w:type="dxa" w:w="120"/>
              <w:bottom w:type="dxa" w:w="80"/>
              <w:right w:type="dxa" w:w="120"/>
            </w:tcMar>
          </w:tcPr>
          <w:p>
            <w:r>
              <w:rPr>
                <w:rFonts w:ascii="Arial" w:cs="Arial" w:eastAsia="Arial" w:hAnsi="Arial"/>
                <w:b/>
                <w:bCs/>
                <w:color w:val="FFFFFF"/>
                <w:sz w:val="20"/>
                <w:szCs w:val="20"/>
              </w:rPr>
              <w:t xml:space="preserve">Activity</w:t>
            </w:r>
          </w:p>
        </w:tc>
        <w:tc>
          <w:tcPr>
            <w:tcW w:type="dxa" w:w="4080"/>
            <w:tcBorders>
              <w:top w:val="single" w:color="CCCCCC" w:sz="1"/>
              <w:left w:val="single" w:color="CCCCCC" w:sz="1"/>
              <w:bottom w:val="single" w:color="CCCCCC" w:sz="1"/>
              <w:right w:val="single" w:color="CCCCCC" w:sz="1"/>
            </w:tcBorders>
            <w:shd w:fill="36454F" w:val="clear"/>
            <w:tcMar>
              <w:top w:type="dxa" w:w="80"/>
              <w:left w:type="dxa" w:w="120"/>
              <w:bottom w:type="dxa" w:w="80"/>
              <w:right w:type="dxa" w:w="120"/>
            </w:tcMar>
          </w:tcPr>
          <w:p>
            <w:r>
              <w:rPr>
                <w:rFonts w:ascii="Arial" w:cs="Arial" w:eastAsia="Arial" w:hAnsi="Arial"/>
                <w:b/>
                <w:bCs/>
                <w:color w:val="FFFFFF"/>
                <w:sz w:val="20"/>
                <w:szCs w:val="20"/>
              </w:rPr>
              <w:t xml:space="preserve">Owner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September</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Strategic planning kickoff</w:t>
            </w:r>
          </w:p>
        </w:tc>
        <w:tc>
          <w:tcPr>
            <w:tcW w:type="dxa" w:w="4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CFO + Department Heads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October</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Bottom-up submissions from departments</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Department Heads + FP&amp;A</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November</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FP&amp;A consolidation and challenge sessions</w:t>
            </w:r>
          </w:p>
        </w:tc>
        <w:tc>
          <w:tcPr>
            <w:tcW w:type="dxa" w:w="4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FP&amp;A + Finance Leadership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December</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Board approval</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CFO + Board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January</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Budget loads into ERP; department head confirmation</w:t>
            </w:r>
          </w:p>
        </w:tc>
        <w:tc>
          <w:tcPr>
            <w:tcW w:type="dxa" w:w="4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Finance / IT</w:t>
            </w:r>
          </w:p>
        </w:tc>
      </w:tr>
    </w:tbl>
    <w:p/>
    <w:p>
      <w:pPr>
        <w:pStyle w:val="Heading1"/>
      </w:pPr>
      <w:r>
        <w:rPr>
          <w:rFonts w:ascii="Cambria" w:cs="Cambria" w:eastAsia="Cambria" w:hAnsi="Cambria"/>
        </w:rPr>
        <w:t xml:space="preserve">3. Budget Ownership</w:t>
      </w:r>
    </w:p>
    <w:p>
      <w:r>
        <w:rPr>
          <w:rFonts w:ascii="Cambria" w:cs="Cambria" w:eastAsia="Cambria" w:hAnsi="Cambria"/>
          <w:sz w:val="22"/>
          <w:szCs w:val="22"/>
        </w:rPr>
        <w:t xml:space="preserve">Each cost center is assigned a Budget Owner (typically the Department Head) who is accountable for managing spend within approved limits. Budget Owners may delegate day-to-day monitoring to a Finance Business Partner but retain accountability for all variances.</w:t>
      </w:r>
    </w:p>
    <w:p/>
    <w:p>
      <w:pPr>
        <w:pStyle w:val="Heading1"/>
      </w:pPr>
      <w:r>
        <w:rPr>
          <w:rFonts w:ascii="Cambria" w:cs="Cambria" w:eastAsia="Cambria" w:hAnsi="Cambria"/>
        </w:rPr>
        <w:t xml:space="preserve">4. Reforecast and Budget Amendments</w:t>
      </w:r>
    </w:p>
    <w:p>
      <w:r>
        <w:rPr>
          <w:rFonts w:ascii="Cambria" w:cs="Cambria" w:eastAsia="Cambria" w:hAnsi="Cambria"/>
          <w:sz w:val="22"/>
          <w:szCs w:val="22"/>
        </w:rPr>
        <w:t xml:space="preserve">FP&amp;A conducts a formal reforecast in April and August. Budget amendments outside of reforecasts require:</w:t>
      </w:r>
    </w:p>
    <w:p>
      <w:pPr>
        <w:pStyle w:val="ListParagraph"/>
        <w:numPr>
          <w:ilvl w:val="0"/>
          <w:numId w:val="2"/>
        </w:numPr>
      </w:pPr>
      <w:r>
        <w:rPr>
          <w:rFonts w:ascii="Cambria" w:cs="Cambria" w:eastAsia="Cambria" w:hAnsi="Cambria"/>
          <w:sz w:val="22"/>
          <w:szCs w:val="22"/>
        </w:rPr>
        <w:t xml:space="preserve">Written justification from the Budget Owner</w:t>
      </w:r>
    </w:p>
    <w:p>
      <w:pPr>
        <w:pStyle w:val="ListParagraph"/>
        <w:numPr>
          <w:ilvl w:val="0"/>
          <w:numId w:val="2"/>
        </w:numPr>
      </w:pPr>
      <w:r>
        <w:rPr>
          <w:rFonts w:ascii="Cambria" w:cs="Cambria" w:eastAsia="Cambria" w:hAnsi="Cambria"/>
          <w:sz w:val="22"/>
          <w:szCs w:val="22"/>
        </w:rPr>
        <w:t xml:space="preserve">VP-level approval for reallocations within the same department under $50,000</w:t>
      </w:r>
    </w:p>
    <w:p>
      <w:pPr>
        <w:pStyle w:val="ListParagraph"/>
        <w:numPr>
          <w:ilvl w:val="0"/>
          <w:numId w:val="2"/>
        </w:numPr>
      </w:pPr>
      <w:r>
        <w:rPr>
          <w:rFonts w:ascii="Cambria" w:cs="Cambria" w:eastAsia="Cambria" w:hAnsi="Cambria"/>
          <w:sz w:val="22"/>
          <w:szCs w:val="22"/>
        </w:rPr>
        <w:t xml:space="preserve">CFO approval for cross-department reallocations or increases to the total budget</w:t>
      </w:r>
    </w:p>
    <w:p>
      <w:pPr>
        <w:pStyle w:val="ListParagraph"/>
        <w:numPr>
          <w:ilvl w:val="0"/>
          <w:numId w:val="2"/>
        </w:numPr>
      </w:pPr>
      <w:r>
        <w:rPr>
          <w:rFonts w:ascii="Cambria" w:cs="Cambria" w:eastAsia="Cambria" w:hAnsi="Cambria"/>
          <w:sz w:val="22"/>
          <w:szCs w:val="22"/>
        </w:rPr>
        <w:t xml:space="preserve">Board notification for amendments exceeding 5% of total company opex</w:t>
      </w:r>
    </w:p>
    <w:p/>
    <w:p>
      <w:pPr>
        <w:pStyle w:val="Heading1"/>
      </w:pPr>
      <w:r>
        <w:rPr>
          <w:rFonts w:ascii="Cambria" w:cs="Cambria" w:eastAsia="Cambria" w:hAnsi="Cambria"/>
        </w:rPr>
        <w:t xml:space="preserve">5. Variance Management</w:t>
      </w:r>
    </w:p>
    <w:p>
      <w:r>
        <w:rPr>
          <w:rFonts w:ascii="Cambria" w:cs="Cambria" w:eastAsia="Cambria" w:hAnsi="Cambria"/>
          <w:sz w:val="22"/>
          <w:szCs w:val="22"/>
        </w:rPr>
        <w:t xml:space="preserve">Budget Owners must review monthly variance reports distributed by FP&amp;A within 5 business days of month-end close. Variances exceeding the following thresholds require a written explanation submitted to FP&amp;A:</w:t>
      </w:r>
    </w:p>
    <w:p>
      <w:pPr>
        <w:pStyle w:val="ListParagraph"/>
        <w:numPr>
          <w:ilvl w:val="0"/>
          <w:numId w:val="2"/>
        </w:numPr>
      </w:pPr>
      <w:r>
        <w:rPr>
          <w:rFonts w:ascii="Cambria" w:cs="Cambria" w:eastAsia="Cambria" w:hAnsi="Cambria"/>
          <w:sz w:val="22"/>
          <w:szCs w:val="22"/>
        </w:rPr>
        <w:t xml:space="preserve">Any single line item variance &gt; $25,000</w:t>
      </w:r>
    </w:p>
    <w:p>
      <w:pPr>
        <w:pStyle w:val="ListParagraph"/>
        <w:numPr>
          <w:ilvl w:val="0"/>
          <w:numId w:val="2"/>
        </w:numPr>
      </w:pPr>
      <w:r>
        <w:rPr>
          <w:rFonts w:ascii="Cambria" w:cs="Cambria" w:eastAsia="Cambria" w:hAnsi="Cambria"/>
          <w:sz w:val="22"/>
          <w:szCs w:val="22"/>
        </w:rPr>
        <w:t xml:space="preserve">Total department variance &gt; $50,000 or &gt; 5% of monthly budget (whichever is lower)</w:t>
      </w:r>
    </w:p>
    <w:p>
      <w:pPr>
        <w:pStyle w:val="ListParagraph"/>
        <w:numPr>
          <w:ilvl w:val="0"/>
          <w:numId w:val="2"/>
        </w:numPr>
      </w:pPr>
      <w:r>
        <w:rPr>
          <w:rFonts w:ascii="Cambria" w:cs="Cambria" w:eastAsia="Cambria" w:hAnsi="Cambria"/>
          <w:sz w:val="22"/>
          <w:szCs w:val="22"/>
        </w:rPr>
        <w:t xml:space="preserve">Year-to-date variance &gt; $100,000</w:t>
      </w:r>
    </w:p>
    <w:p/>
    <w:p>
      <w:pPr>
        <w:pStyle w:val="Heading1"/>
      </w:pPr>
      <w:r>
        <w:rPr>
          <w:rFonts w:ascii="Cambria" w:cs="Cambria" w:eastAsia="Cambria" w:hAnsi="Cambria"/>
        </w:rPr>
        <w:t xml:space="preserve">6. Capital Expenditures</w:t>
      </w:r>
    </w:p>
    <w:p>
      <w:r>
        <w:rPr>
          <w:rFonts w:ascii="Cambria" w:cs="Cambria" w:eastAsia="Cambria" w:hAnsi="Cambria"/>
          <w:sz w:val="22"/>
          <w:szCs w:val="22"/>
        </w:rPr>
        <w:t xml:space="preserve">Capital expenditure (CapEx) requests are separate from opex budgets and require VP approval for items $10,000–$99,999, CFO approval for $100,000–$499,999, and Board approval for $500,000 and above. CapEx is capitalized and depreciated per the company's fixed-asset accounting policy.</w:t>
      </w:r>
    </w:p>
    <w:p/>
    <w:p>
      <w:pPr>
        <w:pStyle w:val="Heading1"/>
      </w:pPr>
      <w:r>
        <w:rPr>
          <w:rFonts w:ascii="Cambria" w:cs="Cambria" w:eastAsia="Cambria" w:hAnsi="Cambria"/>
        </w:rPr>
        <w:t xml:space="preserve">7. Consequences of Unauthorized Spend</w:t>
      </w:r>
    </w:p>
    <w:p>
      <w:r>
        <w:rPr>
          <w:rFonts w:ascii="Cambria" w:cs="Cambria" w:eastAsia="Cambria" w:hAnsi="Cambria"/>
          <w:sz w:val="22"/>
          <w:szCs w:val="22"/>
        </w:rPr>
        <w:t xml:space="preserve">Spending without an approved budget or PO may result in personal liability for the employee who authorized the expense and disciplinary action. Finance will not process invoices for unauthorized commitments without CFO sign-off.</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40"/>
      <w:outlineLvl w:val="0"/>
    </w:pPr>
    <w:rPr>
      <w:rFonts w:ascii="Cambria" w:cs="Cambria" w:eastAsia="Cambria" w:hAnsi="Cambria"/>
      <w:b/>
      <w:bCs/>
      <w:color w:val="36454F"/>
      <w:sz w:val="28"/>
      <w:szCs w:val="28"/>
    </w:rPr>
  </w:style>
  <w:style w:type="paragraph" w:styleId="Heading2">
    <w:name w:val="Heading 2"/>
    <w:basedOn w:val="Normal"/>
    <w:next w:val="Normal"/>
    <w:qFormat/>
    <w:pPr>
      <w:spacing w:before="180" w:after="80"/>
      <w:outlineLvl w:val="1"/>
    </w:pPr>
    <w:rPr>
      <w:rFonts w:ascii="Cambria" w:cs="Cambria" w:eastAsia="Cambria" w:hAnsi="Cambria"/>
      <w:i/>
      <w:iCs/>
      <w:color w:val="36454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2026-03-16T21:06:28.114Z</dcterms:created>
  <dcterms:modified xsi:type="dcterms:W3CDTF">2026-03-16T21:06:28.114Z</dcterms:modified>
</cp:coreProperties>
</file>

<file path=docProps/custom.xml><?xml version="1.0" encoding="utf-8"?>
<Properties xmlns="http://schemas.openxmlformats.org/officeDocument/2006/custom-properties" xmlns:vt="http://schemas.openxmlformats.org/officeDocument/2006/docPropsVTypes"/>
</file>